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D4C56" w14:textId="77777777" w:rsidR="00CA20F7" w:rsidRPr="00037A34" w:rsidRDefault="00CA20F7" w:rsidP="007C6C33">
      <w:pPr>
        <w:jc w:val="both"/>
      </w:pPr>
      <w:bookmarkStart w:id="0" w:name="_GoBack"/>
      <w:bookmarkEnd w:id="0"/>
    </w:p>
    <w:p w14:paraId="4EE0BBAC" w14:textId="6D5699DB" w:rsidR="006B0897" w:rsidRDefault="006B0897" w:rsidP="00B6212D">
      <w:pPr>
        <w:pStyle w:val="CoverText"/>
        <w:numPr>
          <w:ilvl w:val="0"/>
          <w:numId w:val="0"/>
        </w:numPr>
        <w:jc w:val="both"/>
        <w:rPr>
          <w:bCs/>
          <w:szCs w:val="24"/>
        </w:rPr>
      </w:pPr>
      <w:r>
        <w:rPr>
          <w:bCs/>
          <w:szCs w:val="24"/>
        </w:rPr>
        <w:t>N</w:t>
      </w:r>
      <w:r w:rsidR="00CA20F7" w:rsidRPr="006B0897">
        <w:rPr>
          <w:bCs/>
          <w:szCs w:val="24"/>
        </w:rPr>
        <w:t xml:space="preserve">eutral Citation Number: </w:t>
      </w:r>
      <w:r w:rsidR="00922B7B" w:rsidRPr="00922B7B">
        <w:rPr>
          <w:bCs/>
          <w:szCs w:val="24"/>
        </w:rPr>
        <w:t>[2020] EWHC 3416 (Admin)</w:t>
      </w:r>
    </w:p>
    <w:p w14:paraId="7A52EEEE" w14:textId="654BDE35" w:rsidR="00CA20F7" w:rsidRPr="00B6212D" w:rsidRDefault="00CA20F7" w:rsidP="00B6212D">
      <w:pPr>
        <w:pStyle w:val="CoverText"/>
        <w:numPr>
          <w:ilvl w:val="0"/>
          <w:numId w:val="0"/>
        </w:numPr>
        <w:ind w:left="6480"/>
        <w:jc w:val="both"/>
      </w:pPr>
      <w:r w:rsidRPr="007A020E">
        <w:t>Case No</w:t>
      </w:r>
      <w:r w:rsidR="00B6212D">
        <w:t>s</w:t>
      </w:r>
      <w:r w:rsidRPr="007A020E">
        <w:t>: CO 4126/2019</w:t>
      </w:r>
      <w:r w:rsidR="00B6212D">
        <w:t xml:space="preserve"> </w:t>
      </w:r>
      <w:r w:rsidRPr="007A020E">
        <w:t>and CO 4362/2019</w:t>
      </w:r>
    </w:p>
    <w:p w14:paraId="5AA5071D" w14:textId="77777777" w:rsidR="00CA20F7" w:rsidRPr="007A020E" w:rsidRDefault="00CA20F7"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r w:rsidRPr="007A020E">
        <w:rPr>
          <w:szCs w:val="24"/>
        </w:rPr>
        <w:t>IN THE HIGH COURT OF JUSTICE</w:t>
      </w:r>
    </w:p>
    <w:p w14:paraId="080EB7AF" w14:textId="77777777" w:rsidR="00CA20F7" w:rsidRPr="007A020E" w:rsidRDefault="00CA20F7" w:rsidP="00B6212D">
      <w:pPr>
        <w:suppressAutoHyphens/>
        <w:jc w:val="both"/>
        <w:rPr>
          <w:b/>
          <w:spacing w:val="-3"/>
          <w:u w:val="single"/>
        </w:rPr>
      </w:pPr>
      <w:r w:rsidRPr="007A020E">
        <w:rPr>
          <w:b/>
          <w:spacing w:val="-3"/>
          <w:u w:val="single"/>
        </w:rPr>
        <w:t>QUEEN’S BENCH DIVISION</w:t>
      </w:r>
    </w:p>
    <w:p w14:paraId="78EFAD8E" w14:textId="2A988A1F" w:rsidR="00CA20F7" w:rsidRPr="007A020E" w:rsidRDefault="00CA20F7" w:rsidP="00B6212D">
      <w:pPr>
        <w:suppressAutoHyphens/>
        <w:jc w:val="both"/>
        <w:rPr>
          <w:b/>
          <w:spacing w:val="-3"/>
          <w:u w:val="single"/>
        </w:rPr>
      </w:pPr>
      <w:r w:rsidRPr="007A020E">
        <w:rPr>
          <w:b/>
          <w:spacing w:val="-3"/>
          <w:u w:val="single"/>
        </w:rPr>
        <w:t>ADMINSTRATIVE COURT</w:t>
      </w:r>
    </w:p>
    <w:p w14:paraId="06CE9A08" w14:textId="663242A8" w:rsidR="00CA20F7" w:rsidRPr="007A020E" w:rsidRDefault="00CA20F7" w:rsidP="00B6212D">
      <w:pPr>
        <w:pStyle w:val="CoverText"/>
        <w:numPr>
          <w:ilvl w:val="0"/>
          <w:numId w:val="0"/>
        </w:numPr>
        <w:ind w:left="5760"/>
        <w:jc w:val="both"/>
        <w:rPr>
          <w:szCs w:val="24"/>
        </w:rPr>
      </w:pPr>
      <w:r w:rsidRPr="007A020E">
        <w:rPr>
          <w:szCs w:val="24"/>
        </w:rPr>
        <w:t>Royal Courts of Justice, London</w:t>
      </w:r>
    </w:p>
    <w:p w14:paraId="3EF7E9FE" w14:textId="77777777" w:rsidR="00CA20F7" w:rsidRPr="007A020E" w:rsidRDefault="00CA20F7" w:rsidP="00B6212D">
      <w:pPr>
        <w:suppressAutoHyphens/>
        <w:jc w:val="both"/>
        <w:rPr>
          <w:spacing w:val="-3"/>
          <w:u w:val="single"/>
        </w:rPr>
      </w:pPr>
    </w:p>
    <w:p w14:paraId="47D87AE2" w14:textId="5F777901" w:rsidR="00CA20F7" w:rsidRPr="007A020E" w:rsidRDefault="00CA20F7" w:rsidP="00B6212D">
      <w:pPr>
        <w:pStyle w:val="CoverText"/>
        <w:numPr>
          <w:ilvl w:val="0"/>
          <w:numId w:val="0"/>
        </w:numPr>
        <w:ind w:left="6480" w:firstLine="720"/>
        <w:jc w:val="both"/>
        <w:rPr>
          <w:b/>
          <w:szCs w:val="24"/>
        </w:rPr>
      </w:pPr>
      <w:r w:rsidRPr="007A020E">
        <w:rPr>
          <w:szCs w:val="24"/>
        </w:rPr>
        <w:t xml:space="preserve">Date: </w:t>
      </w:r>
      <w:r w:rsidR="00B6212D">
        <w:rPr>
          <w:szCs w:val="24"/>
        </w:rPr>
        <w:t>14</w:t>
      </w:r>
      <w:r w:rsidRPr="007A020E">
        <w:rPr>
          <w:szCs w:val="24"/>
        </w:rPr>
        <w:t>/1</w:t>
      </w:r>
      <w:r w:rsidR="003532E9">
        <w:rPr>
          <w:szCs w:val="24"/>
        </w:rPr>
        <w:t>2</w:t>
      </w:r>
      <w:r w:rsidRPr="007A020E">
        <w:rPr>
          <w:szCs w:val="24"/>
        </w:rPr>
        <w:t>/2020</w:t>
      </w:r>
    </w:p>
    <w:p w14:paraId="29E4A52A" w14:textId="31340704" w:rsidR="00CA20F7" w:rsidRPr="007A020E" w:rsidRDefault="00CA20F7" w:rsidP="00B6212D">
      <w:pPr>
        <w:suppressAutoHyphens/>
        <w:jc w:val="both"/>
        <w:rPr>
          <w:spacing w:val="-3"/>
        </w:rPr>
      </w:pPr>
      <w:r w:rsidRPr="007A020E">
        <w:rPr>
          <w:b/>
          <w:spacing w:val="-3"/>
        </w:rPr>
        <w:t>Before</w:t>
      </w:r>
      <w:r w:rsidRPr="007A020E">
        <w:rPr>
          <w:spacing w:val="-3"/>
        </w:rPr>
        <w:t>:</w:t>
      </w:r>
    </w:p>
    <w:p w14:paraId="4A6EE860" w14:textId="0BD02431" w:rsidR="00CA20F7" w:rsidRPr="003532E9" w:rsidRDefault="00B6212D"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szCs w:val="24"/>
        </w:rPr>
      </w:pPr>
      <w:r>
        <w:rPr>
          <w:szCs w:val="24"/>
          <w:u w:val="none"/>
        </w:rPr>
        <w:t xml:space="preserve">    </w:t>
      </w:r>
      <w:r w:rsidR="00CA20F7" w:rsidRPr="007A020E">
        <w:rPr>
          <w:szCs w:val="24"/>
        </w:rPr>
        <w:t>MR JUSTICE ROBIN KNOWLES CBE</w:t>
      </w:r>
    </w:p>
    <w:p w14:paraId="7702C579" w14:textId="33FDF214" w:rsidR="00CA20F7" w:rsidRDefault="00CA20F7" w:rsidP="00B6212D">
      <w:pPr>
        <w:suppressAutoHyphens/>
        <w:jc w:val="both"/>
        <w:rPr>
          <w:b/>
          <w:bCs/>
          <w:spacing w:val="-3"/>
        </w:rPr>
      </w:pPr>
    </w:p>
    <w:p w14:paraId="303CCA00" w14:textId="77777777" w:rsidR="00B6212D" w:rsidRPr="007A020E" w:rsidRDefault="00B6212D" w:rsidP="00B6212D">
      <w:pPr>
        <w:suppressAutoHyphens/>
        <w:jc w:val="both"/>
        <w:rPr>
          <w:b/>
          <w:spacing w:val="-3"/>
        </w:rPr>
      </w:pPr>
    </w:p>
    <w:p w14:paraId="405EA513" w14:textId="77777777" w:rsidR="00CA20F7" w:rsidRPr="007A020E" w:rsidRDefault="00CA20F7" w:rsidP="00B6212D">
      <w:pPr>
        <w:suppressAutoHyphens/>
        <w:jc w:val="both"/>
        <w:rPr>
          <w:b/>
          <w:spacing w:val="-3"/>
        </w:rPr>
      </w:pPr>
      <w:r w:rsidRPr="007A020E">
        <w:rPr>
          <w:b/>
          <w:spacing w:val="-3"/>
        </w:rPr>
        <w:t>In the Matter of an Application for Judicial Review</w:t>
      </w:r>
    </w:p>
    <w:p w14:paraId="09EF95F5" w14:textId="77777777" w:rsidR="00CA20F7" w:rsidRPr="007A020E" w:rsidRDefault="00CA20F7" w:rsidP="00B6212D">
      <w:pPr>
        <w:suppressAutoHyphens/>
        <w:jc w:val="center"/>
        <w:rPr>
          <w:b/>
          <w:spacing w:val="-3"/>
        </w:rPr>
      </w:pPr>
    </w:p>
    <w:tbl>
      <w:tblPr>
        <w:tblW w:w="9126" w:type="dxa"/>
        <w:jc w:val="center"/>
        <w:tblLayout w:type="fixed"/>
        <w:tblLook w:val="0000" w:firstRow="0" w:lastRow="0" w:firstColumn="0" w:lastColumn="0" w:noHBand="0" w:noVBand="0"/>
      </w:tblPr>
      <w:tblGrid>
        <w:gridCol w:w="1776"/>
        <w:gridCol w:w="5568"/>
        <w:gridCol w:w="1782"/>
      </w:tblGrid>
      <w:tr w:rsidR="00CA20F7" w:rsidRPr="007A020E" w14:paraId="0C19FD1F" w14:textId="77777777" w:rsidTr="00D970C0">
        <w:trPr>
          <w:jc w:val="center"/>
        </w:trPr>
        <w:tc>
          <w:tcPr>
            <w:tcW w:w="1701" w:type="dxa"/>
          </w:tcPr>
          <w:p w14:paraId="4758997E" w14:textId="77777777" w:rsidR="00CA20F7" w:rsidRPr="007A020E" w:rsidRDefault="00CA20F7" w:rsidP="00B6212D">
            <w:pPr>
              <w:suppressAutoHyphens/>
              <w:jc w:val="center"/>
              <w:rPr>
                <w:b/>
                <w:spacing w:val="-3"/>
              </w:rPr>
            </w:pPr>
          </w:p>
        </w:tc>
        <w:tc>
          <w:tcPr>
            <w:tcW w:w="5333" w:type="dxa"/>
          </w:tcPr>
          <w:p w14:paraId="2D05472C" w14:textId="6CABF2C6" w:rsidR="00CA20F7" w:rsidRPr="007A020E" w:rsidRDefault="00CA20F7" w:rsidP="00B6212D">
            <w:pPr>
              <w:suppressAutoHyphens/>
              <w:rPr>
                <w:b/>
                <w:spacing w:val="-3"/>
              </w:rPr>
            </w:pPr>
            <w:r w:rsidRPr="007A020E">
              <w:rPr>
                <w:b/>
                <w:spacing w:val="-3"/>
              </w:rPr>
              <w:t xml:space="preserve">R (on the application of </w:t>
            </w:r>
            <w:bookmarkStart w:id="1" w:name="_Hlk55634250"/>
            <w:r w:rsidR="0010510E">
              <w:rPr>
                <w:b/>
                <w:spacing w:val="-3"/>
              </w:rPr>
              <w:t>DMA</w:t>
            </w:r>
            <w:r w:rsidRPr="007A020E">
              <w:rPr>
                <w:b/>
                <w:spacing w:val="-3"/>
              </w:rPr>
              <w:t>,</w:t>
            </w:r>
            <w:r w:rsidR="00637EF4">
              <w:rPr>
                <w:b/>
                <w:spacing w:val="-3"/>
              </w:rPr>
              <w:t xml:space="preserve"> AHK</w:t>
            </w:r>
            <w:r w:rsidRPr="007A020E">
              <w:rPr>
                <w:b/>
                <w:spacing w:val="-3"/>
              </w:rPr>
              <w:t xml:space="preserve">, </w:t>
            </w:r>
            <w:r w:rsidR="00637EF4">
              <w:rPr>
                <w:b/>
                <w:spacing w:val="-3"/>
              </w:rPr>
              <w:t>BK</w:t>
            </w:r>
            <w:r w:rsidRPr="007A020E">
              <w:rPr>
                <w:b/>
                <w:spacing w:val="-3"/>
              </w:rPr>
              <w:t xml:space="preserve"> and </w:t>
            </w:r>
            <w:bookmarkEnd w:id="1"/>
            <w:r w:rsidR="00637EF4">
              <w:rPr>
                <w:b/>
                <w:spacing w:val="-3"/>
              </w:rPr>
              <w:t>ELN</w:t>
            </w:r>
            <w:r w:rsidRPr="007A020E">
              <w:rPr>
                <w:b/>
                <w:spacing w:val="-3"/>
              </w:rPr>
              <w:t>)</w:t>
            </w:r>
          </w:p>
        </w:tc>
        <w:tc>
          <w:tcPr>
            <w:tcW w:w="1707" w:type="dxa"/>
          </w:tcPr>
          <w:p w14:paraId="0AFFA2EC" w14:textId="116C707E" w:rsidR="00CA20F7" w:rsidRPr="00737325" w:rsidRDefault="00B6212D"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Pr>
                <w:szCs w:val="24"/>
                <w:u w:val="none"/>
              </w:rPr>
              <w:t xml:space="preserve">     </w:t>
            </w:r>
            <w:r w:rsidR="00CA20F7" w:rsidRPr="00737325">
              <w:rPr>
                <w:szCs w:val="24"/>
              </w:rPr>
              <w:t>Claimants</w:t>
            </w:r>
          </w:p>
        </w:tc>
      </w:tr>
      <w:tr w:rsidR="00CA20F7" w:rsidRPr="007A020E" w14:paraId="7B2AAF52" w14:textId="77777777" w:rsidTr="00D970C0">
        <w:trPr>
          <w:jc w:val="center"/>
        </w:trPr>
        <w:tc>
          <w:tcPr>
            <w:tcW w:w="1701" w:type="dxa"/>
          </w:tcPr>
          <w:p w14:paraId="5C104961" w14:textId="77777777" w:rsidR="00CA20F7" w:rsidRPr="007A020E" w:rsidRDefault="00CA20F7" w:rsidP="00B6212D">
            <w:pPr>
              <w:suppressAutoHyphens/>
              <w:jc w:val="center"/>
              <w:rPr>
                <w:b/>
                <w:spacing w:val="-3"/>
              </w:rPr>
            </w:pPr>
          </w:p>
        </w:tc>
        <w:tc>
          <w:tcPr>
            <w:tcW w:w="5333" w:type="dxa"/>
          </w:tcPr>
          <w:p w14:paraId="38B6DC61" w14:textId="77777777" w:rsidR="00B6212D" w:rsidRDefault="00CA20F7" w:rsidP="00B6212D">
            <w:pPr>
              <w:suppressAutoHyphens/>
              <w:jc w:val="center"/>
              <w:rPr>
                <w:b/>
                <w:spacing w:val="-3"/>
              </w:rPr>
            </w:pPr>
            <w:r w:rsidRPr="007A020E">
              <w:rPr>
                <w:b/>
                <w:spacing w:val="-3"/>
              </w:rPr>
              <w:t>- and –</w:t>
            </w:r>
          </w:p>
          <w:p w14:paraId="3109210D" w14:textId="580E53EF" w:rsidR="00CA20F7" w:rsidRPr="007A020E" w:rsidRDefault="00CA20F7" w:rsidP="00B6212D">
            <w:pPr>
              <w:suppressAutoHyphens/>
              <w:jc w:val="center"/>
              <w:rPr>
                <w:b/>
                <w:spacing w:val="-3"/>
              </w:rPr>
            </w:pPr>
            <w:r w:rsidRPr="007A020E">
              <w:rPr>
                <w:b/>
                <w:spacing w:val="-3"/>
              </w:rPr>
              <w:t>THE SECRETARY OF STATE FOR THE HOME DEPARTMENT</w:t>
            </w:r>
          </w:p>
        </w:tc>
        <w:tc>
          <w:tcPr>
            <w:tcW w:w="1707" w:type="dxa"/>
          </w:tcPr>
          <w:p w14:paraId="4645B482" w14:textId="77777777" w:rsidR="00CA20F7" w:rsidRPr="007A020E" w:rsidRDefault="00CA20F7"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p>
        </w:tc>
      </w:tr>
      <w:tr w:rsidR="00CA20F7" w:rsidRPr="007A020E" w14:paraId="77352A9B" w14:textId="77777777" w:rsidTr="00D970C0">
        <w:trPr>
          <w:jc w:val="center"/>
        </w:trPr>
        <w:tc>
          <w:tcPr>
            <w:tcW w:w="1701" w:type="dxa"/>
          </w:tcPr>
          <w:p w14:paraId="2F94E3A9" w14:textId="77777777" w:rsidR="00CA20F7" w:rsidRPr="007A020E" w:rsidRDefault="00CA20F7" w:rsidP="00B6212D">
            <w:pPr>
              <w:suppressAutoHyphens/>
              <w:rPr>
                <w:b/>
                <w:spacing w:val="-3"/>
              </w:rPr>
            </w:pPr>
          </w:p>
        </w:tc>
        <w:tc>
          <w:tcPr>
            <w:tcW w:w="5333" w:type="dxa"/>
          </w:tcPr>
          <w:p w14:paraId="7DEEA26F" w14:textId="77777777" w:rsidR="00CA20F7" w:rsidRPr="007A020E" w:rsidRDefault="00CA20F7" w:rsidP="00B6212D">
            <w:pPr>
              <w:suppressAutoHyphens/>
              <w:jc w:val="center"/>
              <w:rPr>
                <w:b/>
                <w:spacing w:val="-3"/>
              </w:rPr>
            </w:pPr>
          </w:p>
        </w:tc>
        <w:tc>
          <w:tcPr>
            <w:tcW w:w="1707" w:type="dxa"/>
          </w:tcPr>
          <w:p w14:paraId="1A778BA6" w14:textId="572A6B8A" w:rsidR="00CA20F7" w:rsidRPr="00A367C6" w:rsidRDefault="00B6212D"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Pr>
                <w:szCs w:val="24"/>
                <w:u w:val="none"/>
              </w:rPr>
              <w:t xml:space="preserve">     </w:t>
            </w:r>
            <w:r w:rsidR="00CA20F7" w:rsidRPr="00A367C6">
              <w:rPr>
                <w:szCs w:val="24"/>
              </w:rPr>
              <w:t>Defendant</w:t>
            </w:r>
          </w:p>
        </w:tc>
      </w:tr>
      <w:tr w:rsidR="00CA20F7" w:rsidRPr="007A020E" w14:paraId="0602A353" w14:textId="77777777" w:rsidTr="00D970C0">
        <w:trPr>
          <w:jc w:val="center"/>
        </w:trPr>
        <w:tc>
          <w:tcPr>
            <w:tcW w:w="1701" w:type="dxa"/>
          </w:tcPr>
          <w:p w14:paraId="4DB06B34" w14:textId="77777777" w:rsidR="00CA20F7" w:rsidRPr="007A020E" w:rsidRDefault="00CA20F7" w:rsidP="00B6212D">
            <w:pPr>
              <w:suppressAutoHyphens/>
              <w:rPr>
                <w:b/>
                <w:spacing w:val="-3"/>
              </w:rPr>
            </w:pPr>
          </w:p>
        </w:tc>
        <w:tc>
          <w:tcPr>
            <w:tcW w:w="5333" w:type="dxa"/>
          </w:tcPr>
          <w:p w14:paraId="040D7D24" w14:textId="77777777" w:rsidR="00CA20F7" w:rsidRPr="007A020E" w:rsidRDefault="00CA20F7" w:rsidP="00B6212D">
            <w:pPr>
              <w:suppressAutoHyphens/>
              <w:ind w:left="720"/>
              <w:jc w:val="center"/>
              <w:rPr>
                <w:b/>
                <w:spacing w:val="-3"/>
              </w:rPr>
            </w:pPr>
          </w:p>
        </w:tc>
        <w:tc>
          <w:tcPr>
            <w:tcW w:w="1707" w:type="dxa"/>
          </w:tcPr>
          <w:p w14:paraId="148679FD" w14:textId="77777777" w:rsidR="00CA20F7" w:rsidRPr="007A020E" w:rsidRDefault="00CA20F7"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p>
        </w:tc>
      </w:tr>
    </w:tbl>
    <w:p w14:paraId="74F30EE4" w14:textId="77777777" w:rsidR="00CA20F7" w:rsidRPr="007A020E" w:rsidRDefault="00CA20F7" w:rsidP="00B6212D">
      <w:pPr>
        <w:suppressAutoHyphens/>
        <w:rPr>
          <w:b/>
          <w:spacing w:val="-3"/>
        </w:rPr>
      </w:pPr>
    </w:p>
    <w:p w14:paraId="45673C71" w14:textId="5A3145EF" w:rsidR="00B6212D" w:rsidRDefault="00CA20F7" w:rsidP="00B6212D">
      <w:pPr>
        <w:suppressAutoHyphens/>
        <w:ind w:left="2160" w:firstLine="720"/>
        <w:rPr>
          <w:b/>
          <w:spacing w:val="-3"/>
        </w:rPr>
      </w:pPr>
      <w:r w:rsidRPr="007A020E">
        <w:rPr>
          <w:b/>
          <w:spacing w:val="-3"/>
        </w:rPr>
        <w:t>R (on the application of AA)</w:t>
      </w:r>
      <w:r w:rsidR="00B6212D">
        <w:rPr>
          <w:b/>
          <w:spacing w:val="-3"/>
        </w:rPr>
        <w:tab/>
      </w:r>
      <w:r w:rsidR="00B6212D">
        <w:rPr>
          <w:b/>
          <w:spacing w:val="-3"/>
        </w:rPr>
        <w:tab/>
      </w:r>
      <w:r w:rsidR="00B6212D">
        <w:rPr>
          <w:b/>
          <w:spacing w:val="-3"/>
        </w:rPr>
        <w:tab/>
      </w:r>
      <w:r w:rsidR="00B6212D">
        <w:rPr>
          <w:b/>
          <w:spacing w:val="-3"/>
        </w:rPr>
        <w:tab/>
      </w:r>
      <w:r w:rsidR="00B6212D" w:rsidRPr="00B6212D">
        <w:rPr>
          <w:b/>
          <w:spacing w:val="-3"/>
          <w:u w:val="single"/>
        </w:rPr>
        <w:t>Claimant</w:t>
      </w:r>
    </w:p>
    <w:p w14:paraId="51DBE9BC" w14:textId="4B0925CC" w:rsidR="00CA20F7" w:rsidRPr="007A020E" w:rsidRDefault="00DB2B33" w:rsidP="00B6212D">
      <w:pPr>
        <w:suppressAutoHyphens/>
        <w:jc w:val="center"/>
        <w:rPr>
          <w:b/>
          <w:spacing w:val="-3"/>
        </w:rPr>
      </w:pPr>
      <w:r>
        <w:rPr>
          <w:b/>
          <w:spacing w:val="-3"/>
        </w:rPr>
        <w:t>- and -</w:t>
      </w:r>
    </w:p>
    <w:p w14:paraId="2EFC831C" w14:textId="77777777" w:rsidR="00B6212D" w:rsidRDefault="00CA20F7" w:rsidP="00B6212D">
      <w:pPr>
        <w:suppressAutoHyphens/>
        <w:jc w:val="center"/>
        <w:rPr>
          <w:b/>
          <w:spacing w:val="-3"/>
        </w:rPr>
      </w:pPr>
      <w:r w:rsidRPr="007A020E">
        <w:rPr>
          <w:b/>
          <w:spacing w:val="-3"/>
        </w:rPr>
        <w:t>THE SECR</w:t>
      </w:r>
      <w:r w:rsidR="00DB2B33">
        <w:rPr>
          <w:b/>
          <w:spacing w:val="-3"/>
        </w:rPr>
        <w:t>E</w:t>
      </w:r>
      <w:r w:rsidRPr="007A020E">
        <w:rPr>
          <w:b/>
          <w:spacing w:val="-3"/>
        </w:rPr>
        <w:t xml:space="preserve">TARY OF STATE FOR THE HOME </w:t>
      </w:r>
    </w:p>
    <w:p w14:paraId="05EE4203" w14:textId="283E91A1" w:rsidR="00CA20F7" w:rsidRPr="007A020E" w:rsidRDefault="00CA20F7" w:rsidP="00B6212D">
      <w:pPr>
        <w:suppressAutoHyphens/>
        <w:jc w:val="center"/>
        <w:rPr>
          <w:b/>
          <w:spacing w:val="-3"/>
        </w:rPr>
      </w:pPr>
      <w:r w:rsidRPr="007A020E">
        <w:rPr>
          <w:b/>
          <w:spacing w:val="-3"/>
        </w:rPr>
        <w:t>DEPARTMENT</w:t>
      </w:r>
    </w:p>
    <w:p w14:paraId="20673240" w14:textId="08243FB5" w:rsidR="00CA20F7" w:rsidRPr="007A020E" w:rsidRDefault="00B6212D" w:rsidP="00B6212D">
      <w:pPr>
        <w:suppressAutoHyphens/>
        <w:ind w:left="6480" w:firstLine="720"/>
        <w:jc w:val="center"/>
        <w:rPr>
          <w:b/>
          <w:spacing w:val="-3"/>
        </w:rPr>
      </w:pPr>
      <w:r>
        <w:rPr>
          <w:b/>
          <w:spacing w:val="-3"/>
        </w:rPr>
        <w:t xml:space="preserve">        </w:t>
      </w:r>
      <w:r w:rsidR="00CA20F7" w:rsidRPr="007A020E">
        <w:rPr>
          <w:b/>
          <w:spacing w:val="-3"/>
          <w:u w:val="single"/>
        </w:rPr>
        <w:t>Defendant</w:t>
      </w:r>
    </w:p>
    <w:tbl>
      <w:tblPr>
        <w:tblW w:w="11339" w:type="dxa"/>
        <w:jc w:val="center"/>
        <w:tblLayout w:type="fixed"/>
        <w:tblLook w:val="0000" w:firstRow="0" w:lastRow="0" w:firstColumn="0" w:lastColumn="0" w:noHBand="0" w:noVBand="0"/>
      </w:tblPr>
      <w:tblGrid>
        <w:gridCol w:w="6913"/>
        <w:gridCol w:w="2213"/>
        <w:gridCol w:w="2213"/>
      </w:tblGrid>
      <w:tr w:rsidR="00CA20F7" w:rsidRPr="007A020E" w14:paraId="2186C729" w14:textId="77777777" w:rsidTr="00D970C0">
        <w:trPr>
          <w:jc w:val="center"/>
        </w:trPr>
        <w:tc>
          <w:tcPr>
            <w:tcW w:w="6913" w:type="dxa"/>
          </w:tcPr>
          <w:p w14:paraId="31FF8DD4" w14:textId="77777777" w:rsidR="00CA20F7" w:rsidRPr="007A020E" w:rsidRDefault="00CA20F7" w:rsidP="00B6212D">
            <w:pPr>
              <w:suppressAutoHyphens/>
              <w:ind w:right="-2244"/>
              <w:jc w:val="both"/>
              <w:rPr>
                <w:b/>
                <w:spacing w:val="-3"/>
              </w:rPr>
            </w:pPr>
          </w:p>
        </w:tc>
        <w:tc>
          <w:tcPr>
            <w:tcW w:w="2213" w:type="dxa"/>
          </w:tcPr>
          <w:p w14:paraId="33F0C9EB" w14:textId="77777777" w:rsidR="00CA20F7" w:rsidRPr="007A020E" w:rsidRDefault="00CA20F7"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p>
        </w:tc>
        <w:tc>
          <w:tcPr>
            <w:tcW w:w="2213" w:type="dxa"/>
          </w:tcPr>
          <w:p w14:paraId="377F1649" w14:textId="77777777" w:rsidR="00CA20F7" w:rsidRPr="007A020E" w:rsidRDefault="00CA20F7"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p>
        </w:tc>
      </w:tr>
      <w:tr w:rsidR="00CA20F7" w:rsidRPr="00262321" w14:paraId="296D6FE8" w14:textId="77777777" w:rsidTr="00D970C0">
        <w:trPr>
          <w:jc w:val="center"/>
        </w:trPr>
        <w:tc>
          <w:tcPr>
            <w:tcW w:w="6913" w:type="dxa"/>
          </w:tcPr>
          <w:p w14:paraId="4A93452A" w14:textId="77777777" w:rsidR="00CA20F7" w:rsidRPr="00262321" w:rsidRDefault="00CA20F7" w:rsidP="00B6212D">
            <w:pPr>
              <w:suppressAutoHyphens/>
              <w:ind w:right="-2244"/>
              <w:jc w:val="both"/>
              <w:rPr>
                <w:b/>
                <w:spacing w:val="-3"/>
              </w:rPr>
            </w:pPr>
          </w:p>
        </w:tc>
        <w:tc>
          <w:tcPr>
            <w:tcW w:w="2213" w:type="dxa"/>
          </w:tcPr>
          <w:p w14:paraId="0ED12ADC" w14:textId="77777777" w:rsidR="00CA20F7" w:rsidRPr="00262321" w:rsidRDefault="00CA20F7"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p>
        </w:tc>
        <w:tc>
          <w:tcPr>
            <w:tcW w:w="2213" w:type="dxa"/>
          </w:tcPr>
          <w:p w14:paraId="09660228" w14:textId="77777777" w:rsidR="00CA20F7" w:rsidRPr="00262321" w:rsidRDefault="00CA20F7"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p>
        </w:tc>
      </w:tr>
      <w:tr w:rsidR="00CA20F7" w:rsidRPr="00262321" w14:paraId="030A0986" w14:textId="77777777" w:rsidTr="00D970C0">
        <w:trPr>
          <w:jc w:val="center"/>
        </w:trPr>
        <w:tc>
          <w:tcPr>
            <w:tcW w:w="6913" w:type="dxa"/>
          </w:tcPr>
          <w:p w14:paraId="666AD3AC" w14:textId="77777777" w:rsidR="00CA20F7" w:rsidRPr="00262321" w:rsidRDefault="00CA20F7" w:rsidP="00B6212D">
            <w:pPr>
              <w:suppressAutoHyphens/>
              <w:ind w:right="-2244"/>
              <w:rPr>
                <w:b/>
                <w:spacing w:val="-3"/>
              </w:rPr>
            </w:pPr>
          </w:p>
        </w:tc>
        <w:tc>
          <w:tcPr>
            <w:tcW w:w="2213" w:type="dxa"/>
          </w:tcPr>
          <w:p w14:paraId="2B4756C3" w14:textId="77777777" w:rsidR="00CA20F7" w:rsidRPr="00262321" w:rsidRDefault="00CA20F7"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p>
        </w:tc>
        <w:tc>
          <w:tcPr>
            <w:tcW w:w="2213" w:type="dxa"/>
          </w:tcPr>
          <w:p w14:paraId="6AD8322E" w14:textId="77777777" w:rsidR="00CA20F7" w:rsidRPr="00262321" w:rsidRDefault="00CA20F7" w:rsidP="00B6212D">
            <w:pPr>
              <w:pStyle w:val="CoverMain"/>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p>
        </w:tc>
      </w:tr>
    </w:tbl>
    <w:p w14:paraId="331C0211" w14:textId="0DC772E6" w:rsidR="00CA20F7" w:rsidRPr="00262321" w:rsidRDefault="00CA20F7" w:rsidP="00B6212D">
      <w:pPr>
        <w:suppressAutoHyphens/>
        <w:jc w:val="center"/>
        <w:rPr>
          <w:spacing w:val="-3"/>
        </w:rPr>
      </w:pPr>
      <w:r w:rsidRPr="00262321">
        <w:rPr>
          <w:spacing w:val="-3"/>
        </w:rPr>
        <w:t>- - - - - - - - - - - - - - - - - - - -</w:t>
      </w:r>
    </w:p>
    <w:p w14:paraId="54881C58" w14:textId="77777777" w:rsidR="00CA20F7" w:rsidRPr="00262321" w:rsidRDefault="00CA20F7" w:rsidP="00B6212D">
      <w:pPr>
        <w:suppressAutoHyphens/>
        <w:jc w:val="center"/>
        <w:rPr>
          <w:spacing w:val="-3"/>
        </w:rPr>
      </w:pPr>
      <w:r w:rsidRPr="00262321">
        <w:rPr>
          <w:spacing w:val="-3"/>
        </w:rPr>
        <w:t>- - - - - - - - - - - - - - - - - - - - -</w:t>
      </w:r>
    </w:p>
    <w:p w14:paraId="04B44878" w14:textId="77777777" w:rsidR="00CA20F7" w:rsidRPr="00262321" w:rsidRDefault="00CA20F7" w:rsidP="00B6212D">
      <w:pPr>
        <w:suppressAutoHyphens/>
        <w:jc w:val="center"/>
        <w:rPr>
          <w:spacing w:val="-3"/>
        </w:rPr>
      </w:pPr>
      <w:bookmarkStart w:id="2" w:name="_Hlk36204213"/>
    </w:p>
    <w:p w14:paraId="134CD7AC" w14:textId="407BA304" w:rsidR="00CA20F7" w:rsidRPr="00262321" w:rsidRDefault="00CA20F7" w:rsidP="00B6212D">
      <w:pPr>
        <w:suppressAutoHyphens/>
        <w:jc w:val="center"/>
        <w:rPr>
          <w:bCs/>
          <w:spacing w:val="-3"/>
        </w:rPr>
      </w:pPr>
      <w:r w:rsidRPr="00262321">
        <w:rPr>
          <w:b/>
          <w:spacing w:val="-3"/>
        </w:rPr>
        <w:t xml:space="preserve">Mr Alex Goodman and Ms Katherine Barnes </w:t>
      </w:r>
      <w:r w:rsidRPr="00262321">
        <w:rPr>
          <w:bCs/>
          <w:spacing w:val="-3"/>
        </w:rPr>
        <w:t xml:space="preserve">(instructed by </w:t>
      </w:r>
      <w:r w:rsidRPr="00262321">
        <w:rPr>
          <w:b/>
          <w:spacing w:val="-3"/>
        </w:rPr>
        <w:t>Deighton Pierce Glynn Solicitors</w:t>
      </w:r>
      <w:r w:rsidRPr="00262321">
        <w:rPr>
          <w:bCs/>
          <w:spacing w:val="-3"/>
        </w:rPr>
        <w:t xml:space="preserve">) for the </w:t>
      </w:r>
      <w:r w:rsidRPr="00262321">
        <w:rPr>
          <w:b/>
          <w:spacing w:val="-3"/>
        </w:rPr>
        <w:t xml:space="preserve">Claimants </w:t>
      </w:r>
      <w:r w:rsidR="005360B6" w:rsidRPr="00262321">
        <w:rPr>
          <w:b/>
          <w:spacing w:val="-3"/>
        </w:rPr>
        <w:t xml:space="preserve">DMA, AHK, </w:t>
      </w:r>
      <w:r w:rsidRPr="00262321">
        <w:rPr>
          <w:b/>
          <w:spacing w:val="-3"/>
        </w:rPr>
        <w:t>BK</w:t>
      </w:r>
      <w:r w:rsidR="00245DD8" w:rsidRPr="00262321">
        <w:rPr>
          <w:b/>
          <w:spacing w:val="-3"/>
        </w:rPr>
        <w:t xml:space="preserve"> and</w:t>
      </w:r>
      <w:r w:rsidRPr="00262321">
        <w:rPr>
          <w:b/>
          <w:spacing w:val="-3"/>
        </w:rPr>
        <w:t xml:space="preserve"> ELN</w:t>
      </w:r>
    </w:p>
    <w:p w14:paraId="05FA9E2E" w14:textId="77777777" w:rsidR="00CA20F7" w:rsidRPr="00262321" w:rsidRDefault="00CA20F7" w:rsidP="00B6212D">
      <w:pPr>
        <w:suppressAutoHyphens/>
        <w:jc w:val="center"/>
        <w:rPr>
          <w:b/>
          <w:spacing w:val="-3"/>
        </w:rPr>
      </w:pPr>
      <w:r w:rsidRPr="00262321">
        <w:rPr>
          <w:b/>
          <w:spacing w:val="-3"/>
        </w:rPr>
        <w:t>Ms Zoe Leventhal and Mr Ben Amunwa</w:t>
      </w:r>
      <w:r w:rsidRPr="00262321">
        <w:rPr>
          <w:bCs/>
          <w:spacing w:val="-3"/>
        </w:rPr>
        <w:t xml:space="preserve"> (instructed by </w:t>
      </w:r>
      <w:r w:rsidRPr="00262321">
        <w:rPr>
          <w:b/>
          <w:spacing w:val="-3"/>
        </w:rPr>
        <w:t>Deighton Pierce Glynn Solicitors</w:t>
      </w:r>
      <w:r w:rsidRPr="00262321">
        <w:rPr>
          <w:bCs/>
          <w:spacing w:val="-3"/>
        </w:rPr>
        <w:t xml:space="preserve">) for the </w:t>
      </w:r>
      <w:r w:rsidRPr="00262321">
        <w:rPr>
          <w:b/>
          <w:spacing w:val="-3"/>
        </w:rPr>
        <w:t>Claimant AA</w:t>
      </w:r>
    </w:p>
    <w:p w14:paraId="7A930321" w14:textId="5AB0E393" w:rsidR="00CA20F7" w:rsidRPr="00262321" w:rsidRDefault="00CA20F7" w:rsidP="00B6212D">
      <w:pPr>
        <w:suppressAutoHyphens/>
        <w:jc w:val="center"/>
        <w:rPr>
          <w:b/>
          <w:bCs/>
          <w:spacing w:val="-3"/>
        </w:rPr>
      </w:pPr>
      <w:r w:rsidRPr="00262321">
        <w:rPr>
          <w:b/>
          <w:spacing w:val="-3"/>
        </w:rPr>
        <w:t xml:space="preserve">Mr Robin Tam QC, Mr Shakil Najib and Ms Emily Wilsdon </w:t>
      </w:r>
      <w:r w:rsidRPr="00262321">
        <w:rPr>
          <w:bCs/>
          <w:spacing w:val="-3"/>
        </w:rPr>
        <w:t>(instructed by</w:t>
      </w:r>
      <w:r w:rsidRPr="00262321">
        <w:rPr>
          <w:b/>
          <w:spacing w:val="-3"/>
        </w:rPr>
        <w:t xml:space="preserve"> the Government Legal Department</w:t>
      </w:r>
      <w:r w:rsidRPr="00262321">
        <w:rPr>
          <w:bCs/>
          <w:spacing w:val="-3"/>
        </w:rPr>
        <w:t>) for the</w:t>
      </w:r>
      <w:r w:rsidRPr="00262321">
        <w:rPr>
          <w:spacing w:val="-3"/>
        </w:rPr>
        <w:t xml:space="preserve"> </w:t>
      </w:r>
      <w:r w:rsidRPr="00262321">
        <w:rPr>
          <w:b/>
          <w:bCs/>
          <w:spacing w:val="-3"/>
        </w:rPr>
        <w:t>Defendant</w:t>
      </w:r>
      <w:bookmarkEnd w:id="2"/>
      <w:r w:rsidR="00D042E5" w:rsidRPr="00262321">
        <w:rPr>
          <w:b/>
          <w:bCs/>
          <w:spacing w:val="-3"/>
        </w:rPr>
        <w:t>,</w:t>
      </w:r>
      <w:r w:rsidR="00245DD8" w:rsidRPr="00262321">
        <w:rPr>
          <w:b/>
          <w:bCs/>
          <w:spacing w:val="-3"/>
        </w:rPr>
        <w:t xml:space="preserve"> the Secretar</w:t>
      </w:r>
      <w:r w:rsidR="00D042E5" w:rsidRPr="00262321">
        <w:rPr>
          <w:b/>
          <w:bCs/>
          <w:spacing w:val="-3"/>
        </w:rPr>
        <w:t>y of State for the Home Department</w:t>
      </w:r>
    </w:p>
    <w:p w14:paraId="1CDEDD59" w14:textId="77777777" w:rsidR="00CA20F7" w:rsidRPr="00262321" w:rsidRDefault="00CA20F7" w:rsidP="00B6212D">
      <w:pPr>
        <w:suppressAutoHyphens/>
        <w:rPr>
          <w:b/>
          <w:spacing w:val="-3"/>
        </w:rPr>
      </w:pPr>
    </w:p>
    <w:p w14:paraId="6A158A1C" w14:textId="7A6F44B2" w:rsidR="00CA20F7" w:rsidRPr="00262321" w:rsidRDefault="00CA20F7" w:rsidP="00B6212D">
      <w:pPr>
        <w:suppressAutoHyphens/>
        <w:jc w:val="center"/>
        <w:rPr>
          <w:spacing w:val="-3"/>
        </w:rPr>
      </w:pPr>
      <w:r w:rsidRPr="00262321">
        <w:rPr>
          <w:spacing w:val="-3"/>
        </w:rPr>
        <w:t>Hearing dates: 20 to 23 July 2020 (orally), and 24, 26 August</w:t>
      </w:r>
      <w:r w:rsidR="000B4D60">
        <w:rPr>
          <w:spacing w:val="-3"/>
        </w:rPr>
        <w:t xml:space="preserve">, </w:t>
      </w:r>
      <w:r w:rsidRPr="00262321">
        <w:rPr>
          <w:spacing w:val="-3"/>
        </w:rPr>
        <w:t xml:space="preserve">13 September </w:t>
      </w:r>
      <w:r w:rsidR="000B4D60">
        <w:rPr>
          <w:spacing w:val="-3"/>
        </w:rPr>
        <w:t xml:space="preserve">and 10 December 2020 </w:t>
      </w:r>
      <w:r w:rsidRPr="00262321">
        <w:rPr>
          <w:spacing w:val="-3"/>
        </w:rPr>
        <w:t>(in writing)</w:t>
      </w:r>
    </w:p>
    <w:p w14:paraId="57603128" w14:textId="77777777" w:rsidR="00CA20F7" w:rsidRPr="00262321" w:rsidRDefault="00CA20F7" w:rsidP="00B6212D">
      <w:pPr>
        <w:suppressAutoHyphens/>
        <w:jc w:val="center"/>
        <w:rPr>
          <w:spacing w:val="-3"/>
        </w:rPr>
      </w:pPr>
      <w:r w:rsidRPr="00262321">
        <w:rPr>
          <w:spacing w:val="-3"/>
        </w:rPr>
        <w:t>- - - - - - - - - - - - - - - - - - - - -</w:t>
      </w:r>
    </w:p>
    <w:p w14:paraId="41C418B2" w14:textId="1AF44433" w:rsidR="00B6212D" w:rsidRPr="00B6212D" w:rsidRDefault="00B6212D" w:rsidP="00B6212D">
      <w:pPr>
        <w:pStyle w:val="CoverDesc"/>
        <w:rPr>
          <w:sz w:val="28"/>
          <w:szCs w:val="28"/>
        </w:rPr>
      </w:pPr>
      <w:r w:rsidRPr="00B6212D">
        <w:rPr>
          <w:sz w:val="28"/>
          <w:szCs w:val="28"/>
        </w:rPr>
        <w:t>Approved Judgment</w:t>
      </w:r>
    </w:p>
    <w:p w14:paraId="6D6B89AF" w14:textId="77777777" w:rsidR="00B6212D" w:rsidRDefault="00B6212D" w:rsidP="00B6212D">
      <w:pPr>
        <w:jc w:val="center"/>
        <w:rPr>
          <w:sz w:val="20"/>
          <w:szCs w:val="20"/>
        </w:rPr>
      </w:pPr>
      <w:r>
        <w:rPr>
          <w:sz w:val="20"/>
          <w:szCs w:val="20"/>
        </w:rPr>
        <w:t>I direct that pursuant to CPR PD39A para 6.1 no official shorthand note shall be taken of this Judgment and that copies of this version as handed down may be treated as authentic</w:t>
      </w:r>
    </w:p>
    <w:p w14:paraId="518DFCFA" w14:textId="77777777" w:rsidR="00B6212D" w:rsidRDefault="00B6212D" w:rsidP="00B6212D">
      <w:pPr>
        <w:pStyle w:val="CoverDesc"/>
        <w:rPr>
          <w:sz w:val="20"/>
        </w:rPr>
      </w:pPr>
    </w:p>
    <w:p w14:paraId="4F2EED25" w14:textId="77777777" w:rsidR="00B6212D" w:rsidRDefault="00B6212D" w:rsidP="00B6212D">
      <w:pPr>
        <w:pStyle w:val="CoverDesc"/>
        <w:rPr>
          <w:b w:val="0"/>
          <w:sz w:val="20"/>
        </w:rPr>
      </w:pPr>
      <w:r>
        <w:rPr>
          <w:b w:val="0"/>
          <w:sz w:val="20"/>
        </w:rPr>
        <w:t>MR JUSTICE ROBIN KNOWLES CBE</w:t>
      </w:r>
    </w:p>
    <w:p w14:paraId="204AB555" w14:textId="77777777" w:rsidR="00CA20F7" w:rsidRPr="00262321" w:rsidRDefault="00CA20F7" w:rsidP="00B34185">
      <w:pPr>
        <w:pStyle w:val="ListParagraph"/>
        <w:widowControl w:val="0"/>
        <w:tabs>
          <w:tab w:val="left" w:pos="687"/>
          <w:tab w:val="left" w:pos="688"/>
        </w:tabs>
        <w:autoSpaceDE w:val="0"/>
        <w:autoSpaceDN w:val="0"/>
        <w:spacing w:before="1"/>
        <w:ind w:left="687"/>
        <w:contextualSpacing w:val="0"/>
        <w:jc w:val="center"/>
        <w:rPr>
          <w:rFonts w:ascii="Times New Roman" w:hAnsi="Times New Roman"/>
        </w:rPr>
      </w:pPr>
    </w:p>
    <w:p w14:paraId="6D1B43A2" w14:textId="77777777" w:rsidR="00CA20F7" w:rsidRPr="00262321" w:rsidRDefault="00CA20F7" w:rsidP="00B34185">
      <w:pPr>
        <w:pStyle w:val="ListParagraph"/>
        <w:widowControl w:val="0"/>
        <w:tabs>
          <w:tab w:val="left" w:pos="687"/>
          <w:tab w:val="left" w:pos="688"/>
        </w:tabs>
        <w:autoSpaceDE w:val="0"/>
        <w:autoSpaceDN w:val="0"/>
        <w:spacing w:before="1"/>
        <w:ind w:left="687"/>
        <w:contextualSpacing w:val="0"/>
        <w:jc w:val="center"/>
        <w:rPr>
          <w:rFonts w:ascii="Times New Roman" w:hAnsi="Times New Roman"/>
        </w:rPr>
      </w:pPr>
    </w:p>
    <w:p w14:paraId="49FEA22D" w14:textId="0FC19494" w:rsidR="00CA20F7" w:rsidRDefault="00CA20F7" w:rsidP="00B34185">
      <w:pPr>
        <w:pStyle w:val="ListParagraph"/>
        <w:widowControl w:val="0"/>
        <w:tabs>
          <w:tab w:val="left" w:pos="687"/>
          <w:tab w:val="left" w:pos="688"/>
        </w:tabs>
        <w:autoSpaceDE w:val="0"/>
        <w:autoSpaceDN w:val="0"/>
        <w:spacing w:before="1"/>
        <w:ind w:left="687"/>
        <w:contextualSpacing w:val="0"/>
        <w:jc w:val="center"/>
        <w:rPr>
          <w:rFonts w:ascii="Times New Roman" w:hAnsi="Times New Roman"/>
        </w:rPr>
      </w:pPr>
    </w:p>
    <w:p w14:paraId="106DB1D5" w14:textId="2C2D03D2" w:rsidR="00B6212D" w:rsidRDefault="00B6212D" w:rsidP="00B34185">
      <w:pPr>
        <w:pStyle w:val="ListParagraph"/>
        <w:widowControl w:val="0"/>
        <w:tabs>
          <w:tab w:val="left" w:pos="687"/>
          <w:tab w:val="left" w:pos="688"/>
        </w:tabs>
        <w:autoSpaceDE w:val="0"/>
        <w:autoSpaceDN w:val="0"/>
        <w:spacing w:before="1"/>
        <w:ind w:left="687"/>
        <w:contextualSpacing w:val="0"/>
        <w:jc w:val="center"/>
        <w:rPr>
          <w:rFonts w:ascii="Times New Roman" w:hAnsi="Times New Roman"/>
        </w:rPr>
      </w:pPr>
    </w:p>
    <w:p w14:paraId="55F8544C" w14:textId="77777777" w:rsidR="00B6212D" w:rsidRPr="00262321" w:rsidRDefault="00B6212D" w:rsidP="00B34185">
      <w:pPr>
        <w:pStyle w:val="ListParagraph"/>
        <w:widowControl w:val="0"/>
        <w:tabs>
          <w:tab w:val="left" w:pos="687"/>
          <w:tab w:val="left" w:pos="688"/>
        </w:tabs>
        <w:autoSpaceDE w:val="0"/>
        <w:autoSpaceDN w:val="0"/>
        <w:spacing w:before="1"/>
        <w:ind w:left="687"/>
        <w:contextualSpacing w:val="0"/>
        <w:jc w:val="center"/>
        <w:rPr>
          <w:rFonts w:ascii="Times New Roman" w:hAnsi="Times New Roman"/>
        </w:rPr>
      </w:pPr>
    </w:p>
    <w:p w14:paraId="4D077B98" w14:textId="77777777" w:rsidR="00CA20F7" w:rsidRPr="00D86C85" w:rsidRDefault="00CA20F7" w:rsidP="00B6212D">
      <w:pPr>
        <w:pStyle w:val="Opinion"/>
        <w:widowControl/>
        <w:spacing w:line="240" w:lineRule="auto"/>
        <w:jc w:val="both"/>
        <w:rPr>
          <w:b/>
        </w:rPr>
      </w:pPr>
      <w:r w:rsidRPr="00D86C85">
        <w:rPr>
          <w:b/>
        </w:rPr>
        <w:t>Robin Knowles J:</w:t>
      </w:r>
    </w:p>
    <w:p w14:paraId="06B1DFD5" w14:textId="77777777" w:rsidR="00CA20F7" w:rsidRPr="00D86C85" w:rsidRDefault="00CA20F7" w:rsidP="00B6212D">
      <w:pPr>
        <w:pStyle w:val="ListParagraph"/>
        <w:widowControl w:val="0"/>
        <w:tabs>
          <w:tab w:val="left" w:pos="687"/>
          <w:tab w:val="left" w:pos="688"/>
        </w:tabs>
        <w:autoSpaceDE w:val="0"/>
        <w:autoSpaceDN w:val="0"/>
        <w:spacing w:before="62"/>
        <w:ind w:left="0"/>
        <w:contextualSpacing w:val="0"/>
        <w:jc w:val="both"/>
        <w:rPr>
          <w:rFonts w:ascii="Times New Roman" w:hAnsi="Times New Roman"/>
          <w:b/>
          <w:bCs/>
        </w:rPr>
      </w:pPr>
    </w:p>
    <w:p w14:paraId="70E49E8E" w14:textId="77777777" w:rsidR="00CA20F7" w:rsidRPr="00D86C85" w:rsidRDefault="00CA20F7" w:rsidP="00B6212D">
      <w:pPr>
        <w:pStyle w:val="ListParagraph"/>
        <w:widowControl w:val="0"/>
        <w:tabs>
          <w:tab w:val="left" w:pos="687"/>
          <w:tab w:val="left" w:pos="688"/>
        </w:tabs>
        <w:autoSpaceDE w:val="0"/>
        <w:autoSpaceDN w:val="0"/>
        <w:spacing w:before="62"/>
        <w:ind w:left="0"/>
        <w:contextualSpacing w:val="0"/>
        <w:jc w:val="both"/>
        <w:rPr>
          <w:rFonts w:ascii="Times New Roman" w:hAnsi="Times New Roman"/>
          <w:b/>
          <w:bCs/>
          <w:u w:val="single"/>
        </w:rPr>
      </w:pPr>
      <w:r w:rsidRPr="00D86C85">
        <w:rPr>
          <w:rFonts w:ascii="Times New Roman" w:hAnsi="Times New Roman"/>
          <w:b/>
          <w:bCs/>
          <w:u w:val="single"/>
        </w:rPr>
        <w:t>Introduction</w:t>
      </w:r>
    </w:p>
    <w:p w14:paraId="0DA3A5ED" w14:textId="77777777" w:rsidR="00CA20F7" w:rsidRPr="00D86C85" w:rsidRDefault="00CA20F7" w:rsidP="00B6212D">
      <w:pPr>
        <w:pStyle w:val="ListParagraph"/>
        <w:widowControl w:val="0"/>
        <w:tabs>
          <w:tab w:val="left" w:pos="687"/>
          <w:tab w:val="left" w:pos="688"/>
        </w:tabs>
        <w:autoSpaceDE w:val="0"/>
        <w:autoSpaceDN w:val="0"/>
        <w:spacing w:before="62"/>
        <w:ind w:left="0"/>
        <w:contextualSpacing w:val="0"/>
        <w:jc w:val="both"/>
        <w:rPr>
          <w:rFonts w:ascii="Times New Roman" w:hAnsi="Times New Roman"/>
          <w:b/>
          <w:bCs/>
        </w:rPr>
      </w:pPr>
    </w:p>
    <w:p w14:paraId="48A00874" w14:textId="42075DDA" w:rsidR="00682167" w:rsidRPr="00D86C85" w:rsidRDefault="00CA20F7" w:rsidP="00B6212D">
      <w:pPr>
        <w:pStyle w:val="ListParagraph"/>
        <w:widowControl w:val="0"/>
        <w:numPr>
          <w:ilvl w:val="0"/>
          <w:numId w:val="10"/>
        </w:numPr>
        <w:tabs>
          <w:tab w:val="left" w:pos="687"/>
          <w:tab w:val="left" w:pos="688"/>
        </w:tabs>
        <w:autoSpaceDE w:val="0"/>
        <w:autoSpaceDN w:val="0"/>
        <w:spacing w:before="62"/>
        <w:ind w:left="686" w:hanging="567"/>
        <w:contextualSpacing w:val="0"/>
        <w:jc w:val="both"/>
        <w:rPr>
          <w:rFonts w:ascii="Times New Roman" w:hAnsi="Times New Roman"/>
        </w:rPr>
      </w:pPr>
      <w:r w:rsidRPr="00D86C85">
        <w:rPr>
          <w:rFonts w:ascii="Times New Roman" w:hAnsi="Times New Roman"/>
        </w:rPr>
        <w:t xml:space="preserve">The claimants </w:t>
      </w:r>
      <w:r w:rsidR="00191517">
        <w:rPr>
          <w:rFonts w:ascii="Times New Roman" w:hAnsi="Times New Roman"/>
        </w:rPr>
        <w:t xml:space="preserve">in these proceedings </w:t>
      </w:r>
      <w:r w:rsidR="001824A2">
        <w:rPr>
          <w:rFonts w:ascii="Times New Roman" w:hAnsi="Times New Roman"/>
        </w:rPr>
        <w:t xml:space="preserve">had </w:t>
      </w:r>
      <w:r w:rsidR="006B1BFF" w:rsidRPr="00D86C85">
        <w:rPr>
          <w:rFonts w:ascii="Times New Roman" w:hAnsi="Times New Roman"/>
        </w:rPr>
        <w:t>each</w:t>
      </w:r>
      <w:r w:rsidR="00F167FC" w:rsidRPr="00D86C85">
        <w:rPr>
          <w:rFonts w:ascii="Times New Roman" w:hAnsi="Times New Roman"/>
        </w:rPr>
        <w:t xml:space="preserve"> sought</w:t>
      </w:r>
      <w:r w:rsidRPr="00D86C85">
        <w:rPr>
          <w:rFonts w:ascii="Times New Roman" w:hAnsi="Times New Roman"/>
        </w:rPr>
        <w:t xml:space="preserve"> asylum</w:t>
      </w:r>
      <w:r w:rsidR="006B1BFF" w:rsidRPr="00D86C85">
        <w:rPr>
          <w:rFonts w:ascii="Times New Roman" w:hAnsi="Times New Roman"/>
        </w:rPr>
        <w:t xml:space="preserve">. </w:t>
      </w:r>
      <w:r w:rsidR="009D42D1">
        <w:rPr>
          <w:rFonts w:ascii="Times New Roman" w:hAnsi="Times New Roman"/>
        </w:rPr>
        <w:t>T</w:t>
      </w:r>
      <w:r w:rsidR="00CB1524" w:rsidRPr="00D86C85">
        <w:rPr>
          <w:rFonts w:ascii="Times New Roman" w:hAnsi="Times New Roman"/>
        </w:rPr>
        <w:t>heir</w:t>
      </w:r>
      <w:r w:rsidR="006B1BFF" w:rsidRPr="00D86C85">
        <w:rPr>
          <w:rFonts w:ascii="Times New Roman" w:hAnsi="Times New Roman"/>
        </w:rPr>
        <w:t xml:space="preserve"> claims</w:t>
      </w:r>
      <w:r w:rsidRPr="00D86C85">
        <w:rPr>
          <w:rFonts w:ascii="Times New Roman" w:hAnsi="Times New Roman"/>
        </w:rPr>
        <w:t xml:space="preserve"> </w:t>
      </w:r>
      <w:r w:rsidR="003D58CD" w:rsidRPr="00D86C85">
        <w:rPr>
          <w:rFonts w:ascii="Times New Roman" w:hAnsi="Times New Roman"/>
        </w:rPr>
        <w:t xml:space="preserve">for asylum </w:t>
      </w:r>
      <w:r w:rsidR="00F62F88">
        <w:rPr>
          <w:rFonts w:ascii="Times New Roman" w:hAnsi="Times New Roman"/>
        </w:rPr>
        <w:t>had been</w:t>
      </w:r>
      <w:r w:rsidR="003546DE" w:rsidRPr="00D86C85">
        <w:rPr>
          <w:rFonts w:ascii="Times New Roman" w:hAnsi="Times New Roman"/>
        </w:rPr>
        <w:t xml:space="preserve"> </w:t>
      </w:r>
      <w:r w:rsidRPr="00D86C85">
        <w:rPr>
          <w:rFonts w:ascii="Times New Roman" w:hAnsi="Times New Roman"/>
        </w:rPr>
        <w:t>rejected</w:t>
      </w:r>
      <w:r w:rsidR="006B1BFF" w:rsidRPr="00D86C85">
        <w:rPr>
          <w:rFonts w:ascii="Times New Roman" w:hAnsi="Times New Roman"/>
        </w:rPr>
        <w:t xml:space="preserve"> </w:t>
      </w:r>
      <w:r w:rsidR="00376B3F">
        <w:rPr>
          <w:rFonts w:ascii="Times New Roman" w:hAnsi="Times New Roman"/>
        </w:rPr>
        <w:t>by the defendant (“the Secretary of State”</w:t>
      </w:r>
      <w:r w:rsidR="00F52C7E">
        <w:rPr>
          <w:rFonts w:ascii="Times New Roman" w:hAnsi="Times New Roman"/>
        </w:rPr>
        <w:t xml:space="preserve">) </w:t>
      </w:r>
      <w:r w:rsidR="006B1BFF" w:rsidRPr="00D86C85">
        <w:rPr>
          <w:rFonts w:ascii="Times New Roman" w:hAnsi="Times New Roman"/>
        </w:rPr>
        <w:t>although</w:t>
      </w:r>
      <w:r w:rsidR="003A00B4" w:rsidRPr="00D86C85">
        <w:rPr>
          <w:rFonts w:ascii="Times New Roman" w:hAnsi="Times New Roman"/>
        </w:rPr>
        <w:t xml:space="preserve"> </w:t>
      </w:r>
      <w:r w:rsidR="000633AE" w:rsidRPr="00D86C85">
        <w:rPr>
          <w:rFonts w:ascii="Times New Roman" w:hAnsi="Times New Roman"/>
        </w:rPr>
        <w:t>they</w:t>
      </w:r>
      <w:r w:rsidR="006B1BFF" w:rsidRPr="00D86C85">
        <w:rPr>
          <w:rFonts w:ascii="Times New Roman" w:hAnsi="Times New Roman"/>
        </w:rPr>
        <w:t xml:space="preserve"> </w:t>
      </w:r>
      <w:r w:rsidR="00AA1644" w:rsidRPr="00D86C85">
        <w:rPr>
          <w:rFonts w:ascii="Times New Roman" w:hAnsi="Times New Roman"/>
        </w:rPr>
        <w:t>await</w:t>
      </w:r>
      <w:r w:rsidR="000449A8" w:rsidRPr="00D86C85">
        <w:rPr>
          <w:rFonts w:ascii="Times New Roman" w:hAnsi="Times New Roman"/>
        </w:rPr>
        <w:t>ed</w:t>
      </w:r>
      <w:r w:rsidR="00AA1644" w:rsidRPr="00D86C85">
        <w:rPr>
          <w:rFonts w:ascii="Times New Roman" w:hAnsi="Times New Roman"/>
        </w:rPr>
        <w:t xml:space="preserve"> consideration </w:t>
      </w:r>
      <w:r w:rsidR="003A00B4" w:rsidRPr="00D86C85">
        <w:rPr>
          <w:rFonts w:ascii="Times New Roman" w:hAnsi="Times New Roman"/>
        </w:rPr>
        <w:t xml:space="preserve">of further </w:t>
      </w:r>
      <w:r w:rsidR="00E4148A" w:rsidRPr="00D86C85">
        <w:rPr>
          <w:rFonts w:ascii="Times New Roman" w:hAnsi="Times New Roman"/>
        </w:rPr>
        <w:t>representations</w:t>
      </w:r>
      <w:r w:rsidRPr="00D86C85">
        <w:rPr>
          <w:rFonts w:ascii="Times New Roman" w:hAnsi="Times New Roman"/>
        </w:rPr>
        <w:t xml:space="preserve">. </w:t>
      </w:r>
      <w:r w:rsidR="002D488C" w:rsidRPr="00D86C85">
        <w:rPr>
          <w:rFonts w:ascii="Times New Roman" w:hAnsi="Times New Roman"/>
        </w:rPr>
        <w:t>For the time being, each remained in the country.</w:t>
      </w:r>
    </w:p>
    <w:p w14:paraId="13D4B900" w14:textId="77777777" w:rsidR="00682167" w:rsidRPr="00D86C85" w:rsidRDefault="00682167" w:rsidP="00B6212D">
      <w:pPr>
        <w:pStyle w:val="ListParagraph"/>
        <w:widowControl w:val="0"/>
        <w:tabs>
          <w:tab w:val="left" w:pos="687"/>
          <w:tab w:val="left" w:pos="688"/>
        </w:tabs>
        <w:autoSpaceDE w:val="0"/>
        <w:autoSpaceDN w:val="0"/>
        <w:spacing w:before="62"/>
        <w:ind w:left="686"/>
        <w:contextualSpacing w:val="0"/>
        <w:jc w:val="both"/>
        <w:rPr>
          <w:rFonts w:ascii="Times New Roman" w:hAnsi="Times New Roman"/>
        </w:rPr>
      </w:pPr>
    </w:p>
    <w:p w14:paraId="5A211DC8" w14:textId="4D6C49F2" w:rsidR="00CA20F7" w:rsidRPr="00D86C85" w:rsidRDefault="00765F98" w:rsidP="00B6212D">
      <w:pPr>
        <w:pStyle w:val="ListParagraph"/>
        <w:widowControl w:val="0"/>
        <w:numPr>
          <w:ilvl w:val="0"/>
          <w:numId w:val="10"/>
        </w:numPr>
        <w:tabs>
          <w:tab w:val="left" w:pos="687"/>
          <w:tab w:val="left" w:pos="688"/>
        </w:tabs>
        <w:autoSpaceDE w:val="0"/>
        <w:autoSpaceDN w:val="0"/>
        <w:spacing w:before="62"/>
        <w:ind w:left="686" w:hanging="567"/>
        <w:contextualSpacing w:val="0"/>
        <w:jc w:val="both"/>
        <w:rPr>
          <w:rFonts w:ascii="Times New Roman" w:hAnsi="Times New Roman"/>
        </w:rPr>
      </w:pPr>
      <w:r w:rsidRPr="00D86C85">
        <w:rPr>
          <w:rFonts w:ascii="Times New Roman" w:hAnsi="Times New Roman"/>
        </w:rPr>
        <w:t xml:space="preserve">Under prevailing arrangements, </w:t>
      </w:r>
      <w:r w:rsidR="006F41A7" w:rsidRPr="00D86C85">
        <w:rPr>
          <w:rFonts w:ascii="Times New Roman" w:hAnsi="Times New Roman"/>
        </w:rPr>
        <w:t>the claimants ha</w:t>
      </w:r>
      <w:r w:rsidR="000449A8" w:rsidRPr="00D86C85">
        <w:rPr>
          <w:rFonts w:ascii="Times New Roman" w:hAnsi="Times New Roman"/>
        </w:rPr>
        <w:t>d</w:t>
      </w:r>
      <w:r w:rsidR="00CA20F7" w:rsidRPr="00D86C85">
        <w:rPr>
          <w:rFonts w:ascii="Times New Roman" w:hAnsi="Times New Roman"/>
        </w:rPr>
        <w:t xml:space="preserve"> no right to work to provide for themselves. </w:t>
      </w:r>
      <w:r w:rsidR="006F41A7" w:rsidRPr="00D86C85">
        <w:rPr>
          <w:rFonts w:ascii="Times New Roman" w:hAnsi="Times New Roman"/>
        </w:rPr>
        <w:t>At the same time</w:t>
      </w:r>
      <w:r w:rsidR="00EA025B" w:rsidRPr="00D86C85">
        <w:rPr>
          <w:rFonts w:ascii="Times New Roman" w:hAnsi="Times New Roman"/>
        </w:rPr>
        <w:t>,</w:t>
      </w:r>
      <w:r w:rsidR="006F41A7" w:rsidRPr="00D86C85">
        <w:rPr>
          <w:rFonts w:ascii="Times New Roman" w:hAnsi="Times New Roman"/>
        </w:rPr>
        <w:t xml:space="preserve"> t</w:t>
      </w:r>
      <w:r w:rsidR="00CA20F7" w:rsidRPr="00D86C85">
        <w:rPr>
          <w:rFonts w:ascii="Times New Roman" w:hAnsi="Times New Roman"/>
        </w:rPr>
        <w:t>hey ha</w:t>
      </w:r>
      <w:r w:rsidR="000449A8" w:rsidRPr="00D86C85">
        <w:rPr>
          <w:rFonts w:ascii="Times New Roman" w:hAnsi="Times New Roman"/>
        </w:rPr>
        <w:t>d</w:t>
      </w:r>
      <w:r w:rsidR="00CA20F7" w:rsidRPr="00D86C85">
        <w:rPr>
          <w:rFonts w:ascii="Times New Roman" w:hAnsi="Times New Roman"/>
        </w:rPr>
        <w:t xml:space="preserve"> “no recourse to public funds” for shelter, food or </w:t>
      </w:r>
      <w:r w:rsidR="00E62085" w:rsidRPr="00D86C85">
        <w:rPr>
          <w:rFonts w:ascii="Times New Roman" w:hAnsi="Times New Roman"/>
        </w:rPr>
        <w:t>what</w:t>
      </w:r>
      <w:r w:rsidR="00DD28EA" w:rsidRPr="00D86C85">
        <w:rPr>
          <w:rFonts w:ascii="Times New Roman" w:hAnsi="Times New Roman"/>
        </w:rPr>
        <w:t>, in one of the authorities,</w:t>
      </w:r>
      <w:r w:rsidR="00E62085" w:rsidRPr="00D86C85">
        <w:rPr>
          <w:rFonts w:ascii="Times New Roman" w:hAnsi="Times New Roman"/>
        </w:rPr>
        <w:t xml:space="preserve"> </w:t>
      </w:r>
      <w:r w:rsidR="00DD28EA" w:rsidRPr="00D86C85">
        <w:rPr>
          <w:rFonts w:ascii="Times New Roman" w:hAnsi="Times New Roman"/>
        </w:rPr>
        <w:t>Lord Bingham term</w:t>
      </w:r>
      <w:r w:rsidR="00AF0B2C" w:rsidRPr="00D86C85">
        <w:rPr>
          <w:rFonts w:ascii="Times New Roman" w:hAnsi="Times New Roman"/>
        </w:rPr>
        <w:t>ed</w:t>
      </w:r>
      <w:r w:rsidR="00E62085" w:rsidRPr="00D86C85">
        <w:rPr>
          <w:rFonts w:ascii="Times New Roman" w:hAnsi="Times New Roman"/>
        </w:rPr>
        <w:t xml:space="preserve"> “</w:t>
      </w:r>
      <w:r w:rsidR="00CA20F7" w:rsidRPr="00D86C85">
        <w:rPr>
          <w:rFonts w:ascii="Times New Roman" w:hAnsi="Times New Roman"/>
        </w:rPr>
        <w:t>the most basic necessities of life</w:t>
      </w:r>
      <w:r w:rsidR="00E62085" w:rsidRPr="00D86C85">
        <w:rPr>
          <w:rFonts w:ascii="Times New Roman" w:hAnsi="Times New Roman"/>
        </w:rPr>
        <w:t>”</w:t>
      </w:r>
      <w:r w:rsidR="00CA20F7" w:rsidRPr="00D86C85">
        <w:rPr>
          <w:rFonts w:ascii="Times New Roman" w:hAnsi="Times New Roman"/>
        </w:rPr>
        <w:t xml:space="preserve">. </w:t>
      </w:r>
    </w:p>
    <w:p w14:paraId="438073B2" w14:textId="77777777" w:rsidR="00CA20F7" w:rsidRPr="00D86C85" w:rsidRDefault="00CA20F7" w:rsidP="00B6212D">
      <w:pPr>
        <w:pStyle w:val="ListParagraph"/>
        <w:widowControl w:val="0"/>
        <w:tabs>
          <w:tab w:val="left" w:pos="687"/>
          <w:tab w:val="left" w:pos="688"/>
        </w:tabs>
        <w:autoSpaceDE w:val="0"/>
        <w:autoSpaceDN w:val="0"/>
        <w:spacing w:before="62"/>
        <w:ind w:left="687"/>
        <w:contextualSpacing w:val="0"/>
        <w:jc w:val="both"/>
        <w:rPr>
          <w:rFonts w:ascii="Times New Roman" w:hAnsi="Times New Roman"/>
        </w:rPr>
      </w:pPr>
    </w:p>
    <w:p w14:paraId="31E35F0A" w14:textId="172A3D53" w:rsidR="00CA20F7" w:rsidRPr="00D86C85" w:rsidRDefault="00D83E72" w:rsidP="00B6212D">
      <w:pPr>
        <w:pStyle w:val="ListParagraph"/>
        <w:widowControl w:val="0"/>
        <w:numPr>
          <w:ilvl w:val="0"/>
          <w:numId w:val="10"/>
        </w:numPr>
        <w:tabs>
          <w:tab w:val="left" w:pos="687"/>
          <w:tab w:val="left" w:pos="688"/>
        </w:tabs>
        <w:autoSpaceDE w:val="0"/>
        <w:autoSpaceDN w:val="0"/>
        <w:spacing w:before="62"/>
        <w:ind w:left="686" w:hanging="567"/>
        <w:contextualSpacing w:val="0"/>
        <w:jc w:val="both"/>
        <w:rPr>
          <w:rFonts w:ascii="Times New Roman" w:hAnsi="Times New Roman"/>
        </w:rPr>
      </w:pPr>
      <w:r w:rsidRPr="00D86C85">
        <w:rPr>
          <w:rFonts w:ascii="Times New Roman" w:hAnsi="Times New Roman"/>
        </w:rPr>
        <w:t>Each</w:t>
      </w:r>
      <w:r w:rsidR="00CA20F7" w:rsidRPr="00D86C85">
        <w:rPr>
          <w:rFonts w:ascii="Times New Roman" w:hAnsi="Times New Roman"/>
        </w:rPr>
        <w:t xml:space="preserve"> claimant asked the Secretary of State to accept a duty to provide accommodation or arrange for the provision of accommodation. The Secretary of State properly accepted the duty in each case, by reference to section 4</w:t>
      </w:r>
      <w:r w:rsidR="00DE7DAA" w:rsidRPr="00D86C85">
        <w:rPr>
          <w:rFonts w:ascii="Times New Roman" w:hAnsi="Times New Roman"/>
        </w:rPr>
        <w:t>(2)</w:t>
      </w:r>
      <w:r w:rsidR="00CA20F7" w:rsidRPr="00D86C85">
        <w:rPr>
          <w:rFonts w:ascii="Times New Roman" w:hAnsi="Times New Roman"/>
        </w:rPr>
        <w:t xml:space="preserve"> of the Immigration and Asylum Act 1999</w:t>
      </w:r>
      <w:r w:rsidR="00CA20F7" w:rsidRPr="00D86C85">
        <w:rPr>
          <w:rFonts w:ascii="Times New Roman" w:hAnsi="Times New Roman"/>
          <w:spacing w:val="-3"/>
        </w:rPr>
        <w:t xml:space="preserve"> (“the 1999 Act”)</w:t>
      </w:r>
      <w:r w:rsidR="00CA20F7" w:rsidRPr="00D86C85">
        <w:rPr>
          <w:rFonts w:ascii="Times New Roman" w:hAnsi="Times New Roman"/>
        </w:rPr>
        <w:t>.</w:t>
      </w:r>
    </w:p>
    <w:p w14:paraId="7AC1C145" w14:textId="77777777" w:rsidR="00CA20F7" w:rsidRPr="00D86C85" w:rsidRDefault="00CA20F7" w:rsidP="00B6212D">
      <w:pPr>
        <w:pStyle w:val="ListParagraph"/>
        <w:jc w:val="both"/>
        <w:rPr>
          <w:rFonts w:ascii="Times New Roman" w:hAnsi="Times New Roman"/>
        </w:rPr>
      </w:pPr>
    </w:p>
    <w:p w14:paraId="76206E92" w14:textId="1E140DFF" w:rsidR="00CA20F7" w:rsidRPr="00D86C85" w:rsidRDefault="00CA20F7" w:rsidP="00B6212D">
      <w:pPr>
        <w:pStyle w:val="ListParagraph"/>
        <w:widowControl w:val="0"/>
        <w:numPr>
          <w:ilvl w:val="0"/>
          <w:numId w:val="10"/>
        </w:numPr>
        <w:tabs>
          <w:tab w:val="left" w:pos="687"/>
          <w:tab w:val="left" w:pos="688"/>
        </w:tabs>
        <w:autoSpaceDE w:val="0"/>
        <w:autoSpaceDN w:val="0"/>
        <w:spacing w:before="62"/>
        <w:ind w:left="686" w:hanging="567"/>
        <w:contextualSpacing w:val="0"/>
        <w:jc w:val="both"/>
        <w:rPr>
          <w:rFonts w:ascii="Times New Roman" w:hAnsi="Times New Roman"/>
        </w:rPr>
      </w:pPr>
      <w:r w:rsidRPr="00D86C85">
        <w:rPr>
          <w:rFonts w:ascii="Times New Roman" w:hAnsi="Times New Roman"/>
        </w:rPr>
        <w:t xml:space="preserve">The issues in these proceedings concern the performance of that duty; the actual provision of the accommodation. </w:t>
      </w:r>
      <w:r w:rsidR="004559A9">
        <w:rPr>
          <w:rFonts w:ascii="Times New Roman" w:hAnsi="Times New Roman"/>
        </w:rPr>
        <w:t xml:space="preserve">At the same time they provide a particular focus on the role of monitoring </w:t>
      </w:r>
      <w:r w:rsidR="008A28C5">
        <w:rPr>
          <w:rFonts w:ascii="Times New Roman" w:hAnsi="Times New Roman"/>
        </w:rPr>
        <w:t>(including collection and capture of data, and evaluation).</w:t>
      </w:r>
    </w:p>
    <w:p w14:paraId="553ED6A4" w14:textId="77777777" w:rsidR="00CA20F7" w:rsidRPr="00D86C85" w:rsidRDefault="00CA20F7" w:rsidP="00B6212D">
      <w:pPr>
        <w:pStyle w:val="ListParagraph"/>
        <w:jc w:val="both"/>
        <w:rPr>
          <w:rFonts w:ascii="Times New Roman" w:hAnsi="Times New Roman"/>
        </w:rPr>
      </w:pPr>
    </w:p>
    <w:p w14:paraId="66BD384E" w14:textId="7F2E5D43" w:rsidR="00CA20F7" w:rsidRPr="00D86C85" w:rsidRDefault="00CA20F7" w:rsidP="00B6212D">
      <w:pPr>
        <w:pStyle w:val="ListParagraph"/>
        <w:widowControl w:val="0"/>
        <w:numPr>
          <w:ilvl w:val="0"/>
          <w:numId w:val="10"/>
        </w:numPr>
        <w:tabs>
          <w:tab w:val="left" w:pos="687"/>
          <w:tab w:val="left" w:pos="688"/>
        </w:tabs>
        <w:autoSpaceDE w:val="0"/>
        <w:autoSpaceDN w:val="0"/>
        <w:spacing w:before="62"/>
        <w:ind w:left="686" w:hanging="567"/>
        <w:contextualSpacing w:val="0"/>
        <w:jc w:val="both"/>
        <w:rPr>
          <w:rFonts w:ascii="Times New Roman" w:hAnsi="Times New Roman"/>
        </w:rPr>
      </w:pPr>
      <w:r w:rsidRPr="00D86C85">
        <w:rPr>
          <w:rFonts w:ascii="Times New Roman" w:hAnsi="Times New Roman"/>
        </w:rPr>
        <w:t>The</w:t>
      </w:r>
      <w:r w:rsidR="003A5EA6">
        <w:rPr>
          <w:rFonts w:ascii="Times New Roman" w:hAnsi="Times New Roman"/>
        </w:rPr>
        <w:t>re are two</w:t>
      </w:r>
      <w:r w:rsidRPr="00D86C85">
        <w:rPr>
          <w:rFonts w:ascii="Times New Roman" w:hAnsi="Times New Roman"/>
        </w:rPr>
        <w:t xml:space="preserve"> claims</w:t>
      </w:r>
      <w:r w:rsidR="003A5EA6">
        <w:rPr>
          <w:rFonts w:ascii="Times New Roman" w:hAnsi="Times New Roman"/>
        </w:rPr>
        <w:t>, and they</w:t>
      </w:r>
      <w:r w:rsidRPr="00D86C85">
        <w:rPr>
          <w:rFonts w:ascii="Times New Roman" w:hAnsi="Times New Roman"/>
        </w:rPr>
        <w:t xml:space="preserve"> are heard together by order of Swift J, as Judge in Charge of the Administrative Court. There are 5 claimants in total, </w:t>
      </w:r>
      <w:r w:rsidR="00A36CFE" w:rsidRPr="00D86C85">
        <w:rPr>
          <w:rFonts w:ascii="Times New Roman" w:hAnsi="Times New Roman"/>
        </w:rPr>
        <w:t xml:space="preserve">there are various aspects of vulnerability, </w:t>
      </w:r>
      <w:r w:rsidRPr="00D86C85">
        <w:rPr>
          <w:rFonts w:ascii="Times New Roman" w:hAnsi="Times New Roman"/>
        </w:rPr>
        <w:t xml:space="preserve">and </w:t>
      </w:r>
      <w:r w:rsidR="00A23E84" w:rsidRPr="00D86C85">
        <w:rPr>
          <w:rFonts w:ascii="Times New Roman" w:hAnsi="Times New Roman"/>
        </w:rPr>
        <w:t xml:space="preserve">one </w:t>
      </w:r>
      <w:r w:rsidR="0051133F">
        <w:rPr>
          <w:rFonts w:ascii="Times New Roman" w:hAnsi="Times New Roman"/>
        </w:rPr>
        <w:t xml:space="preserve">claimant </w:t>
      </w:r>
      <w:r w:rsidR="00A23E84" w:rsidRPr="00D86C85">
        <w:rPr>
          <w:rFonts w:ascii="Times New Roman" w:hAnsi="Times New Roman"/>
        </w:rPr>
        <w:t xml:space="preserve">at least </w:t>
      </w:r>
      <w:r w:rsidR="007F77AF" w:rsidRPr="00D86C85">
        <w:rPr>
          <w:rFonts w:ascii="Times New Roman" w:hAnsi="Times New Roman"/>
        </w:rPr>
        <w:t>is severely disabled</w:t>
      </w:r>
      <w:r w:rsidRPr="00D86C85">
        <w:rPr>
          <w:rFonts w:ascii="Times New Roman" w:hAnsi="Times New Roman"/>
        </w:rPr>
        <w:t>. Their identities have been kept private in these proceedings. Their circumstances are examples of the circumstances of others.</w:t>
      </w:r>
    </w:p>
    <w:p w14:paraId="7FD82E6A" w14:textId="77777777" w:rsidR="004515EB" w:rsidRPr="00D86C85" w:rsidRDefault="004515EB" w:rsidP="00B6212D">
      <w:pPr>
        <w:pStyle w:val="ListParagraph"/>
        <w:jc w:val="both"/>
        <w:rPr>
          <w:rFonts w:ascii="Times New Roman" w:hAnsi="Times New Roman"/>
        </w:rPr>
      </w:pPr>
    </w:p>
    <w:p w14:paraId="7DADB230" w14:textId="2633F33A" w:rsidR="00C25E44" w:rsidRPr="00D86C85" w:rsidRDefault="004515EB" w:rsidP="00B6212D">
      <w:pPr>
        <w:pStyle w:val="ListParagraph"/>
        <w:widowControl w:val="0"/>
        <w:numPr>
          <w:ilvl w:val="0"/>
          <w:numId w:val="10"/>
        </w:numPr>
        <w:tabs>
          <w:tab w:val="left" w:pos="687"/>
          <w:tab w:val="left" w:pos="688"/>
        </w:tabs>
        <w:autoSpaceDE w:val="0"/>
        <w:autoSpaceDN w:val="0"/>
        <w:spacing w:before="62"/>
        <w:ind w:left="686" w:hanging="567"/>
        <w:contextualSpacing w:val="0"/>
        <w:jc w:val="both"/>
        <w:rPr>
          <w:rFonts w:ascii="Times New Roman" w:hAnsi="Times New Roman"/>
        </w:rPr>
      </w:pPr>
      <w:r w:rsidRPr="00D86C85">
        <w:rPr>
          <w:rFonts w:ascii="Times New Roman" w:hAnsi="Times New Roman"/>
        </w:rPr>
        <w:t xml:space="preserve">One </w:t>
      </w:r>
      <w:r w:rsidR="002D488C" w:rsidRPr="00D86C85">
        <w:rPr>
          <w:rFonts w:ascii="Times New Roman" w:hAnsi="Times New Roman"/>
        </w:rPr>
        <w:t xml:space="preserve">claimant </w:t>
      </w:r>
      <w:r w:rsidRPr="00D86C85">
        <w:rPr>
          <w:rFonts w:ascii="Times New Roman" w:hAnsi="Times New Roman"/>
        </w:rPr>
        <w:t xml:space="preserve">was in due course granted asylum and leave to remain and </w:t>
      </w:r>
      <w:r w:rsidR="00DB2B33">
        <w:rPr>
          <w:rFonts w:ascii="Times New Roman" w:hAnsi="Times New Roman"/>
        </w:rPr>
        <w:t>two were</w:t>
      </w:r>
      <w:r w:rsidRPr="00D86C85">
        <w:rPr>
          <w:rFonts w:ascii="Times New Roman" w:hAnsi="Times New Roman"/>
        </w:rPr>
        <w:t xml:space="preserve"> in due course granted leave to remain. </w:t>
      </w:r>
    </w:p>
    <w:p w14:paraId="0B99D0A1" w14:textId="77777777" w:rsidR="00C25E44" w:rsidRPr="00D86C85" w:rsidRDefault="00C25E44" w:rsidP="00B6212D">
      <w:pPr>
        <w:pStyle w:val="ListParagraph"/>
        <w:jc w:val="both"/>
        <w:rPr>
          <w:rFonts w:ascii="Times New Roman" w:hAnsi="Times New Roman"/>
        </w:rPr>
      </w:pPr>
    </w:p>
    <w:p w14:paraId="6EB84555" w14:textId="1A201721" w:rsidR="00497A9B" w:rsidRPr="00D86C85" w:rsidRDefault="00B763AC" w:rsidP="00B6212D">
      <w:pPr>
        <w:pStyle w:val="ListParagraph"/>
        <w:widowControl w:val="0"/>
        <w:numPr>
          <w:ilvl w:val="0"/>
          <w:numId w:val="10"/>
        </w:numPr>
        <w:tabs>
          <w:tab w:val="left" w:pos="687"/>
          <w:tab w:val="left" w:pos="688"/>
        </w:tabs>
        <w:autoSpaceDE w:val="0"/>
        <w:autoSpaceDN w:val="0"/>
        <w:spacing w:before="62"/>
        <w:ind w:left="686" w:hanging="567"/>
        <w:contextualSpacing w:val="0"/>
        <w:jc w:val="both"/>
        <w:rPr>
          <w:rFonts w:ascii="Times New Roman" w:hAnsi="Times New Roman"/>
        </w:rPr>
      </w:pPr>
      <w:r w:rsidRPr="00D86C85">
        <w:rPr>
          <w:rFonts w:ascii="Times New Roman" w:hAnsi="Times New Roman"/>
        </w:rPr>
        <w:t>This judgment divides into these sections:</w:t>
      </w:r>
    </w:p>
    <w:p w14:paraId="705D16EB" w14:textId="3E453ABE" w:rsidR="00497A9B" w:rsidRPr="00D86C85" w:rsidRDefault="00497A9B" w:rsidP="00B6212D">
      <w:pPr>
        <w:widowControl w:val="0"/>
        <w:tabs>
          <w:tab w:val="left" w:pos="687"/>
          <w:tab w:val="left" w:pos="688"/>
        </w:tabs>
        <w:autoSpaceDE w:val="0"/>
        <w:autoSpaceDN w:val="0"/>
        <w:spacing w:before="62"/>
        <w:ind w:left="686"/>
        <w:jc w:val="both"/>
      </w:pPr>
    </w:p>
    <w:p w14:paraId="457C6909" w14:textId="52751BF5" w:rsidR="00B763AC" w:rsidRPr="00D86C85" w:rsidRDefault="00236879" w:rsidP="00B6212D">
      <w:pPr>
        <w:widowControl w:val="0"/>
        <w:tabs>
          <w:tab w:val="left" w:pos="687"/>
          <w:tab w:val="left" w:pos="688"/>
        </w:tabs>
        <w:autoSpaceDE w:val="0"/>
        <w:autoSpaceDN w:val="0"/>
        <w:spacing w:before="62"/>
        <w:jc w:val="both"/>
      </w:pPr>
      <w:r w:rsidRPr="00D86C85">
        <w:tab/>
      </w:r>
      <w:r w:rsidR="002058C5" w:rsidRPr="00D86C85">
        <w:tab/>
      </w:r>
      <w:r w:rsidR="002058C5" w:rsidRPr="00D86C85">
        <w:tab/>
      </w:r>
      <w:r w:rsidR="002058C5" w:rsidRPr="00D86C85">
        <w:tab/>
      </w:r>
      <w:r w:rsidR="007036D5" w:rsidRPr="00D86C85">
        <w:t>The legislative framework</w:t>
      </w:r>
      <w:r w:rsidR="00D31C9A" w:rsidRPr="00D86C85">
        <w:t xml:space="preserve"> </w:t>
      </w:r>
      <w:r w:rsidR="00D31C9A" w:rsidRPr="00D86C85">
        <w:tab/>
      </w:r>
      <w:r w:rsidR="00D31C9A" w:rsidRPr="00D86C85">
        <w:tab/>
      </w:r>
      <w:r w:rsidR="00B75AB4" w:rsidRPr="00D86C85">
        <w:tab/>
      </w:r>
      <w:r w:rsidR="0010639A" w:rsidRPr="00D86C85">
        <w:tab/>
      </w:r>
      <w:r w:rsidR="00D31C9A" w:rsidRPr="00D86C85">
        <w:t>paragraphs [</w:t>
      </w:r>
      <w:r w:rsidR="00BF2737">
        <w:t>8</w:t>
      </w:r>
      <w:r w:rsidR="00D31C9A" w:rsidRPr="00D86C85">
        <w:t>] to [</w:t>
      </w:r>
      <w:r w:rsidR="00BF2737">
        <w:t>21</w:t>
      </w:r>
      <w:r w:rsidR="00D31C9A" w:rsidRPr="00D86C85">
        <w:t>]</w:t>
      </w:r>
    </w:p>
    <w:p w14:paraId="2BF2447C" w14:textId="30220F35" w:rsidR="007036D5" w:rsidRPr="00D86C85" w:rsidRDefault="002058C5" w:rsidP="00B6212D">
      <w:pPr>
        <w:widowControl w:val="0"/>
        <w:tabs>
          <w:tab w:val="left" w:pos="687"/>
          <w:tab w:val="left" w:pos="688"/>
        </w:tabs>
        <w:autoSpaceDE w:val="0"/>
        <w:autoSpaceDN w:val="0"/>
        <w:spacing w:before="62"/>
        <w:ind w:left="686"/>
        <w:jc w:val="both"/>
      </w:pPr>
      <w:r w:rsidRPr="00D86C85">
        <w:tab/>
      </w:r>
      <w:r w:rsidRPr="00D86C85">
        <w:tab/>
      </w:r>
      <w:r w:rsidRPr="00D86C85">
        <w:tab/>
      </w:r>
      <w:r w:rsidRPr="00D86C85">
        <w:tab/>
      </w:r>
      <w:r w:rsidR="007036D5" w:rsidRPr="00D86C85">
        <w:t>Policy</w:t>
      </w:r>
      <w:r w:rsidR="00D31C9A" w:rsidRPr="00D86C85">
        <w:t xml:space="preserve"> </w:t>
      </w:r>
      <w:r w:rsidR="00D31C9A" w:rsidRPr="00D86C85">
        <w:tab/>
      </w:r>
      <w:r w:rsidR="00D31C9A" w:rsidRPr="00D86C85">
        <w:tab/>
      </w:r>
      <w:r w:rsidR="00D31C9A" w:rsidRPr="00D86C85">
        <w:tab/>
      </w:r>
      <w:r w:rsidR="00D31C9A" w:rsidRPr="00D86C85">
        <w:tab/>
      </w:r>
      <w:r w:rsidR="00D31C9A" w:rsidRPr="00D86C85">
        <w:tab/>
      </w:r>
      <w:r w:rsidR="00B75AB4" w:rsidRPr="00D86C85">
        <w:tab/>
      </w:r>
      <w:r w:rsidR="0010639A" w:rsidRPr="00D86C85">
        <w:tab/>
      </w:r>
      <w:r w:rsidR="00D31C9A" w:rsidRPr="00D86C85">
        <w:t>paragraphs [</w:t>
      </w:r>
      <w:r w:rsidR="00BF2737">
        <w:t>22</w:t>
      </w:r>
      <w:r w:rsidR="00D31C9A" w:rsidRPr="00D86C85">
        <w:t>] to [</w:t>
      </w:r>
      <w:r w:rsidR="00BF2737">
        <w:t>27</w:t>
      </w:r>
      <w:r w:rsidR="00D31C9A" w:rsidRPr="00D86C85">
        <w:t>]</w:t>
      </w:r>
    </w:p>
    <w:p w14:paraId="45950A5B" w14:textId="6F7F8634" w:rsidR="007036D5" w:rsidRPr="00D86C85" w:rsidRDefault="002058C5" w:rsidP="00B6212D">
      <w:pPr>
        <w:widowControl w:val="0"/>
        <w:tabs>
          <w:tab w:val="left" w:pos="687"/>
          <w:tab w:val="left" w:pos="688"/>
        </w:tabs>
        <w:autoSpaceDE w:val="0"/>
        <w:autoSpaceDN w:val="0"/>
        <w:spacing w:before="62"/>
        <w:ind w:left="686"/>
        <w:jc w:val="both"/>
      </w:pPr>
      <w:r w:rsidRPr="00D86C85">
        <w:tab/>
      </w:r>
      <w:r w:rsidRPr="00D86C85">
        <w:tab/>
      </w:r>
      <w:r w:rsidRPr="00D86C85">
        <w:tab/>
      </w:r>
      <w:r w:rsidRPr="00D86C85">
        <w:tab/>
      </w:r>
      <w:r w:rsidR="007036D5" w:rsidRPr="00D86C85">
        <w:t>Guidance</w:t>
      </w:r>
      <w:r w:rsidR="00D31C9A" w:rsidRPr="00D86C85">
        <w:t xml:space="preserve"> </w:t>
      </w:r>
      <w:r w:rsidR="00D31C9A" w:rsidRPr="00D86C85">
        <w:tab/>
      </w:r>
      <w:r w:rsidR="00D31C9A" w:rsidRPr="00D86C85">
        <w:tab/>
      </w:r>
      <w:r w:rsidR="00D31C9A" w:rsidRPr="00D86C85">
        <w:tab/>
      </w:r>
      <w:r w:rsidR="00D31C9A" w:rsidRPr="00D86C85">
        <w:tab/>
      </w:r>
      <w:r w:rsidR="00B75AB4" w:rsidRPr="00D86C85">
        <w:tab/>
      </w:r>
      <w:r w:rsidR="0010639A" w:rsidRPr="00D86C85">
        <w:tab/>
      </w:r>
      <w:r w:rsidR="00D31C9A" w:rsidRPr="00D86C85">
        <w:t>par</w:t>
      </w:r>
      <w:r w:rsidR="0010639A" w:rsidRPr="00D86C85">
        <w:t>a</w:t>
      </w:r>
      <w:r w:rsidR="00D31C9A" w:rsidRPr="00D86C85">
        <w:t>graph</w:t>
      </w:r>
      <w:r w:rsidR="00F53495" w:rsidRPr="00D86C85">
        <w:t xml:space="preserve"> </w:t>
      </w:r>
      <w:r w:rsidR="00D31C9A" w:rsidRPr="00D86C85">
        <w:t xml:space="preserve"> [</w:t>
      </w:r>
      <w:r w:rsidR="00BF2737">
        <w:t>28</w:t>
      </w:r>
      <w:r w:rsidR="00D31C9A" w:rsidRPr="00D86C85">
        <w:t>]</w:t>
      </w:r>
      <w:r w:rsidR="00BF2737">
        <w:t xml:space="preserve"> to [31]</w:t>
      </w:r>
    </w:p>
    <w:p w14:paraId="398497D0" w14:textId="299C271E" w:rsidR="0047599A" w:rsidRDefault="002058C5" w:rsidP="0068251A">
      <w:pPr>
        <w:widowControl w:val="0"/>
        <w:tabs>
          <w:tab w:val="left" w:pos="687"/>
          <w:tab w:val="left" w:pos="688"/>
        </w:tabs>
        <w:autoSpaceDE w:val="0"/>
        <w:autoSpaceDN w:val="0"/>
        <w:spacing w:before="62"/>
        <w:ind w:left="686"/>
        <w:jc w:val="both"/>
      </w:pPr>
      <w:r w:rsidRPr="00D86C85">
        <w:tab/>
      </w:r>
      <w:r w:rsidRPr="00D86C85">
        <w:tab/>
      </w:r>
      <w:r w:rsidRPr="00D86C85">
        <w:tab/>
      </w:r>
      <w:r w:rsidRPr="00D86C85">
        <w:tab/>
      </w:r>
      <w:r w:rsidR="007036D5" w:rsidRPr="00D86C85">
        <w:t>Reports</w:t>
      </w:r>
      <w:r w:rsidR="00D31C9A" w:rsidRPr="00D86C85">
        <w:tab/>
      </w:r>
      <w:r w:rsidR="00D31C9A" w:rsidRPr="00D86C85">
        <w:tab/>
      </w:r>
      <w:r w:rsidR="00D31C9A" w:rsidRPr="00D86C85">
        <w:tab/>
      </w:r>
      <w:r w:rsidR="00D31C9A" w:rsidRPr="00D86C85">
        <w:tab/>
      </w:r>
      <w:r w:rsidR="00D31C9A" w:rsidRPr="00D86C85">
        <w:tab/>
      </w:r>
      <w:r w:rsidR="00B75AB4" w:rsidRPr="00D86C85">
        <w:tab/>
      </w:r>
      <w:r w:rsidR="00D31C9A" w:rsidRPr="00D86C85">
        <w:t>paragraphs [</w:t>
      </w:r>
      <w:r w:rsidR="00BF2737">
        <w:t>32</w:t>
      </w:r>
      <w:r w:rsidR="00D31C9A" w:rsidRPr="00D86C85">
        <w:t>]</w:t>
      </w:r>
      <w:r w:rsidR="0010639A" w:rsidRPr="00D86C85">
        <w:t xml:space="preserve"> to [</w:t>
      </w:r>
      <w:r w:rsidR="00BF2737">
        <w:t>33</w:t>
      </w:r>
      <w:r w:rsidR="0010639A" w:rsidRPr="00D86C85">
        <w:t>]</w:t>
      </w:r>
    </w:p>
    <w:p w14:paraId="1B5F55DB" w14:textId="2E989ABC" w:rsidR="007036D5" w:rsidRPr="00D86C85" w:rsidRDefault="007036D5" w:rsidP="00B6212D">
      <w:pPr>
        <w:pStyle w:val="BodyText"/>
        <w:spacing w:before="62"/>
        <w:ind w:left="720" w:firstLine="720"/>
        <w:jc w:val="both"/>
      </w:pPr>
      <w:r w:rsidRPr="00D86C85">
        <w:t xml:space="preserve">DMA, AHK, BK and ELN </w:t>
      </w:r>
      <w:r w:rsidR="00D31C9A" w:rsidRPr="00D86C85">
        <w:tab/>
      </w:r>
      <w:r w:rsidR="00D31C9A" w:rsidRPr="00D86C85">
        <w:tab/>
      </w:r>
      <w:r w:rsidR="00B75AB4" w:rsidRPr="00D86C85">
        <w:tab/>
      </w:r>
      <w:r w:rsidR="0010639A" w:rsidRPr="00D86C85">
        <w:tab/>
      </w:r>
      <w:r w:rsidR="00D31C9A" w:rsidRPr="00D86C85">
        <w:t>paragraphs</w:t>
      </w:r>
      <w:r w:rsidR="0010639A" w:rsidRPr="00D86C85">
        <w:t xml:space="preserve"> [</w:t>
      </w:r>
      <w:r w:rsidR="00E30431">
        <w:t>34</w:t>
      </w:r>
      <w:r w:rsidR="0010639A" w:rsidRPr="00D86C85">
        <w:t>] to [</w:t>
      </w:r>
      <w:r w:rsidR="00E30431">
        <w:t>37</w:t>
      </w:r>
      <w:r w:rsidR="0010639A" w:rsidRPr="00D86C85">
        <w:t>]</w:t>
      </w:r>
    </w:p>
    <w:p w14:paraId="7EA882CD" w14:textId="4C15E186" w:rsidR="00B834A8" w:rsidRDefault="00B834A8" w:rsidP="00B6212D">
      <w:pPr>
        <w:pStyle w:val="BodyText"/>
        <w:spacing w:before="62"/>
        <w:ind w:left="720" w:firstLine="720"/>
        <w:jc w:val="both"/>
      </w:pPr>
      <w:r w:rsidRPr="00D86C85">
        <w:t>AA</w:t>
      </w:r>
      <w:r w:rsidRPr="00D86C85">
        <w:tab/>
      </w:r>
      <w:r w:rsidRPr="00D86C85">
        <w:tab/>
      </w:r>
      <w:r w:rsidRPr="00D86C85">
        <w:tab/>
      </w:r>
      <w:r w:rsidRPr="00D86C85">
        <w:tab/>
      </w:r>
      <w:r w:rsidRPr="00D86C85">
        <w:tab/>
      </w:r>
      <w:r w:rsidR="00B75AB4" w:rsidRPr="00D86C85">
        <w:tab/>
      </w:r>
      <w:r w:rsidR="0010639A" w:rsidRPr="00D86C85">
        <w:tab/>
      </w:r>
      <w:r w:rsidRPr="00D86C85">
        <w:t>paragraphs</w:t>
      </w:r>
      <w:r w:rsidR="0010639A" w:rsidRPr="00D86C85">
        <w:t xml:space="preserve"> [</w:t>
      </w:r>
      <w:r w:rsidR="00E30431">
        <w:t>38</w:t>
      </w:r>
      <w:r w:rsidR="0010639A" w:rsidRPr="00D86C85">
        <w:t>] to [</w:t>
      </w:r>
      <w:r w:rsidR="00E30431">
        <w:t>41</w:t>
      </w:r>
      <w:r w:rsidR="0010639A" w:rsidRPr="00D86C85">
        <w:t>]</w:t>
      </w:r>
    </w:p>
    <w:p w14:paraId="2F329CEB" w14:textId="77777777" w:rsidR="0068251A" w:rsidRPr="00D86C85" w:rsidRDefault="0068251A" w:rsidP="00B6212D">
      <w:pPr>
        <w:pStyle w:val="BodyText"/>
        <w:spacing w:before="62"/>
        <w:ind w:left="720" w:firstLine="720"/>
        <w:jc w:val="both"/>
      </w:pPr>
    </w:p>
    <w:p w14:paraId="2DA283AA" w14:textId="328A20D9" w:rsidR="00B834A8" w:rsidRPr="00D86C85" w:rsidRDefault="00D31C9A" w:rsidP="00B6212D">
      <w:pPr>
        <w:pStyle w:val="BodyText"/>
        <w:spacing w:before="62"/>
        <w:ind w:firstLine="686"/>
        <w:jc w:val="both"/>
      </w:pPr>
      <w:r w:rsidRPr="00D86C85">
        <w:lastRenderedPageBreak/>
        <w:tab/>
      </w:r>
      <w:r w:rsidR="002058C5" w:rsidRPr="00D86C85">
        <w:tab/>
      </w:r>
      <w:r w:rsidRPr="00D86C85">
        <w:t>Alleged “failure to travel”</w:t>
      </w:r>
      <w:r w:rsidRPr="00D86C85">
        <w:tab/>
      </w:r>
      <w:r w:rsidRPr="00D86C85">
        <w:tab/>
      </w:r>
      <w:r w:rsidR="00B75AB4" w:rsidRPr="00D86C85">
        <w:tab/>
      </w:r>
      <w:r w:rsidR="0010639A" w:rsidRPr="00D86C85">
        <w:tab/>
      </w:r>
      <w:r w:rsidRPr="00D86C85">
        <w:t>paragraphs</w:t>
      </w:r>
      <w:r w:rsidR="0010639A" w:rsidRPr="00D86C85">
        <w:t xml:space="preserve"> [</w:t>
      </w:r>
      <w:r w:rsidR="00E30431">
        <w:t>48</w:t>
      </w:r>
      <w:r w:rsidR="0010639A" w:rsidRPr="00D86C85">
        <w:t>] to [</w:t>
      </w:r>
      <w:r w:rsidR="00E30431">
        <w:t>95</w:t>
      </w:r>
      <w:r w:rsidR="0010639A" w:rsidRPr="00D86C85">
        <w:t>]</w:t>
      </w:r>
    </w:p>
    <w:p w14:paraId="496F2CFF" w14:textId="6A530199" w:rsidR="001B74C9" w:rsidRDefault="00D31C9A" w:rsidP="00B6212D">
      <w:pPr>
        <w:pStyle w:val="BodyText"/>
        <w:spacing w:before="62"/>
        <w:ind w:firstLine="686"/>
        <w:jc w:val="both"/>
      </w:pPr>
      <w:r w:rsidRPr="00D86C85">
        <w:t xml:space="preserve"> </w:t>
      </w:r>
      <w:r w:rsidR="00B834A8" w:rsidRPr="00D86C85">
        <w:tab/>
      </w:r>
      <w:r w:rsidR="002058C5" w:rsidRPr="00D86C85">
        <w:tab/>
      </w:r>
      <w:r w:rsidR="001B74C9">
        <w:t>The allegations</w:t>
      </w:r>
    </w:p>
    <w:p w14:paraId="182915DA" w14:textId="22DE6902" w:rsidR="00D31C9A" w:rsidRPr="00D86C85" w:rsidRDefault="00B834A8" w:rsidP="001B74C9">
      <w:pPr>
        <w:pStyle w:val="BodyText"/>
        <w:spacing w:before="62"/>
        <w:ind w:left="1440" w:firstLine="720"/>
        <w:jc w:val="both"/>
      </w:pPr>
      <w:r w:rsidRPr="00D86C85">
        <w:t>DMA</w:t>
      </w:r>
    </w:p>
    <w:p w14:paraId="65D4EFAD" w14:textId="12E3022F" w:rsidR="00B834A8" w:rsidRPr="00D86C85" w:rsidRDefault="00B834A8" w:rsidP="00B6212D">
      <w:pPr>
        <w:pStyle w:val="BodyText"/>
        <w:spacing w:before="62"/>
        <w:ind w:firstLine="686"/>
        <w:jc w:val="both"/>
      </w:pPr>
      <w:r w:rsidRPr="00D86C85">
        <w:tab/>
      </w:r>
      <w:r w:rsidRPr="00D86C85">
        <w:tab/>
      </w:r>
      <w:r w:rsidR="002058C5" w:rsidRPr="00D86C85">
        <w:tab/>
      </w:r>
      <w:r w:rsidRPr="00D86C85">
        <w:t>AHK</w:t>
      </w:r>
    </w:p>
    <w:p w14:paraId="720621E8" w14:textId="29D78FEE" w:rsidR="00B834A8" w:rsidRPr="00D86C85" w:rsidRDefault="00B834A8" w:rsidP="00B6212D">
      <w:pPr>
        <w:pStyle w:val="BodyText"/>
        <w:spacing w:before="62"/>
        <w:ind w:firstLine="686"/>
        <w:jc w:val="both"/>
      </w:pPr>
      <w:r w:rsidRPr="00D86C85">
        <w:tab/>
      </w:r>
      <w:r w:rsidRPr="00D86C85">
        <w:tab/>
      </w:r>
      <w:r w:rsidR="002058C5" w:rsidRPr="00D86C85">
        <w:tab/>
      </w:r>
      <w:r w:rsidRPr="00D86C85">
        <w:t>BK</w:t>
      </w:r>
    </w:p>
    <w:p w14:paraId="4670436B" w14:textId="4DB9628B" w:rsidR="00B834A8" w:rsidRPr="00D86C85" w:rsidRDefault="00B834A8" w:rsidP="00B6212D">
      <w:pPr>
        <w:pStyle w:val="BodyText"/>
        <w:spacing w:before="62"/>
        <w:ind w:firstLine="686"/>
        <w:jc w:val="both"/>
      </w:pPr>
      <w:r w:rsidRPr="00D86C85">
        <w:tab/>
      </w:r>
      <w:r w:rsidRPr="00D86C85">
        <w:tab/>
      </w:r>
      <w:r w:rsidR="002058C5" w:rsidRPr="00D86C85">
        <w:tab/>
      </w:r>
      <w:r w:rsidRPr="00D86C85">
        <w:t>ELN</w:t>
      </w:r>
    </w:p>
    <w:p w14:paraId="6DD713D7" w14:textId="6F210395" w:rsidR="0068251A" w:rsidRDefault="00B834A8" w:rsidP="0068251A">
      <w:pPr>
        <w:pStyle w:val="BodyText"/>
        <w:spacing w:before="62"/>
        <w:ind w:firstLine="686"/>
        <w:jc w:val="both"/>
      </w:pPr>
      <w:r w:rsidRPr="00D86C85">
        <w:tab/>
      </w:r>
      <w:r w:rsidRPr="00D86C85">
        <w:tab/>
      </w:r>
      <w:r w:rsidR="002058C5" w:rsidRPr="00D86C85">
        <w:tab/>
      </w:r>
      <w:r w:rsidRPr="00D86C85">
        <w:t>Overall</w:t>
      </w:r>
    </w:p>
    <w:p w14:paraId="04731AC3" w14:textId="77777777" w:rsidR="0068251A" w:rsidRDefault="0068251A" w:rsidP="00B6212D">
      <w:pPr>
        <w:pStyle w:val="BodyText"/>
        <w:spacing w:before="62"/>
        <w:ind w:left="720" w:firstLine="720"/>
        <w:jc w:val="both"/>
      </w:pPr>
    </w:p>
    <w:p w14:paraId="1FED3188" w14:textId="27EBD9FF" w:rsidR="00B834A8" w:rsidRPr="00D86C85" w:rsidRDefault="00B834A8" w:rsidP="00831275">
      <w:pPr>
        <w:pStyle w:val="BodyText"/>
        <w:spacing w:before="62"/>
        <w:ind w:left="720" w:firstLine="720"/>
        <w:jc w:val="both"/>
      </w:pPr>
      <w:r w:rsidRPr="00D86C85">
        <w:t>Context</w:t>
      </w:r>
      <w:r w:rsidRPr="00D86C85">
        <w:tab/>
      </w:r>
      <w:r w:rsidRPr="00D86C85">
        <w:tab/>
      </w:r>
      <w:r w:rsidR="00B75AB4" w:rsidRPr="00D86C85">
        <w:tab/>
      </w:r>
      <w:r w:rsidR="0010639A" w:rsidRPr="00D86C85">
        <w:tab/>
      </w:r>
      <w:r w:rsidR="00CB1C0B">
        <w:tab/>
      </w:r>
      <w:r w:rsidR="00CB1C0B">
        <w:tab/>
      </w:r>
      <w:r w:rsidRPr="00D86C85">
        <w:t>paragraph</w:t>
      </w:r>
      <w:r w:rsidR="00585969" w:rsidRPr="00D86C85">
        <w:t>s</w:t>
      </w:r>
      <w:r w:rsidR="0010639A" w:rsidRPr="00D86C85">
        <w:t xml:space="preserve"> [</w:t>
      </w:r>
      <w:r w:rsidR="00A50518">
        <w:t>96</w:t>
      </w:r>
      <w:r w:rsidR="0010639A" w:rsidRPr="00D86C85">
        <w:t>] to [</w:t>
      </w:r>
      <w:r w:rsidR="00A50518">
        <w:t>98</w:t>
      </w:r>
      <w:r w:rsidR="0010639A" w:rsidRPr="00D86C85">
        <w:t>]</w:t>
      </w:r>
    </w:p>
    <w:p w14:paraId="6E3E5480" w14:textId="121E49E8" w:rsidR="0068251A" w:rsidRDefault="00585969" w:rsidP="00831275">
      <w:pPr>
        <w:pStyle w:val="BodyText"/>
        <w:spacing w:before="62"/>
        <w:jc w:val="both"/>
      </w:pPr>
      <w:r w:rsidRPr="00D86C85">
        <w:tab/>
      </w:r>
      <w:r w:rsidR="002058C5" w:rsidRPr="00D86C85">
        <w:tab/>
      </w:r>
      <w:r w:rsidRPr="00D86C85">
        <w:t>Contracting</w:t>
      </w:r>
      <w:r w:rsidR="00B75AB4" w:rsidRPr="00D86C85">
        <w:tab/>
      </w:r>
      <w:r w:rsidR="00B75AB4" w:rsidRPr="00D86C85">
        <w:tab/>
      </w:r>
      <w:r w:rsidR="00B75AB4" w:rsidRPr="00D86C85">
        <w:tab/>
      </w:r>
      <w:r w:rsidR="00B75AB4" w:rsidRPr="00D86C85">
        <w:tab/>
      </w:r>
      <w:r w:rsidR="00B75AB4" w:rsidRPr="00D86C85">
        <w:tab/>
      </w:r>
      <w:r w:rsidR="0010639A" w:rsidRPr="00D86C85">
        <w:tab/>
      </w:r>
      <w:r w:rsidR="00B75AB4" w:rsidRPr="00D86C85">
        <w:t>paragraphs</w:t>
      </w:r>
      <w:r w:rsidR="0010639A" w:rsidRPr="00D86C85">
        <w:t xml:space="preserve"> [</w:t>
      </w:r>
      <w:r w:rsidR="00A50518">
        <w:t>99</w:t>
      </w:r>
      <w:r w:rsidR="0010639A" w:rsidRPr="00D86C85">
        <w:t>] to [</w:t>
      </w:r>
      <w:r w:rsidR="00A50518">
        <w:t>120</w:t>
      </w:r>
      <w:r w:rsidR="0010639A" w:rsidRPr="00D86C85">
        <w:t>]</w:t>
      </w:r>
    </w:p>
    <w:p w14:paraId="5DAA4032" w14:textId="7480854B" w:rsidR="002769DC" w:rsidRDefault="002769DC" w:rsidP="00831275">
      <w:pPr>
        <w:pStyle w:val="BodyText"/>
        <w:spacing w:before="62"/>
        <w:jc w:val="both"/>
      </w:pPr>
      <w:r>
        <w:tab/>
      </w:r>
      <w:r>
        <w:tab/>
      </w:r>
      <w:r>
        <w:tab/>
        <w:t xml:space="preserve">Contracts with </w:t>
      </w:r>
      <w:r w:rsidR="00A50518">
        <w:t xml:space="preserve">accommodation </w:t>
      </w:r>
      <w:r>
        <w:t>providers</w:t>
      </w:r>
    </w:p>
    <w:p w14:paraId="1D6E345C" w14:textId="43CB4F32" w:rsidR="00F20F57" w:rsidRDefault="00F20F57" w:rsidP="00831275">
      <w:pPr>
        <w:pStyle w:val="BodyText"/>
        <w:spacing w:before="62"/>
        <w:jc w:val="both"/>
      </w:pPr>
      <w:r>
        <w:tab/>
      </w:r>
      <w:r>
        <w:tab/>
      </w:r>
      <w:r>
        <w:tab/>
        <w:t>Operation of contracts</w:t>
      </w:r>
    </w:p>
    <w:p w14:paraId="73B00AC5" w14:textId="5A2117F1" w:rsidR="002769DC" w:rsidRDefault="002769DC" w:rsidP="00831275">
      <w:pPr>
        <w:pStyle w:val="BodyText"/>
        <w:spacing w:before="62"/>
        <w:jc w:val="both"/>
      </w:pPr>
      <w:r>
        <w:tab/>
      </w:r>
      <w:r>
        <w:tab/>
      </w:r>
      <w:r>
        <w:tab/>
        <w:t>Affordability</w:t>
      </w:r>
      <w:r w:rsidR="00A50518">
        <w:t xml:space="preserve"> of accommodation</w:t>
      </w:r>
    </w:p>
    <w:p w14:paraId="04367A54" w14:textId="5266121A" w:rsidR="002769DC" w:rsidRDefault="002769DC" w:rsidP="00831275">
      <w:pPr>
        <w:pStyle w:val="BodyText"/>
        <w:spacing w:before="62"/>
        <w:jc w:val="both"/>
      </w:pPr>
      <w:r>
        <w:tab/>
      </w:r>
      <w:r>
        <w:tab/>
      </w:r>
      <w:r>
        <w:tab/>
      </w:r>
      <w:r w:rsidR="000B3DFE">
        <w:t xml:space="preserve">Securing </w:t>
      </w:r>
      <w:r w:rsidR="00F20F57">
        <w:t>performance</w:t>
      </w:r>
    </w:p>
    <w:p w14:paraId="2C631091" w14:textId="02656C49" w:rsidR="00831275" w:rsidRDefault="00F20F57" w:rsidP="00045121">
      <w:pPr>
        <w:pStyle w:val="BodyText"/>
        <w:spacing w:before="62"/>
        <w:jc w:val="both"/>
      </w:pPr>
      <w:r>
        <w:tab/>
      </w:r>
      <w:r>
        <w:tab/>
      </w:r>
      <w:r>
        <w:tab/>
        <w:t>Volume caps</w:t>
      </w:r>
    </w:p>
    <w:p w14:paraId="7B44AF2A" w14:textId="23F6A7A0" w:rsidR="00585969" w:rsidRPr="00D86C85" w:rsidRDefault="00585969" w:rsidP="00831275">
      <w:pPr>
        <w:pStyle w:val="BodyText"/>
        <w:spacing w:before="62"/>
        <w:ind w:left="720" w:firstLine="720"/>
        <w:jc w:val="both"/>
      </w:pPr>
      <w:r w:rsidRPr="00D86C85">
        <w:t>Monitorin</w:t>
      </w:r>
      <w:r w:rsidR="00A16F25">
        <w:t>g</w:t>
      </w:r>
      <w:r w:rsidR="00B75AB4" w:rsidRPr="00D86C85">
        <w:tab/>
      </w:r>
      <w:r w:rsidR="00B75AB4" w:rsidRPr="00D86C85">
        <w:tab/>
      </w:r>
      <w:r w:rsidR="00B75AB4" w:rsidRPr="00D86C85">
        <w:tab/>
      </w:r>
      <w:r w:rsidR="0010639A" w:rsidRPr="00D86C85">
        <w:tab/>
      </w:r>
      <w:r w:rsidR="00A16F25">
        <w:tab/>
      </w:r>
      <w:r w:rsidR="00A16F25">
        <w:tab/>
      </w:r>
      <w:r w:rsidR="00B75AB4" w:rsidRPr="00D86C85">
        <w:t>paragraphs</w:t>
      </w:r>
      <w:r w:rsidR="0010639A" w:rsidRPr="00D86C85">
        <w:t xml:space="preserve"> [</w:t>
      </w:r>
      <w:r w:rsidR="00FE5EC7">
        <w:t>121</w:t>
      </w:r>
      <w:r w:rsidR="0010639A" w:rsidRPr="00D86C85">
        <w:t>] t</w:t>
      </w:r>
      <w:r w:rsidR="00442BDD" w:rsidRPr="00D86C85">
        <w:t>o</w:t>
      </w:r>
      <w:r w:rsidR="0010639A" w:rsidRPr="00D86C85">
        <w:t xml:space="preserve"> [</w:t>
      </w:r>
      <w:r w:rsidR="00FE5EC7">
        <w:t>144</w:t>
      </w:r>
      <w:r w:rsidR="0010639A" w:rsidRPr="00D86C85">
        <w:t>]</w:t>
      </w:r>
    </w:p>
    <w:p w14:paraId="3F529B11" w14:textId="720B3C5A" w:rsidR="00446FFD" w:rsidRPr="00D823A3" w:rsidRDefault="00585969" w:rsidP="00831275">
      <w:pPr>
        <w:pStyle w:val="BodyText"/>
        <w:spacing w:before="62"/>
        <w:jc w:val="both"/>
        <w:rPr>
          <w:rStyle w:val="normaltextrun"/>
        </w:rPr>
      </w:pPr>
      <w:r w:rsidRPr="00D86C85">
        <w:tab/>
      </w:r>
      <w:r w:rsidRPr="00D86C85">
        <w:tab/>
      </w:r>
      <w:r w:rsidR="002058C5" w:rsidRPr="00D86C85">
        <w:tab/>
      </w:r>
      <w:r w:rsidR="00BC3E91">
        <w:t>Performance management</w:t>
      </w:r>
      <w:r w:rsidR="00D823A3">
        <w:t xml:space="preserve"> and review</w:t>
      </w:r>
    </w:p>
    <w:p w14:paraId="7F25D65E" w14:textId="77777777" w:rsidR="00446FFD" w:rsidRPr="00D86C85" w:rsidRDefault="00446FFD" w:rsidP="00831275">
      <w:pPr>
        <w:pStyle w:val="BodyText"/>
        <w:ind w:left="1440" w:firstLine="720"/>
        <w:jc w:val="both"/>
      </w:pPr>
      <w:r w:rsidRPr="00D86C85">
        <w:t>Provider monitoring</w:t>
      </w:r>
    </w:p>
    <w:p w14:paraId="78997458" w14:textId="77777777" w:rsidR="00446FFD" w:rsidRPr="00D86C85" w:rsidRDefault="00446FFD" w:rsidP="00831275">
      <w:pPr>
        <w:ind w:left="1440" w:firstLine="720"/>
        <w:jc w:val="both"/>
        <w:rPr>
          <w:rStyle w:val="normaltextrun"/>
          <w:lang w:val="en-US"/>
        </w:rPr>
      </w:pPr>
      <w:r w:rsidRPr="00D86C85">
        <w:rPr>
          <w:rStyle w:val="normaltextrun"/>
          <w:lang w:val="en-US"/>
        </w:rPr>
        <w:t>“Hourly checks”</w:t>
      </w:r>
    </w:p>
    <w:p w14:paraId="0C3EF6A2" w14:textId="547F2661" w:rsidR="00446FFD" w:rsidRPr="00D86C85" w:rsidRDefault="00446FFD" w:rsidP="00831275">
      <w:pPr>
        <w:ind w:left="1440" w:firstLine="720"/>
        <w:jc w:val="both"/>
        <w:rPr>
          <w:rStyle w:val="normaltextrun"/>
          <w:lang w:val="en-US"/>
        </w:rPr>
      </w:pPr>
      <w:r w:rsidRPr="00D86C85">
        <w:rPr>
          <w:rStyle w:val="normaltextrun"/>
          <w:lang w:val="en-US"/>
        </w:rPr>
        <w:t>Disability monitoring</w:t>
      </w:r>
    </w:p>
    <w:p w14:paraId="53DEA35F" w14:textId="48896C15" w:rsidR="004658F3" w:rsidRDefault="00446FFD" w:rsidP="00831275">
      <w:pPr>
        <w:ind w:left="1440" w:firstLine="720"/>
        <w:jc w:val="both"/>
        <w:rPr>
          <w:lang w:val="en-US"/>
        </w:rPr>
      </w:pPr>
      <w:r w:rsidRPr="00D86C85">
        <w:rPr>
          <w:lang w:val="en-US"/>
        </w:rPr>
        <w:t>Enforcement</w:t>
      </w:r>
      <w:r w:rsidR="00B75AB4" w:rsidRPr="00D86C85">
        <w:rPr>
          <w:lang w:val="en-US"/>
        </w:rPr>
        <w:tab/>
      </w:r>
      <w:r w:rsidR="00B75AB4" w:rsidRPr="00D86C85">
        <w:rPr>
          <w:lang w:val="en-US"/>
        </w:rPr>
        <w:tab/>
      </w:r>
      <w:r w:rsidR="00B75AB4" w:rsidRPr="00D86C85">
        <w:rPr>
          <w:lang w:val="en-US"/>
        </w:rPr>
        <w:tab/>
      </w:r>
      <w:r w:rsidR="00B75AB4" w:rsidRPr="00D86C85">
        <w:rPr>
          <w:lang w:val="en-US"/>
        </w:rPr>
        <w:tab/>
      </w:r>
      <w:r w:rsidR="00B75AB4" w:rsidRPr="00D86C85">
        <w:rPr>
          <w:lang w:val="en-US"/>
        </w:rPr>
        <w:tab/>
      </w:r>
      <w:r w:rsidR="00B75AB4" w:rsidRPr="00D86C85">
        <w:rPr>
          <w:lang w:val="en-US"/>
        </w:rPr>
        <w:tab/>
      </w:r>
    </w:p>
    <w:p w14:paraId="040DCDC5" w14:textId="77777777" w:rsidR="00AC3B51" w:rsidRPr="00AC3B51" w:rsidRDefault="00AC3B51" w:rsidP="00AC3B51">
      <w:pPr>
        <w:ind w:left="1440" w:firstLine="720"/>
        <w:jc w:val="both"/>
        <w:rPr>
          <w:lang w:val="en-US"/>
        </w:rPr>
      </w:pPr>
    </w:p>
    <w:p w14:paraId="4D188D83" w14:textId="4BAC3C19" w:rsidR="0068251A" w:rsidRPr="00D86C85" w:rsidRDefault="00446FFD" w:rsidP="0068251A">
      <w:pPr>
        <w:pStyle w:val="BodyText"/>
        <w:ind w:left="720" w:firstLine="720"/>
        <w:jc w:val="both"/>
      </w:pPr>
      <w:r w:rsidRPr="00D86C85">
        <w:t>Performance of the duty to accommodate</w:t>
      </w:r>
      <w:r w:rsidR="00B75AB4" w:rsidRPr="00D86C85">
        <w:tab/>
      </w:r>
      <w:r w:rsidR="0010639A" w:rsidRPr="00D86C85">
        <w:tab/>
      </w:r>
      <w:r w:rsidR="00B75AB4" w:rsidRPr="00D86C85">
        <w:t>paragraphs</w:t>
      </w:r>
      <w:r w:rsidR="0010639A" w:rsidRPr="00D86C85">
        <w:t xml:space="preserve"> [</w:t>
      </w:r>
      <w:r w:rsidR="00E9425E">
        <w:t>145</w:t>
      </w:r>
      <w:r w:rsidR="0010639A" w:rsidRPr="00D86C85">
        <w:t>] to [</w:t>
      </w:r>
      <w:r w:rsidR="00E9425E">
        <w:t>154</w:t>
      </w:r>
      <w:r w:rsidR="0010639A" w:rsidRPr="00D86C85">
        <w:t>]</w:t>
      </w:r>
    </w:p>
    <w:p w14:paraId="5C4EA7A9" w14:textId="2F6A6DBC" w:rsidR="00446FFD" w:rsidRPr="00D86C85" w:rsidRDefault="00B75AB4" w:rsidP="00B6212D">
      <w:pPr>
        <w:widowControl w:val="0"/>
        <w:tabs>
          <w:tab w:val="left" w:pos="688"/>
        </w:tabs>
        <w:autoSpaceDE w:val="0"/>
        <w:autoSpaceDN w:val="0"/>
        <w:spacing w:before="11"/>
        <w:jc w:val="both"/>
        <w:rPr>
          <w:rStyle w:val="normaltextrun"/>
        </w:rPr>
      </w:pPr>
      <w:r w:rsidRPr="00D86C85">
        <w:rPr>
          <w:rStyle w:val="normaltextrun"/>
        </w:rPr>
        <w:tab/>
      </w:r>
      <w:r w:rsidR="002058C5" w:rsidRPr="00D86C85">
        <w:rPr>
          <w:rStyle w:val="normaltextrun"/>
        </w:rPr>
        <w:tab/>
      </w:r>
      <w:r w:rsidR="002058C5" w:rsidRPr="00D86C85">
        <w:rPr>
          <w:rStyle w:val="normaltextrun"/>
        </w:rPr>
        <w:tab/>
      </w:r>
      <w:r w:rsidR="0068251A">
        <w:rPr>
          <w:rStyle w:val="normaltextrun"/>
        </w:rPr>
        <w:t>K</w:t>
      </w:r>
      <w:r w:rsidR="00446FFD" w:rsidRPr="00D86C85">
        <w:rPr>
          <w:rStyle w:val="normaltextrun"/>
        </w:rPr>
        <w:t>nowledge of performance of the duty</w:t>
      </w:r>
      <w:r w:rsidR="0068251A">
        <w:rPr>
          <w:rStyle w:val="normaltextrun"/>
        </w:rPr>
        <w:tab/>
      </w:r>
      <w:r w:rsidR="0068251A">
        <w:rPr>
          <w:rStyle w:val="normaltextrun"/>
        </w:rPr>
        <w:tab/>
      </w:r>
      <w:r w:rsidRPr="00D86C85">
        <w:rPr>
          <w:rStyle w:val="normaltextrun"/>
        </w:rPr>
        <w:t>paragraphs</w:t>
      </w:r>
      <w:r w:rsidR="0010639A" w:rsidRPr="00D86C85">
        <w:rPr>
          <w:rStyle w:val="normaltextrun"/>
        </w:rPr>
        <w:t xml:space="preserve"> [</w:t>
      </w:r>
      <w:r w:rsidR="00E9425E">
        <w:rPr>
          <w:rStyle w:val="normaltextrun"/>
        </w:rPr>
        <w:t>155</w:t>
      </w:r>
      <w:r w:rsidR="0010639A" w:rsidRPr="00D86C85">
        <w:rPr>
          <w:rStyle w:val="normaltextrun"/>
        </w:rPr>
        <w:t>] to [</w:t>
      </w:r>
      <w:r w:rsidR="00E9425E">
        <w:rPr>
          <w:rStyle w:val="normaltextrun"/>
        </w:rPr>
        <w:t>173</w:t>
      </w:r>
      <w:r w:rsidR="0010639A" w:rsidRPr="00D86C85">
        <w:rPr>
          <w:rStyle w:val="normaltextrun"/>
        </w:rPr>
        <w:t>]</w:t>
      </w:r>
    </w:p>
    <w:p w14:paraId="755BED4A" w14:textId="1EFC8DD9" w:rsidR="00446FFD" w:rsidRPr="00D86C85" w:rsidRDefault="00B75AB4" w:rsidP="00B6212D">
      <w:pPr>
        <w:pStyle w:val="ListParagraph"/>
        <w:widowControl w:val="0"/>
        <w:tabs>
          <w:tab w:val="left" w:pos="687"/>
          <w:tab w:val="left" w:pos="688"/>
        </w:tabs>
        <w:autoSpaceDE w:val="0"/>
        <w:autoSpaceDN w:val="0"/>
        <w:spacing w:before="1"/>
        <w:ind w:left="0"/>
        <w:contextualSpacing w:val="0"/>
        <w:jc w:val="both"/>
        <w:rPr>
          <w:rFonts w:ascii="Times New Roman" w:hAnsi="Times New Roman"/>
        </w:rPr>
      </w:pPr>
      <w:r w:rsidRPr="00D86C85">
        <w:rPr>
          <w:rFonts w:ascii="Times New Roman" w:hAnsi="Times New Roman"/>
        </w:rPr>
        <w:tab/>
      </w:r>
      <w:r w:rsidR="002058C5" w:rsidRPr="00D86C85">
        <w:rPr>
          <w:rFonts w:ascii="Times New Roman" w:hAnsi="Times New Roman"/>
        </w:rPr>
        <w:tab/>
      </w:r>
      <w:r w:rsidR="002058C5" w:rsidRPr="00D86C85">
        <w:rPr>
          <w:rFonts w:ascii="Times New Roman" w:hAnsi="Times New Roman"/>
        </w:rPr>
        <w:tab/>
      </w:r>
      <w:r w:rsidR="002058C5" w:rsidRPr="00D86C85">
        <w:rPr>
          <w:rFonts w:ascii="Times New Roman" w:hAnsi="Times New Roman"/>
        </w:rPr>
        <w:tab/>
      </w:r>
      <w:r w:rsidR="00446FFD" w:rsidRPr="00D86C85">
        <w:rPr>
          <w:rFonts w:ascii="Times New Roman" w:hAnsi="Times New Roman"/>
        </w:rPr>
        <w:t xml:space="preserve">Time for performance of </w:t>
      </w:r>
      <w:r w:rsidR="0093004F">
        <w:rPr>
          <w:rFonts w:ascii="Times New Roman" w:hAnsi="Times New Roman"/>
        </w:rPr>
        <w:t xml:space="preserve">the </w:t>
      </w:r>
      <w:r w:rsidR="00446FFD" w:rsidRPr="00D86C85">
        <w:rPr>
          <w:rFonts w:ascii="Times New Roman" w:hAnsi="Times New Roman"/>
        </w:rPr>
        <w:t>duty</w:t>
      </w:r>
      <w:r w:rsidRPr="00D86C85">
        <w:rPr>
          <w:rFonts w:ascii="Times New Roman" w:hAnsi="Times New Roman"/>
        </w:rPr>
        <w:tab/>
      </w:r>
      <w:r w:rsidRPr="00D86C85">
        <w:rPr>
          <w:rFonts w:ascii="Times New Roman" w:hAnsi="Times New Roman"/>
        </w:rPr>
        <w:tab/>
      </w:r>
      <w:r w:rsidRPr="00D86C85">
        <w:rPr>
          <w:rFonts w:ascii="Times New Roman" w:hAnsi="Times New Roman"/>
        </w:rPr>
        <w:tab/>
        <w:t xml:space="preserve">paragraphs </w:t>
      </w:r>
      <w:r w:rsidR="0010639A" w:rsidRPr="00D86C85">
        <w:rPr>
          <w:rFonts w:ascii="Times New Roman" w:hAnsi="Times New Roman"/>
        </w:rPr>
        <w:t>[</w:t>
      </w:r>
      <w:r w:rsidR="00E9425E">
        <w:rPr>
          <w:rFonts w:ascii="Times New Roman" w:hAnsi="Times New Roman"/>
        </w:rPr>
        <w:t>174</w:t>
      </w:r>
      <w:r w:rsidR="0010639A" w:rsidRPr="00D86C85">
        <w:rPr>
          <w:rFonts w:ascii="Times New Roman" w:hAnsi="Times New Roman"/>
        </w:rPr>
        <w:t>] to [</w:t>
      </w:r>
      <w:r w:rsidR="00E9425E">
        <w:rPr>
          <w:rFonts w:ascii="Times New Roman" w:hAnsi="Times New Roman"/>
        </w:rPr>
        <w:t>245</w:t>
      </w:r>
      <w:r w:rsidR="0010639A" w:rsidRPr="00D86C85">
        <w:rPr>
          <w:rFonts w:ascii="Times New Roman" w:hAnsi="Times New Roman"/>
        </w:rPr>
        <w:t>]</w:t>
      </w:r>
    </w:p>
    <w:p w14:paraId="62AB2046" w14:textId="6955850D" w:rsidR="00446FFD" w:rsidRPr="00D86C85" w:rsidRDefault="00446FFD" w:rsidP="00B6212D">
      <w:pPr>
        <w:pStyle w:val="ListParagraph"/>
        <w:widowControl w:val="0"/>
        <w:tabs>
          <w:tab w:val="left" w:pos="687"/>
          <w:tab w:val="left" w:pos="688"/>
        </w:tabs>
        <w:autoSpaceDE w:val="0"/>
        <w:autoSpaceDN w:val="0"/>
        <w:spacing w:before="1"/>
        <w:ind w:left="0"/>
        <w:contextualSpacing w:val="0"/>
        <w:jc w:val="both"/>
        <w:rPr>
          <w:rFonts w:ascii="Times New Roman" w:hAnsi="Times New Roman"/>
        </w:rPr>
      </w:pPr>
      <w:r w:rsidRPr="00D86C85">
        <w:rPr>
          <w:rFonts w:ascii="Times New Roman" w:hAnsi="Times New Roman"/>
        </w:rPr>
        <w:tab/>
      </w:r>
      <w:r w:rsidR="00B75AB4" w:rsidRPr="00D86C85">
        <w:rPr>
          <w:rFonts w:ascii="Times New Roman" w:hAnsi="Times New Roman"/>
        </w:rPr>
        <w:tab/>
      </w:r>
      <w:r w:rsidR="00B75AB4" w:rsidRPr="00D86C85">
        <w:rPr>
          <w:rFonts w:ascii="Times New Roman" w:hAnsi="Times New Roman"/>
        </w:rPr>
        <w:tab/>
      </w:r>
      <w:r w:rsidR="00B75AB4" w:rsidRPr="00D86C85">
        <w:rPr>
          <w:rFonts w:ascii="Times New Roman" w:hAnsi="Times New Roman"/>
        </w:rPr>
        <w:tab/>
      </w:r>
      <w:r w:rsidR="002058C5" w:rsidRPr="00D86C85">
        <w:rPr>
          <w:rFonts w:ascii="Times New Roman" w:hAnsi="Times New Roman"/>
        </w:rPr>
        <w:tab/>
      </w:r>
      <w:r w:rsidRPr="00D86C85">
        <w:rPr>
          <w:rFonts w:ascii="Times New Roman" w:hAnsi="Times New Roman"/>
        </w:rPr>
        <w:t>Grounds advanced</w:t>
      </w:r>
    </w:p>
    <w:p w14:paraId="347B4032" w14:textId="45742968" w:rsidR="00446FFD" w:rsidRPr="00D86C85" w:rsidRDefault="00446FFD" w:rsidP="00B6212D">
      <w:pPr>
        <w:jc w:val="both"/>
        <w:rPr>
          <w:rStyle w:val="normaltextrun"/>
          <w:lang w:val="en-US"/>
        </w:rPr>
      </w:pPr>
      <w:r w:rsidRPr="00D86C85">
        <w:rPr>
          <w:rStyle w:val="normaltextrun"/>
          <w:lang w:val="en-US"/>
        </w:rPr>
        <w:tab/>
      </w:r>
      <w:r w:rsidR="00B75AB4" w:rsidRPr="00D86C85">
        <w:rPr>
          <w:rStyle w:val="normaltextrun"/>
          <w:lang w:val="en-US"/>
        </w:rPr>
        <w:tab/>
      </w:r>
      <w:r w:rsidR="002058C5" w:rsidRPr="00D86C85">
        <w:rPr>
          <w:rStyle w:val="normaltextrun"/>
          <w:lang w:val="en-US"/>
        </w:rPr>
        <w:tab/>
      </w:r>
      <w:r w:rsidRPr="00D86C85">
        <w:rPr>
          <w:rStyle w:val="normaltextrun"/>
          <w:lang w:val="en-US"/>
        </w:rPr>
        <w:t>A reasonable period of time</w:t>
      </w:r>
    </w:p>
    <w:p w14:paraId="579AB11F" w14:textId="1BC666CD" w:rsidR="00446FFD" w:rsidRPr="00D86C85" w:rsidRDefault="00446FFD" w:rsidP="00B6212D">
      <w:pPr>
        <w:pStyle w:val="ListParagraph"/>
        <w:ind w:left="2127" w:firstLine="33"/>
        <w:jc w:val="both"/>
        <w:rPr>
          <w:rStyle w:val="normaltextrun"/>
          <w:rFonts w:ascii="Times New Roman" w:hAnsi="Times New Roman"/>
          <w:lang w:val="en-US"/>
        </w:rPr>
      </w:pPr>
      <w:r w:rsidRPr="00D86C85">
        <w:rPr>
          <w:rStyle w:val="normaltextrun"/>
          <w:rFonts w:ascii="Times New Roman" w:hAnsi="Times New Roman"/>
          <w:lang w:val="en-US"/>
        </w:rPr>
        <w:t>The time taken in the claimants’ cases</w:t>
      </w:r>
    </w:p>
    <w:p w14:paraId="4AACCA27" w14:textId="1FA24173" w:rsidR="00446FFD" w:rsidRPr="00D86C85" w:rsidRDefault="00446FFD" w:rsidP="00B6212D">
      <w:pPr>
        <w:ind w:left="2061" w:firstLine="66"/>
        <w:jc w:val="both"/>
        <w:rPr>
          <w:lang w:val="en-US"/>
        </w:rPr>
      </w:pPr>
      <w:r w:rsidRPr="00D86C85">
        <w:rPr>
          <w:lang w:val="en-US"/>
        </w:rPr>
        <w:t>The Padfield principle</w:t>
      </w:r>
    </w:p>
    <w:p w14:paraId="61D40C96" w14:textId="4F89CE26" w:rsidR="00446FFD" w:rsidRDefault="00AC3B51" w:rsidP="00B6212D">
      <w:pPr>
        <w:ind w:left="1341" w:firstLine="720"/>
        <w:jc w:val="both"/>
        <w:rPr>
          <w:lang w:val="en-US"/>
        </w:rPr>
      </w:pPr>
      <w:r>
        <w:rPr>
          <w:lang w:val="en-US"/>
        </w:rPr>
        <w:t xml:space="preserve"> </w:t>
      </w:r>
      <w:r w:rsidR="00446FFD" w:rsidRPr="00D86C85">
        <w:rPr>
          <w:lang w:val="en-US"/>
        </w:rPr>
        <w:t>A systemic issue or issues</w:t>
      </w:r>
    </w:p>
    <w:p w14:paraId="74B65AD3" w14:textId="5242077C" w:rsidR="00AC3B51" w:rsidRPr="00D86C85" w:rsidRDefault="00AC3B51" w:rsidP="00B6212D">
      <w:pPr>
        <w:ind w:left="1341" w:firstLine="720"/>
        <w:jc w:val="both"/>
        <w:rPr>
          <w:lang w:val="en-US"/>
        </w:rPr>
      </w:pPr>
      <w:r>
        <w:rPr>
          <w:lang w:val="en-US"/>
        </w:rPr>
        <w:tab/>
        <w:t>Failing properly to monitor</w:t>
      </w:r>
    </w:p>
    <w:p w14:paraId="51E97E5F" w14:textId="77777777" w:rsidR="004658F3" w:rsidRDefault="004658F3" w:rsidP="00B6212D">
      <w:pPr>
        <w:ind w:left="1341" w:firstLine="99"/>
        <w:jc w:val="both"/>
        <w:rPr>
          <w:rStyle w:val="normaltextrun"/>
          <w:lang w:val="en-US"/>
        </w:rPr>
      </w:pPr>
    </w:p>
    <w:p w14:paraId="3194F564" w14:textId="3ADF0438" w:rsidR="00446FFD" w:rsidRPr="00D86C85" w:rsidRDefault="00446FFD" w:rsidP="00B6212D">
      <w:pPr>
        <w:ind w:left="1341" w:firstLine="99"/>
        <w:jc w:val="both"/>
        <w:rPr>
          <w:rStyle w:val="normaltextrun"/>
          <w:lang w:val="en-US"/>
        </w:rPr>
      </w:pPr>
      <w:r w:rsidRPr="00D86C85">
        <w:rPr>
          <w:rStyle w:val="normaltextrun"/>
          <w:lang w:val="en-US"/>
        </w:rPr>
        <w:t>Disability and equality</w:t>
      </w:r>
      <w:r w:rsidR="00B75AB4" w:rsidRPr="00D86C85">
        <w:rPr>
          <w:rStyle w:val="normaltextrun"/>
          <w:lang w:val="en-US"/>
        </w:rPr>
        <w:tab/>
      </w:r>
      <w:r w:rsidR="00B75AB4" w:rsidRPr="00D86C85">
        <w:rPr>
          <w:rStyle w:val="normaltextrun"/>
          <w:lang w:val="en-US"/>
        </w:rPr>
        <w:tab/>
      </w:r>
      <w:r w:rsidR="00B75AB4" w:rsidRPr="00D86C85">
        <w:rPr>
          <w:rStyle w:val="normaltextrun"/>
          <w:lang w:val="en-US"/>
        </w:rPr>
        <w:tab/>
      </w:r>
      <w:r w:rsidR="00B75AB4" w:rsidRPr="00D86C85">
        <w:rPr>
          <w:rStyle w:val="normaltextrun"/>
          <w:lang w:val="en-US"/>
        </w:rPr>
        <w:tab/>
        <w:t xml:space="preserve">paragraphs </w:t>
      </w:r>
      <w:r w:rsidR="0010639A" w:rsidRPr="00D86C85">
        <w:rPr>
          <w:rStyle w:val="normaltextrun"/>
          <w:lang w:val="en-US"/>
        </w:rPr>
        <w:t>[</w:t>
      </w:r>
      <w:r w:rsidR="00E9425E">
        <w:rPr>
          <w:rStyle w:val="normaltextrun"/>
          <w:lang w:val="en-US"/>
        </w:rPr>
        <w:t>246</w:t>
      </w:r>
      <w:r w:rsidR="0010639A" w:rsidRPr="00D86C85">
        <w:rPr>
          <w:rStyle w:val="normaltextrun"/>
          <w:lang w:val="en-US"/>
        </w:rPr>
        <w:t>] to [</w:t>
      </w:r>
      <w:r w:rsidR="000F5B19">
        <w:rPr>
          <w:rStyle w:val="normaltextrun"/>
          <w:lang w:val="en-US"/>
        </w:rPr>
        <w:t>326</w:t>
      </w:r>
      <w:r w:rsidR="0010639A" w:rsidRPr="00D86C85">
        <w:rPr>
          <w:rStyle w:val="normaltextrun"/>
          <w:lang w:val="en-US"/>
        </w:rPr>
        <w:t>]</w:t>
      </w:r>
    </w:p>
    <w:p w14:paraId="3A96B899" w14:textId="77777777" w:rsidR="00446FFD" w:rsidRPr="00D86C85" w:rsidRDefault="00446FFD" w:rsidP="00B6212D">
      <w:pPr>
        <w:ind w:left="1440" w:firstLine="720"/>
        <w:jc w:val="both"/>
        <w:rPr>
          <w:rStyle w:val="normaltextrun"/>
          <w:lang w:val="en-US"/>
        </w:rPr>
      </w:pPr>
      <w:r w:rsidRPr="00D86C85">
        <w:rPr>
          <w:rStyle w:val="normaltextrun"/>
          <w:lang w:val="en-US"/>
        </w:rPr>
        <w:t>Grounds advanced</w:t>
      </w:r>
    </w:p>
    <w:p w14:paraId="7A80EA32" w14:textId="77777777" w:rsidR="00446FFD" w:rsidRPr="00D86C85" w:rsidRDefault="00446FFD" w:rsidP="00B6212D">
      <w:pPr>
        <w:ind w:left="1559" w:firstLine="601"/>
        <w:jc w:val="both"/>
        <w:rPr>
          <w:lang w:val="en-US"/>
        </w:rPr>
      </w:pPr>
      <w:r w:rsidRPr="00D86C85">
        <w:rPr>
          <w:lang w:val="en-US"/>
        </w:rPr>
        <w:t>Legislation</w:t>
      </w:r>
    </w:p>
    <w:p w14:paraId="2414AF62" w14:textId="77777777" w:rsidR="00446FFD" w:rsidRPr="00D86C85" w:rsidRDefault="00446FFD" w:rsidP="00B6212D">
      <w:pPr>
        <w:ind w:left="1559" w:firstLine="601"/>
        <w:jc w:val="both"/>
        <w:rPr>
          <w:rStyle w:val="normaltextrun"/>
          <w:lang w:val="en-US"/>
        </w:rPr>
      </w:pPr>
      <w:r w:rsidRPr="00D86C85">
        <w:rPr>
          <w:rStyle w:val="normaltextrun"/>
          <w:lang w:val="en-US"/>
        </w:rPr>
        <w:t>Disability</w:t>
      </w:r>
    </w:p>
    <w:p w14:paraId="6D4C4BAA" w14:textId="77777777" w:rsidR="00446FFD" w:rsidRPr="00D86C85" w:rsidRDefault="00446FFD" w:rsidP="00B6212D">
      <w:pPr>
        <w:ind w:left="1559" w:firstLine="601"/>
        <w:jc w:val="both"/>
        <w:rPr>
          <w:rStyle w:val="normaltextrun"/>
          <w:lang w:val="en-US"/>
        </w:rPr>
      </w:pPr>
      <w:r w:rsidRPr="00D86C85">
        <w:rPr>
          <w:rStyle w:val="normaltextrun"/>
          <w:lang w:val="en-US"/>
        </w:rPr>
        <w:t>Needs</w:t>
      </w:r>
    </w:p>
    <w:p w14:paraId="06E47BAC" w14:textId="77777777" w:rsidR="00446FFD" w:rsidRPr="00D86C85" w:rsidRDefault="00446FFD" w:rsidP="00B6212D">
      <w:pPr>
        <w:ind w:left="1526" w:firstLine="634"/>
        <w:jc w:val="both"/>
        <w:rPr>
          <w:lang w:val="en-US"/>
        </w:rPr>
      </w:pPr>
      <w:r w:rsidRPr="00D86C85">
        <w:rPr>
          <w:lang w:eastAsia="en-GB"/>
        </w:rPr>
        <w:t>Unfavourable treatment</w:t>
      </w:r>
    </w:p>
    <w:p w14:paraId="1E18057F" w14:textId="77777777" w:rsidR="00446FFD" w:rsidRPr="00D86C85" w:rsidRDefault="00446FFD" w:rsidP="00B6212D">
      <w:pPr>
        <w:pStyle w:val="ListParagraph"/>
        <w:ind w:left="1493" w:firstLine="667"/>
        <w:jc w:val="both"/>
        <w:rPr>
          <w:rFonts w:ascii="Times New Roman" w:hAnsi="Times New Roman"/>
          <w:lang w:val="en-US"/>
        </w:rPr>
      </w:pPr>
      <w:r w:rsidRPr="00D86C85">
        <w:rPr>
          <w:rFonts w:ascii="Times New Roman" w:hAnsi="Times New Roman"/>
          <w:lang w:val="en-US"/>
        </w:rPr>
        <w:t>The system</w:t>
      </w:r>
    </w:p>
    <w:p w14:paraId="4CBCC02A" w14:textId="77777777" w:rsidR="00446FFD" w:rsidRPr="00D86C85" w:rsidRDefault="00446FFD" w:rsidP="00B6212D">
      <w:pPr>
        <w:ind w:left="1440" w:firstLine="720"/>
        <w:jc w:val="both"/>
        <w:rPr>
          <w:rStyle w:val="normaltextrun"/>
          <w:lang w:val="en-US"/>
        </w:rPr>
      </w:pPr>
      <w:r w:rsidRPr="00D86C85">
        <w:rPr>
          <w:rStyle w:val="normaltextrun"/>
          <w:lang w:val="en-US"/>
        </w:rPr>
        <w:t>Limited resources</w:t>
      </w:r>
    </w:p>
    <w:p w14:paraId="207D9EFC" w14:textId="0A8AF245" w:rsidR="00446FFD" w:rsidRPr="00D86C85" w:rsidRDefault="00F65F89" w:rsidP="00B6212D">
      <w:pPr>
        <w:pStyle w:val="ListParagraph"/>
        <w:ind w:left="2160"/>
        <w:jc w:val="both"/>
        <w:rPr>
          <w:rStyle w:val="normaltextrun"/>
          <w:rFonts w:ascii="Times New Roman" w:hAnsi="Times New Roman"/>
          <w:lang w:val="en-US"/>
        </w:rPr>
      </w:pPr>
      <w:r>
        <w:rPr>
          <w:rStyle w:val="normaltextrun"/>
          <w:rFonts w:ascii="Times New Roman" w:hAnsi="Times New Roman"/>
          <w:lang w:val="en-US"/>
        </w:rPr>
        <w:t>Immigration control</w:t>
      </w:r>
    </w:p>
    <w:p w14:paraId="757F2963" w14:textId="77777777" w:rsidR="00446FFD" w:rsidRPr="00D86C85" w:rsidRDefault="00446FFD" w:rsidP="00B6212D">
      <w:pPr>
        <w:ind w:left="2160"/>
        <w:jc w:val="both"/>
        <w:rPr>
          <w:rStyle w:val="normaltextrun"/>
          <w:lang w:val="en-US"/>
        </w:rPr>
      </w:pPr>
      <w:r w:rsidRPr="00D86C85">
        <w:rPr>
          <w:rStyle w:val="normaltextrun"/>
          <w:lang w:val="en-US"/>
        </w:rPr>
        <w:t>Supply and competition</w:t>
      </w:r>
    </w:p>
    <w:p w14:paraId="376F198D" w14:textId="77777777" w:rsidR="00446FFD" w:rsidRPr="00D86C85" w:rsidRDefault="00446FFD" w:rsidP="00B6212D">
      <w:pPr>
        <w:ind w:left="1526" w:firstLine="634"/>
        <w:jc w:val="both"/>
        <w:rPr>
          <w:rStyle w:val="normaltextrun"/>
          <w:lang w:val="en-US"/>
        </w:rPr>
      </w:pPr>
      <w:r w:rsidRPr="00D86C85">
        <w:rPr>
          <w:rStyle w:val="normaltextrun"/>
          <w:lang w:val="en-US"/>
        </w:rPr>
        <w:t>Reasonable adjustments</w:t>
      </w:r>
    </w:p>
    <w:p w14:paraId="5E218CB2" w14:textId="06C8154A" w:rsidR="001B5E95" w:rsidRPr="00D86C85" w:rsidRDefault="0068251A" w:rsidP="00B6212D">
      <w:pPr>
        <w:ind w:left="1440" w:firstLine="720"/>
        <w:jc w:val="both"/>
        <w:rPr>
          <w:rStyle w:val="normaltextrun"/>
          <w:lang w:val="en-US"/>
        </w:rPr>
      </w:pPr>
      <w:r>
        <w:rPr>
          <w:rStyle w:val="normaltextrun"/>
          <w:lang w:val="en-US"/>
        </w:rPr>
        <w:t>Failing to monitor</w:t>
      </w:r>
    </w:p>
    <w:p w14:paraId="35A7BFA8" w14:textId="683B2683" w:rsidR="00446FFD" w:rsidRPr="00D86C85" w:rsidRDefault="00446FFD" w:rsidP="00B6212D">
      <w:pPr>
        <w:ind w:left="1440" w:firstLine="720"/>
        <w:jc w:val="both"/>
        <w:rPr>
          <w:rStyle w:val="normaltextrun"/>
          <w:lang w:val="en-US"/>
        </w:rPr>
      </w:pPr>
      <w:r w:rsidRPr="00D86C85">
        <w:rPr>
          <w:rStyle w:val="normaltextrun"/>
          <w:lang w:val="en-US"/>
        </w:rPr>
        <w:t xml:space="preserve">A reserve </w:t>
      </w:r>
      <w:r w:rsidR="005256B6">
        <w:rPr>
          <w:rStyle w:val="normaltextrun"/>
          <w:lang w:val="en-US"/>
        </w:rPr>
        <w:t>stock</w:t>
      </w:r>
      <w:r w:rsidRPr="00D86C85">
        <w:rPr>
          <w:rStyle w:val="normaltextrun"/>
          <w:lang w:val="en-US"/>
        </w:rPr>
        <w:t xml:space="preserve"> of accommodation</w:t>
      </w:r>
    </w:p>
    <w:p w14:paraId="01B3844C" w14:textId="77777777" w:rsidR="00446FFD" w:rsidRPr="00D86C85" w:rsidRDefault="00446FFD" w:rsidP="00B6212D">
      <w:pPr>
        <w:ind w:left="1440" w:firstLine="720"/>
        <w:jc w:val="both"/>
        <w:rPr>
          <w:lang w:eastAsia="en-GB"/>
        </w:rPr>
      </w:pPr>
      <w:r w:rsidRPr="00D86C85">
        <w:rPr>
          <w:lang w:eastAsia="en-GB"/>
        </w:rPr>
        <w:t>Prioritisation</w:t>
      </w:r>
    </w:p>
    <w:p w14:paraId="257EF56B" w14:textId="77777777" w:rsidR="00446FFD" w:rsidRPr="00D86C85" w:rsidRDefault="00446FFD" w:rsidP="00B6212D">
      <w:pPr>
        <w:ind w:left="1440" w:firstLine="720"/>
        <w:jc w:val="both"/>
        <w:rPr>
          <w:rStyle w:val="normaltextrun"/>
          <w:lang w:val="en-US"/>
        </w:rPr>
      </w:pPr>
      <w:r w:rsidRPr="00D86C85">
        <w:rPr>
          <w:rStyle w:val="normaltextrun"/>
          <w:lang w:val="en-US"/>
        </w:rPr>
        <w:lastRenderedPageBreak/>
        <w:t>Public sector equality duty</w:t>
      </w:r>
    </w:p>
    <w:p w14:paraId="2D305EA3" w14:textId="77777777" w:rsidR="004658F3" w:rsidRDefault="004658F3" w:rsidP="00B6212D">
      <w:pPr>
        <w:ind w:left="720" w:firstLine="720"/>
        <w:jc w:val="both"/>
        <w:rPr>
          <w:rStyle w:val="normaltextrun"/>
          <w:lang w:val="en-US"/>
        </w:rPr>
      </w:pPr>
    </w:p>
    <w:p w14:paraId="2A80EEAD" w14:textId="76AE80C3" w:rsidR="00446FFD" w:rsidRPr="00D86C85" w:rsidRDefault="00446FFD" w:rsidP="0068251A">
      <w:pPr>
        <w:ind w:left="687" w:firstLine="720"/>
        <w:jc w:val="both"/>
        <w:rPr>
          <w:rStyle w:val="normaltextrun"/>
          <w:lang w:val="en-US"/>
        </w:rPr>
      </w:pPr>
      <w:r w:rsidRPr="00D86C85">
        <w:rPr>
          <w:rStyle w:val="normaltextrun"/>
          <w:lang w:val="en-US"/>
        </w:rPr>
        <w:t>Academic claims?</w:t>
      </w:r>
      <w:r w:rsidR="00B75AB4" w:rsidRPr="00D86C85">
        <w:rPr>
          <w:rStyle w:val="normaltextrun"/>
          <w:lang w:val="en-US"/>
        </w:rPr>
        <w:tab/>
      </w:r>
      <w:r w:rsidR="00B75AB4" w:rsidRPr="00D86C85">
        <w:rPr>
          <w:rStyle w:val="normaltextrun"/>
          <w:lang w:val="en-US"/>
        </w:rPr>
        <w:tab/>
      </w:r>
      <w:r w:rsidR="00B75AB4" w:rsidRPr="00D86C85">
        <w:rPr>
          <w:rStyle w:val="normaltextrun"/>
          <w:lang w:val="en-US"/>
        </w:rPr>
        <w:tab/>
      </w:r>
      <w:r w:rsidR="00B75AB4" w:rsidRPr="00D86C85">
        <w:rPr>
          <w:rStyle w:val="normaltextrun"/>
          <w:lang w:val="en-US"/>
        </w:rPr>
        <w:tab/>
      </w:r>
      <w:r w:rsidR="00B75AB4" w:rsidRPr="00D86C85">
        <w:rPr>
          <w:rStyle w:val="normaltextrun"/>
          <w:lang w:val="en-US"/>
        </w:rPr>
        <w:tab/>
      </w:r>
      <w:r w:rsidR="0010639A" w:rsidRPr="00D86C85">
        <w:rPr>
          <w:rStyle w:val="normaltextrun"/>
          <w:lang w:val="en-US"/>
        </w:rPr>
        <w:t>p</w:t>
      </w:r>
      <w:r w:rsidR="00B75AB4" w:rsidRPr="00D86C85">
        <w:rPr>
          <w:rStyle w:val="normaltextrun"/>
          <w:lang w:val="en-US"/>
        </w:rPr>
        <w:t>aragraphs</w:t>
      </w:r>
      <w:r w:rsidR="0010639A" w:rsidRPr="00D86C85">
        <w:rPr>
          <w:rStyle w:val="normaltextrun"/>
          <w:lang w:val="en-US"/>
        </w:rPr>
        <w:t xml:space="preserve"> [</w:t>
      </w:r>
      <w:r w:rsidR="000F5B19">
        <w:rPr>
          <w:rStyle w:val="normaltextrun"/>
          <w:lang w:val="en-US"/>
        </w:rPr>
        <w:t>32</w:t>
      </w:r>
      <w:r w:rsidR="006D15EF">
        <w:rPr>
          <w:rStyle w:val="normaltextrun"/>
          <w:lang w:val="en-US"/>
        </w:rPr>
        <w:t>6</w:t>
      </w:r>
      <w:r w:rsidR="0010639A" w:rsidRPr="00D86C85">
        <w:rPr>
          <w:rStyle w:val="normaltextrun"/>
          <w:lang w:val="en-US"/>
        </w:rPr>
        <w:t>] to [</w:t>
      </w:r>
      <w:r w:rsidR="000F5B19">
        <w:rPr>
          <w:rStyle w:val="normaltextrun"/>
          <w:lang w:val="en-US"/>
        </w:rPr>
        <w:t>33</w:t>
      </w:r>
      <w:r w:rsidR="006D15EF">
        <w:rPr>
          <w:rStyle w:val="normaltextrun"/>
          <w:lang w:val="en-US"/>
        </w:rPr>
        <w:t>2</w:t>
      </w:r>
      <w:r w:rsidR="0010639A" w:rsidRPr="00D86C85">
        <w:rPr>
          <w:rStyle w:val="normaltextrun"/>
          <w:lang w:val="en-US"/>
        </w:rPr>
        <w:t>]</w:t>
      </w:r>
    </w:p>
    <w:p w14:paraId="66E482CA" w14:textId="77777777" w:rsidR="0068251A" w:rsidRDefault="0068251A" w:rsidP="00B6212D">
      <w:pPr>
        <w:pStyle w:val="BodyText"/>
        <w:ind w:left="687" w:firstLine="720"/>
        <w:jc w:val="both"/>
        <w:rPr>
          <w:rStyle w:val="normaltextrun"/>
        </w:rPr>
      </w:pPr>
    </w:p>
    <w:p w14:paraId="59781067" w14:textId="179F9511" w:rsidR="00446FFD" w:rsidRPr="00D86C85" w:rsidRDefault="00446FFD" w:rsidP="00B6212D">
      <w:pPr>
        <w:pStyle w:val="BodyText"/>
        <w:ind w:left="687" w:firstLine="720"/>
        <w:jc w:val="both"/>
        <w:rPr>
          <w:rStyle w:val="normaltextrun"/>
        </w:rPr>
      </w:pPr>
      <w:r w:rsidRPr="00D86C85">
        <w:rPr>
          <w:rStyle w:val="normaltextrun"/>
        </w:rPr>
        <w:t>Remedies</w:t>
      </w:r>
      <w:r w:rsidR="00B75AB4" w:rsidRPr="00D86C85">
        <w:rPr>
          <w:rStyle w:val="normaltextrun"/>
        </w:rPr>
        <w:tab/>
      </w:r>
      <w:r w:rsidR="00B75AB4" w:rsidRPr="00D86C85">
        <w:rPr>
          <w:rStyle w:val="normaltextrun"/>
        </w:rPr>
        <w:tab/>
      </w:r>
      <w:r w:rsidR="00B75AB4" w:rsidRPr="00D86C85">
        <w:rPr>
          <w:rStyle w:val="normaltextrun"/>
        </w:rPr>
        <w:tab/>
      </w:r>
      <w:r w:rsidR="00B75AB4" w:rsidRPr="00D86C85">
        <w:rPr>
          <w:rStyle w:val="normaltextrun"/>
        </w:rPr>
        <w:tab/>
      </w:r>
      <w:r w:rsidR="00B75AB4" w:rsidRPr="00D86C85">
        <w:rPr>
          <w:rStyle w:val="normaltextrun"/>
        </w:rPr>
        <w:tab/>
      </w:r>
      <w:r w:rsidR="00B75AB4" w:rsidRPr="00D86C85">
        <w:rPr>
          <w:rStyle w:val="normaltextrun"/>
        </w:rPr>
        <w:tab/>
        <w:t>paragraphs</w:t>
      </w:r>
      <w:r w:rsidR="0010639A" w:rsidRPr="00D86C85">
        <w:rPr>
          <w:rStyle w:val="normaltextrun"/>
        </w:rPr>
        <w:t xml:space="preserve"> [</w:t>
      </w:r>
      <w:r w:rsidR="000F5B19">
        <w:rPr>
          <w:rStyle w:val="normaltextrun"/>
        </w:rPr>
        <w:t>33</w:t>
      </w:r>
      <w:r w:rsidR="006D15EF">
        <w:rPr>
          <w:rStyle w:val="normaltextrun"/>
        </w:rPr>
        <w:t>3</w:t>
      </w:r>
      <w:r w:rsidR="0010639A" w:rsidRPr="00D86C85">
        <w:rPr>
          <w:rStyle w:val="normaltextrun"/>
        </w:rPr>
        <w:t>] to [</w:t>
      </w:r>
      <w:r w:rsidR="000F5B19">
        <w:rPr>
          <w:rStyle w:val="normaltextrun"/>
        </w:rPr>
        <w:t>3</w:t>
      </w:r>
      <w:r w:rsidR="00C02407">
        <w:rPr>
          <w:rStyle w:val="normaltextrun"/>
        </w:rPr>
        <w:t>4</w:t>
      </w:r>
      <w:r w:rsidR="006D15EF">
        <w:rPr>
          <w:rStyle w:val="normaltextrun"/>
        </w:rPr>
        <w:t>1</w:t>
      </w:r>
      <w:r w:rsidR="0010639A" w:rsidRPr="00D86C85">
        <w:rPr>
          <w:rStyle w:val="normaltextrun"/>
        </w:rPr>
        <w:t>]</w:t>
      </w:r>
    </w:p>
    <w:p w14:paraId="7DCB822A" w14:textId="4A0689FF" w:rsidR="00446FFD" w:rsidRPr="00D86C85" w:rsidRDefault="00446FFD" w:rsidP="00B6212D">
      <w:pPr>
        <w:pStyle w:val="BodyText"/>
        <w:ind w:left="2127" w:firstLine="33"/>
        <w:jc w:val="both"/>
        <w:rPr>
          <w:rStyle w:val="normaltextrun"/>
          <w:lang w:val="en-US"/>
        </w:rPr>
      </w:pPr>
      <w:r w:rsidRPr="00D86C85">
        <w:rPr>
          <w:rStyle w:val="normaltextrun"/>
          <w:lang w:val="en-US"/>
        </w:rPr>
        <w:t>Declarations</w:t>
      </w:r>
      <w:r w:rsidR="0010639A" w:rsidRPr="00D86C85">
        <w:rPr>
          <w:rStyle w:val="normaltextrun"/>
          <w:lang w:val="en-US"/>
        </w:rPr>
        <w:tab/>
      </w:r>
    </w:p>
    <w:p w14:paraId="74257837" w14:textId="77777777" w:rsidR="001B5E95" w:rsidRPr="00D86C85" w:rsidRDefault="001B5E95" w:rsidP="00B6212D">
      <w:pPr>
        <w:pStyle w:val="BodyText"/>
        <w:ind w:left="2061" w:firstLine="99"/>
        <w:jc w:val="both"/>
        <w:rPr>
          <w:rStyle w:val="normaltextrun"/>
        </w:rPr>
      </w:pPr>
      <w:r w:rsidRPr="00D86C85">
        <w:rPr>
          <w:rStyle w:val="normaltextrun"/>
          <w:lang w:val="en-US"/>
        </w:rPr>
        <w:t>Mandatory orders</w:t>
      </w:r>
    </w:p>
    <w:p w14:paraId="4D81B34C" w14:textId="25EB49E3" w:rsidR="00446FFD" w:rsidRPr="00D86C85" w:rsidRDefault="001B5E95" w:rsidP="00B6212D">
      <w:pPr>
        <w:pStyle w:val="BodyText"/>
        <w:ind w:left="1962" w:firstLine="198"/>
        <w:jc w:val="both"/>
        <w:rPr>
          <w:rStyle w:val="normaltextrun"/>
        </w:rPr>
      </w:pPr>
      <w:r w:rsidRPr="00D86C85">
        <w:rPr>
          <w:rStyle w:val="normaltextrun"/>
          <w:lang w:val="en-US"/>
        </w:rPr>
        <w:t>Damages</w:t>
      </w:r>
      <w:r w:rsidR="00446FFD" w:rsidRPr="00D86C85">
        <w:rPr>
          <w:rStyle w:val="normaltextrun"/>
        </w:rPr>
        <w:t xml:space="preserve">  </w:t>
      </w:r>
    </w:p>
    <w:p w14:paraId="2A570995" w14:textId="77777777" w:rsidR="0068251A" w:rsidRDefault="0068251A" w:rsidP="00B6212D">
      <w:pPr>
        <w:pStyle w:val="BodyText"/>
        <w:ind w:left="720" w:firstLine="720"/>
        <w:jc w:val="both"/>
        <w:rPr>
          <w:rStyle w:val="normaltextrun"/>
        </w:rPr>
      </w:pPr>
    </w:p>
    <w:p w14:paraId="7CC9D755" w14:textId="486F4201" w:rsidR="00446FFD" w:rsidRPr="00D86C85" w:rsidRDefault="00446FFD" w:rsidP="00B6212D">
      <w:pPr>
        <w:pStyle w:val="BodyText"/>
        <w:ind w:left="720" w:firstLine="720"/>
        <w:jc w:val="both"/>
        <w:rPr>
          <w:rStyle w:val="normaltextrun"/>
        </w:rPr>
      </w:pPr>
      <w:r w:rsidRPr="00D86C85">
        <w:rPr>
          <w:rStyle w:val="normaltextrun"/>
        </w:rPr>
        <w:t>Reflections</w:t>
      </w:r>
      <w:r w:rsidR="0010639A" w:rsidRPr="00D86C85">
        <w:rPr>
          <w:rStyle w:val="normaltextrun"/>
        </w:rPr>
        <w:tab/>
      </w:r>
      <w:r w:rsidR="0010639A" w:rsidRPr="00D86C85">
        <w:rPr>
          <w:rStyle w:val="normaltextrun"/>
        </w:rPr>
        <w:tab/>
      </w:r>
      <w:r w:rsidR="0010639A" w:rsidRPr="00D86C85">
        <w:rPr>
          <w:rStyle w:val="normaltextrun"/>
        </w:rPr>
        <w:tab/>
      </w:r>
      <w:r w:rsidR="0010639A" w:rsidRPr="00D86C85">
        <w:rPr>
          <w:rStyle w:val="normaltextrun"/>
        </w:rPr>
        <w:tab/>
      </w:r>
      <w:r w:rsidR="0010639A" w:rsidRPr="00D86C85">
        <w:rPr>
          <w:rStyle w:val="normaltextrun"/>
        </w:rPr>
        <w:tab/>
      </w:r>
      <w:r w:rsidR="0010639A" w:rsidRPr="00D86C85">
        <w:rPr>
          <w:rStyle w:val="normaltextrun"/>
        </w:rPr>
        <w:tab/>
        <w:t>paragraphs [</w:t>
      </w:r>
      <w:r w:rsidR="000F5B19">
        <w:rPr>
          <w:rStyle w:val="normaltextrun"/>
        </w:rPr>
        <w:t>34</w:t>
      </w:r>
      <w:r w:rsidR="006D15EF">
        <w:rPr>
          <w:rStyle w:val="normaltextrun"/>
        </w:rPr>
        <w:t>2</w:t>
      </w:r>
      <w:r w:rsidR="0010639A" w:rsidRPr="00D86C85">
        <w:rPr>
          <w:rStyle w:val="normaltextrun"/>
        </w:rPr>
        <w:t>]</w:t>
      </w:r>
      <w:r w:rsidR="00442BDD" w:rsidRPr="00D86C85">
        <w:rPr>
          <w:rStyle w:val="normaltextrun"/>
        </w:rPr>
        <w:t xml:space="preserve"> to [</w:t>
      </w:r>
      <w:r w:rsidR="000F5B19">
        <w:rPr>
          <w:rStyle w:val="normaltextrun"/>
        </w:rPr>
        <w:t>34</w:t>
      </w:r>
      <w:r w:rsidR="001713DC">
        <w:rPr>
          <w:rStyle w:val="normaltextrun"/>
        </w:rPr>
        <w:t>9</w:t>
      </w:r>
      <w:r w:rsidR="00442BDD" w:rsidRPr="00D86C85">
        <w:rPr>
          <w:rStyle w:val="normaltextrun"/>
        </w:rPr>
        <w:t>]</w:t>
      </w:r>
    </w:p>
    <w:p w14:paraId="5CF87526" w14:textId="77777777" w:rsidR="00676BCD" w:rsidRPr="00D86C85" w:rsidRDefault="00676BCD" w:rsidP="00B6212D">
      <w:pPr>
        <w:widowControl w:val="0"/>
        <w:tabs>
          <w:tab w:val="left" w:pos="687"/>
          <w:tab w:val="left" w:pos="688"/>
        </w:tabs>
        <w:autoSpaceDE w:val="0"/>
        <w:autoSpaceDN w:val="0"/>
        <w:spacing w:before="62"/>
        <w:jc w:val="both"/>
      </w:pPr>
    </w:p>
    <w:p w14:paraId="721BB1F9" w14:textId="77777777" w:rsidR="00B75AB4" w:rsidRPr="00D86C85" w:rsidRDefault="00B75AB4" w:rsidP="00B6212D">
      <w:pPr>
        <w:widowControl w:val="0"/>
        <w:tabs>
          <w:tab w:val="left" w:pos="687"/>
          <w:tab w:val="left" w:pos="688"/>
        </w:tabs>
        <w:autoSpaceDE w:val="0"/>
        <w:autoSpaceDN w:val="0"/>
        <w:spacing w:before="62"/>
        <w:jc w:val="both"/>
        <w:rPr>
          <w:b/>
          <w:bCs/>
          <w:u w:val="single"/>
        </w:rPr>
      </w:pPr>
    </w:p>
    <w:p w14:paraId="0BF4B6F0" w14:textId="77777777" w:rsidR="00B75AB4" w:rsidRPr="00D86C85" w:rsidRDefault="00B75AB4" w:rsidP="00B6212D">
      <w:pPr>
        <w:widowControl w:val="0"/>
        <w:tabs>
          <w:tab w:val="left" w:pos="687"/>
          <w:tab w:val="left" w:pos="688"/>
        </w:tabs>
        <w:autoSpaceDE w:val="0"/>
        <w:autoSpaceDN w:val="0"/>
        <w:spacing w:before="62"/>
        <w:jc w:val="both"/>
        <w:rPr>
          <w:b/>
          <w:bCs/>
          <w:u w:val="single"/>
        </w:rPr>
      </w:pPr>
    </w:p>
    <w:p w14:paraId="4189955F" w14:textId="2B879891" w:rsidR="00350F61" w:rsidRPr="00602F08" w:rsidRDefault="00CA20F7" w:rsidP="00B6212D">
      <w:pPr>
        <w:widowControl w:val="0"/>
        <w:tabs>
          <w:tab w:val="left" w:pos="687"/>
          <w:tab w:val="left" w:pos="688"/>
        </w:tabs>
        <w:autoSpaceDE w:val="0"/>
        <w:autoSpaceDN w:val="0"/>
        <w:spacing w:before="62"/>
        <w:jc w:val="both"/>
        <w:rPr>
          <w:b/>
          <w:bCs/>
          <w:u w:val="single"/>
        </w:rPr>
      </w:pPr>
      <w:r w:rsidRPr="00602F08">
        <w:rPr>
          <w:b/>
          <w:bCs/>
          <w:u w:val="single"/>
        </w:rPr>
        <w:t xml:space="preserve">The legislative framework </w:t>
      </w:r>
    </w:p>
    <w:p w14:paraId="0F524218" w14:textId="77777777" w:rsidR="00F40265" w:rsidRPr="00602F08" w:rsidRDefault="00F40265" w:rsidP="00B6212D">
      <w:pPr>
        <w:pStyle w:val="ListParagraph"/>
        <w:widowControl w:val="0"/>
        <w:tabs>
          <w:tab w:val="left" w:pos="687"/>
          <w:tab w:val="left" w:pos="688"/>
        </w:tabs>
        <w:autoSpaceDE w:val="0"/>
        <w:autoSpaceDN w:val="0"/>
        <w:spacing w:before="62"/>
        <w:ind w:left="119"/>
        <w:contextualSpacing w:val="0"/>
        <w:jc w:val="both"/>
        <w:rPr>
          <w:rFonts w:ascii="Times New Roman" w:hAnsi="Times New Roman"/>
          <w:b/>
          <w:bCs/>
          <w:u w:val="single"/>
        </w:rPr>
      </w:pPr>
    </w:p>
    <w:p w14:paraId="313EA904" w14:textId="0E68DD55" w:rsidR="00CA20F7" w:rsidRPr="00602F08" w:rsidRDefault="00CA20F7" w:rsidP="00B6212D">
      <w:pPr>
        <w:pStyle w:val="ListParagraph"/>
        <w:widowControl w:val="0"/>
        <w:numPr>
          <w:ilvl w:val="0"/>
          <w:numId w:val="10"/>
        </w:numPr>
        <w:tabs>
          <w:tab w:val="left" w:pos="687"/>
          <w:tab w:val="left" w:pos="688"/>
        </w:tabs>
        <w:autoSpaceDE w:val="0"/>
        <w:autoSpaceDN w:val="0"/>
        <w:spacing w:before="62"/>
        <w:ind w:left="686" w:hanging="567"/>
        <w:contextualSpacing w:val="0"/>
        <w:jc w:val="both"/>
        <w:rPr>
          <w:rFonts w:ascii="Times New Roman" w:hAnsi="Times New Roman"/>
        </w:rPr>
      </w:pPr>
      <w:r w:rsidRPr="00602F08">
        <w:rPr>
          <w:rFonts w:ascii="Times New Roman" w:hAnsi="Times New Roman"/>
        </w:rPr>
        <w:t>Section 4(2) of the 1999 Act provides, so far as material:</w:t>
      </w:r>
    </w:p>
    <w:p w14:paraId="4BE6C928" w14:textId="77777777" w:rsidR="00CA20F7" w:rsidRPr="00602F08" w:rsidRDefault="00CA20F7" w:rsidP="00B6212D">
      <w:pPr>
        <w:pStyle w:val="ListParagraph"/>
        <w:widowControl w:val="0"/>
        <w:tabs>
          <w:tab w:val="left" w:pos="687"/>
          <w:tab w:val="left" w:pos="688"/>
        </w:tabs>
        <w:autoSpaceDE w:val="0"/>
        <w:autoSpaceDN w:val="0"/>
        <w:spacing w:before="62"/>
        <w:ind w:left="687"/>
        <w:contextualSpacing w:val="0"/>
        <w:jc w:val="both"/>
        <w:rPr>
          <w:rFonts w:ascii="Times New Roman" w:hAnsi="Times New Roman"/>
        </w:rPr>
      </w:pPr>
      <w:r w:rsidRPr="00602F08">
        <w:rPr>
          <w:rFonts w:ascii="Times New Roman" w:hAnsi="Times New Roman"/>
        </w:rPr>
        <w:tab/>
      </w:r>
      <w:r w:rsidRPr="00602F08">
        <w:rPr>
          <w:rFonts w:ascii="Times New Roman" w:hAnsi="Times New Roman"/>
        </w:rPr>
        <w:tab/>
      </w:r>
      <w:r w:rsidRPr="00602F08">
        <w:rPr>
          <w:rFonts w:ascii="Times New Roman" w:hAnsi="Times New Roman"/>
        </w:rPr>
        <w:tab/>
      </w:r>
    </w:p>
    <w:p w14:paraId="6FBFE10A" w14:textId="77777777" w:rsidR="00CA20F7" w:rsidRPr="00602F08" w:rsidRDefault="00CA20F7" w:rsidP="00B6212D">
      <w:pPr>
        <w:pStyle w:val="ListParagraph"/>
        <w:widowControl w:val="0"/>
        <w:tabs>
          <w:tab w:val="left" w:pos="687"/>
          <w:tab w:val="left" w:pos="688"/>
        </w:tabs>
        <w:autoSpaceDE w:val="0"/>
        <w:autoSpaceDN w:val="0"/>
        <w:spacing w:before="62"/>
        <w:ind w:left="687"/>
        <w:contextualSpacing w:val="0"/>
        <w:jc w:val="both"/>
        <w:rPr>
          <w:rFonts w:ascii="Times New Roman" w:hAnsi="Times New Roman"/>
        </w:rPr>
      </w:pPr>
      <w:r w:rsidRPr="00602F08">
        <w:rPr>
          <w:rFonts w:ascii="Times New Roman" w:hAnsi="Times New Roman"/>
        </w:rPr>
        <w:tab/>
      </w:r>
      <w:r w:rsidRPr="00602F08">
        <w:rPr>
          <w:rFonts w:ascii="Times New Roman" w:hAnsi="Times New Roman"/>
        </w:rPr>
        <w:tab/>
      </w:r>
      <w:r w:rsidRPr="00602F08">
        <w:rPr>
          <w:rFonts w:ascii="Times New Roman" w:hAnsi="Times New Roman"/>
        </w:rPr>
        <w:tab/>
        <w:t>“4. Accommodation.</w:t>
      </w:r>
    </w:p>
    <w:p w14:paraId="2F2930D9" w14:textId="77777777" w:rsidR="00CA20F7" w:rsidRPr="00602F08" w:rsidRDefault="00CA20F7" w:rsidP="00B6212D">
      <w:pPr>
        <w:pStyle w:val="ListParagraph"/>
        <w:widowControl w:val="0"/>
        <w:tabs>
          <w:tab w:val="left" w:pos="2104"/>
          <w:tab w:val="left" w:pos="2105"/>
        </w:tabs>
        <w:autoSpaceDE w:val="0"/>
        <w:autoSpaceDN w:val="0"/>
        <w:ind w:left="2105"/>
        <w:contextualSpacing w:val="0"/>
        <w:jc w:val="both"/>
        <w:rPr>
          <w:rFonts w:ascii="Times New Roman" w:hAnsi="Times New Roman"/>
        </w:rPr>
      </w:pPr>
      <w:r w:rsidRPr="00602F08">
        <w:rPr>
          <w:rFonts w:ascii="Times New Roman" w:hAnsi="Times New Roman"/>
        </w:rPr>
        <w:t>…</w:t>
      </w:r>
    </w:p>
    <w:p w14:paraId="5A43C42E" w14:textId="77777777" w:rsidR="00CA20F7" w:rsidRPr="00602F08" w:rsidRDefault="00CA20F7" w:rsidP="00B6212D">
      <w:pPr>
        <w:pStyle w:val="ListParagraph"/>
        <w:widowControl w:val="0"/>
        <w:tabs>
          <w:tab w:val="left" w:pos="2104"/>
          <w:tab w:val="left" w:pos="2105"/>
        </w:tabs>
        <w:autoSpaceDE w:val="0"/>
        <w:autoSpaceDN w:val="0"/>
        <w:ind w:left="2105"/>
        <w:contextualSpacing w:val="0"/>
        <w:jc w:val="both"/>
        <w:rPr>
          <w:rFonts w:ascii="Times New Roman" w:hAnsi="Times New Roman"/>
        </w:rPr>
      </w:pPr>
      <w:r w:rsidRPr="00602F08">
        <w:rPr>
          <w:rFonts w:ascii="Times New Roman" w:hAnsi="Times New Roman"/>
        </w:rPr>
        <w:t>(2) The Secretary of State may provide, or arrange for the provision of, facilities for the accommodation of a person</w:t>
      </w:r>
      <w:r w:rsidRPr="00602F08">
        <w:rPr>
          <w:rFonts w:ascii="Times New Roman" w:hAnsi="Times New Roman"/>
          <w:spacing w:val="-1"/>
        </w:rPr>
        <w:t xml:space="preserve"> </w:t>
      </w:r>
      <w:r w:rsidRPr="00602F08">
        <w:rPr>
          <w:rFonts w:ascii="Times New Roman" w:hAnsi="Times New Roman"/>
        </w:rPr>
        <w:t>if—</w:t>
      </w:r>
    </w:p>
    <w:p w14:paraId="74CA0042" w14:textId="77777777" w:rsidR="00CA20F7" w:rsidRPr="00602F08" w:rsidRDefault="00CA20F7" w:rsidP="00B6212D">
      <w:pPr>
        <w:pStyle w:val="ListParagraph"/>
        <w:widowControl w:val="0"/>
        <w:tabs>
          <w:tab w:val="left" w:pos="2671"/>
          <w:tab w:val="left" w:pos="2672"/>
        </w:tabs>
        <w:autoSpaceDE w:val="0"/>
        <w:autoSpaceDN w:val="0"/>
        <w:ind w:left="2671"/>
        <w:contextualSpacing w:val="0"/>
        <w:jc w:val="both"/>
        <w:rPr>
          <w:rFonts w:ascii="Times New Roman" w:hAnsi="Times New Roman"/>
        </w:rPr>
      </w:pPr>
      <w:r w:rsidRPr="00602F08">
        <w:rPr>
          <w:rFonts w:ascii="Times New Roman" w:hAnsi="Times New Roman"/>
        </w:rPr>
        <w:t>(a) he was (but is no longer) an asylum-seeker,</w:t>
      </w:r>
      <w:r w:rsidRPr="00602F08">
        <w:rPr>
          <w:rFonts w:ascii="Times New Roman" w:hAnsi="Times New Roman"/>
          <w:spacing w:val="-1"/>
        </w:rPr>
        <w:t xml:space="preserve"> </w:t>
      </w:r>
      <w:r w:rsidRPr="00602F08">
        <w:rPr>
          <w:rFonts w:ascii="Times New Roman" w:hAnsi="Times New Roman"/>
        </w:rPr>
        <w:t>and</w:t>
      </w:r>
    </w:p>
    <w:p w14:paraId="0478E53B" w14:textId="068AA65F" w:rsidR="00CA20F7" w:rsidRPr="00602F08" w:rsidRDefault="00CA20F7" w:rsidP="00B6212D">
      <w:pPr>
        <w:pStyle w:val="ListParagraph"/>
        <w:widowControl w:val="0"/>
        <w:tabs>
          <w:tab w:val="left" w:pos="2671"/>
          <w:tab w:val="left" w:pos="2672"/>
        </w:tabs>
        <w:autoSpaceDE w:val="0"/>
        <w:autoSpaceDN w:val="0"/>
        <w:ind w:left="2671"/>
        <w:contextualSpacing w:val="0"/>
        <w:jc w:val="both"/>
        <w:rPr>
          <w:rFonts w:ascii="Times New Roman" w:hAnsi="Times New Roman"/>
        </w:rPr>
      </w:pPr>
      <w:r w:rsidRPr="00602F08">
        <w:rPr>
          <w:rFonts w:ascii="Times New Roman" w:hAnsi="Times New Roman"/>
        </w:rPr>
        <w:t>(b) his claim for asylum was rejected. […]”</w:t>
      </w:r>
    </w:p>
    <w:p w14:paraId="101D3F31" w14:textId="77777777" w:rsidR="001E19CC" w:rsidRPr="00602F08" w:rsidRDefault="001E19CC" w:rsidP="00B6212D">
      <w:pPr>
        <w:pStyle w:val="ListParagraph"/>
        <w:widowControl w:val="0"/>
        <w:tabs>
          <w:tab w:val="left" w:pos="2671"/>
          <w:tab w:val="left" w:pos="2672"/>
        </w:tabs>
        <w:autoSpaceDE w:val="0"/>
        <w:autoSpaceDN w:val="0"/>
        <w:ind w:left="2671"/>
        <w:contextualSpacing w:val="0"/>
        <w:jc w:val="both"/>
        <w:rPr>
          <w:rFonts w:ascii="Times New Roman" w:hAnsi="Times New Roman"/>
        </w:rPr>
      </w:pPr>
    </w:p>
    <w:p w14:paraId="29746787" w14:textId="35040AA2" w:rsidR="00222BFA" w:rsidRPr="00602F08" w:rsidRDefault="003278F0" w:rsidP="00B6212D">
      <w:pPr>
        <w:pStyle w:val="ListParagraph"/>
        <w:widowControl w:val="0"/>
        <w:tabs>
          <w:tab w:val="left" w:pos="2671"/>
          <w:tab w:val="left" w:pos="2672"/>
        </w:tabs>
        <w:autoSpaceDE w:val="0"/>
        <w:autoSpaceDN w:val="0"/>
        <w:ind w:left="2105"/>
        <w:contextualSpacing w:val="0"/>
        <w:jc w:val="both"/>
        <w:rPr>
          <w:rFonts w:ascii="Times New Roman" w:hAnsi="Times New Roman"/>
        </w:rPr>
      </w:pPr>
      <w:r w:rsidRPr="00602F08">
        <w:rPr>
          <w:rFonts w:ascii="Times New Roman" w:hAnsi="Times New Roman"/>
        </w:rPr>
        <w:t>(3) The Secretary of State may provide</w:t>
      </w:r>
      <w:r w:rsidR="00222BFA" w:rsidRPr="00602F08">
        <w:rPr>
          <w:rFonts w:ascii="Times New Roman" w:hAnsi="Times New Roman"/>
        </w:rPr>
        <w:t xml:space="preserve">, or arrange for the provision of, facilities for the accommodation of a </w:t>
      </w:r>
      <w:r w:rsidR="00E3506A" w:rsidRPr="00602F08">
        <w:rPr>
          <w:rFonts w:ascii="Times New Roman" w:hAnsi="Times New Roman"/>
        </w:rPr>
        <w:t>dependant of a person for whom facilities may be provided under subsection (2)</w:t>
      </w:r>
      <w:r w:rsidR="00861AF7" w:rsidRPr="00602F08">
        <w:rPr>
          <w:rFonts w:ascii="Times New Roman" w:hAnsi="Times New Roman"/>
        </w:rPr>
        <w:t>.</w:t>
      </w:r>
    </w:p>
    <w:p w14:paraId="28B79FC5" w14:textId="77777777" w:rsidR="001E19CC" w:rsidRPr="00602F08" w:rsidRDefault="001E19CC" w:rsidP="00B6212D">
      <w:pPr>
        <w:pStyle w:val="ListParagraph"/>
        <w:widowControl w:val="0"/>
        <w:tabs>
          <w:tab w:val="left" w:pos="2671"/>
          <w:tab w:val="left" w:pos="2672"/>
        </w:tabs>
        <w:autoSpaceDE w:val="0"/>
        <w:autoSpaceDN w:val="0"/>
        <w:ind w:left="2105"/>
        <w:contextualSpacing w:val="0"/>
        <w:jc w:val="both"/>
        <w:rPr>
          <w:rFonts w:ascii="Times New Roman" w:hAnsi="Times New Roman"/>
        </w:rPr>
      </w:pPr>
    </w:p>
    <w:p w14:paraId="2CFEC8A6" w14:textId="4D0DE283" w:rsidR="00CA20F7" w:rsidRPr="00602F08" w:rsidRDefault="00CA20F7" w:rsidP="00B6212D">
      <w:pPr>
        <w:pStyle w:val="ListParagraph"/>
        <w:widowControl w:val="0"/>
        <w:tabs>
          <w:tab w:val="left" w:pos="2671"/>
          <w:tab w:val="left" w:pos="2672"/>
        </w:tabs>
        <w:autoSpaceDE w:val="0"/>
        <w:autoSpaceDN w:val="0"/>
        <w:ind w:left="2105"/>
        <w:contextualSpacing w:val="0"/>
        <w:jc w:val="both"/>
        <w:rPr>
          <w:rFonts w:ascii="Times New Roman" w:hAnsi="Times New Roman"/>
        </w:rPr>
      </w:pPr>
      <w:r w:rsidRPr="00602F08">
        <w:rPr>
          <w:rFonts w:ascii="Times New Roman" w:hAnsi="Times New Roman"/>
        </w:rPr>
        <w:t>…</w:t>
      </w:r>
    </w:p>
    <w:p w14:paraId="6C522B26" w14:textId="77777777" w:rsidR="001E19CC" w:rsidRPr="00602F08" w:rsidRDefault="001E19CC" w:rsidP="00B6212D">
      <w:pPr>
        <w:pStyle w:val="ListParagraph"/>
        <w:widowControl w:val="0"/>
        <w:tabs>
          <w:tab w:val="left" w:pos="2104"/>
          <w:tab w:val="left" w:pos="2105"/>
        </w:tabs>
        <w:autoSpaceDE w:val="0"/>
        <w:autoSpaceDN w:val="0"/>
        <w:ind w:left="2105"/>
        <w:contextualSpacing w:val="0"/>
        <w:jc w:val="both"/>
        <w:rPr>
          <w:rFonts w:ascii="Times New Roman" w:hAnsi="Times New Roman"/>
        </w:rPr>
      </w:pPr>
    </w:p>
    <w:p w14:paraId="45645555" w14:textId="27791CCA" w:rsidR="00CA20F7" w:rsidRPr="00602F08" w:rsidRDefault="00CA20F7" w:rsidP="00B6212D">
      <w:pPr>
        <w:pStyle w:val="ListParagraph"/>
        <w:widowControl w:val="0"/>
        <w:tabs>
          <w:tab w:val="left" w:pos="2104"/>
          <w:tab w:val="left" w:pos="2105"/>
        </w:tabs>
        <w:autoSpaceDE w:val="0"/>
        <w:autoSpaceDN w:val="0"/>
        <w:ind w:left="2105"/>
        <w:contextualSpacing w:val="0"/>
        <w:jc w:val="both"/>
        <w:rPr>
          <w:rFonts w:ascii="Times New Roman" w:hAnsi="Times New Roman"/>
        </w:rPr>
      </w:pPr>
      <w:r w:rsidRPr="00602F08">
        <w:rPr>
          <w:rFonts w:ascii="Times New Roman" w:hAnsi="Times New Roman"/>
        </w:rPr>
        <w:t>(5) The</w:t>
      </w:r>
      <w:r w:rsidRPr="00602F08">
        <w:rPr>
          <w:rFonts w:ascii="Times New Roman" w:hAnsi="Times New Roman"/>
          <w:spacing w:val="-13"/>
        </w:rPr>
        <w:t xml:space="preserve"> </w:t>
      </w:r>
      <w:r w:rsidRPr="00602F08">
        <w:rPr>
          <w:rFonts w:ascii="Times New Roman" w:hAnsi="Times New Roman"/>
        </w:rPr>
        <w:t>Secretary</w:t>
      </w:r>
      <w:r w:rsidRPr="00602F08">
        <w:rPr>
          <w:rFonts w:ascii="Times New Roman" w:hAnsi="Times New Roman"/>
          <w:spacing w:val="-11"/>
        </w:rPr>
        <w:t xml:space="preserve"> </w:t>
      </w:r>
      <w:r w:rsidRPr="00602F08">
        <w:rPr>
          <w:rFonts w:ascii="Times New Roman" w:hAnsi="Times New Roman"/>
        </w:rPr>
        <w:t>of</w:t>
      </w:r>
      <w:r w:rsidRPr="00602F08">
        <w:rPr>
          <w:rFonts w:ascii="Times New Roman" w:hAnsi="Times New Roman"/>
          <w:spacing w:val="-12"/>
        </w:rPr>
        <w:t xml:space="preserve"> </w:t>
      </w:r>
      <w:r w:rsidRPr="00602F08">
        <w:rPr>
          <w:rFonts w:ascii="Times New Roman" w:hAnsi="Times New Roman"/>
        </w:rPr>
        <w:t>State</w:t>
      </w:r>
      <w:r w:rsidRPr="00602F08">
        <w:rPr>
          <w:rFonts w:ascii="Times New Roman" w:hAnsi="Times New Roman"/>
          <w:spacing w:val="-13"/>
        </w:rPr>
        <w:t xml:space="preserve"> </w:t>
      </w:r>
      <w:r w:rsidRPr="00602F08">
        <w:rPr>
          <w:rFonts w:ascii="Times New Roman" w:hAnsi="Times New Roman"/>
        </w:rPr>
        <w:t>may</w:t>
      </w:r>
      <w:r w:rsidRPr="00602F08">
        <w:rPr>
          <w:rFonts w:ascii="Times New Roman" w:hAnsi="Times New Roman"/>
          <w:spacing w:val="-12"/>
        </w:rPr>
        <w:t xml:space="preserve"> </w:t>
      </w:r>
      <w:r w:rsidRPr="00602F08">
        <w:rPr>
          <w:rFonts w:ascii="Times New Roman" w:hAnsi="Times New Roman"/>
        </w:rPr>
        <w:t>make</w:t>
      </w:r>
      <w:r w:rsidRPr="00602F08">
        <w:rPr>
          <w:rFonts w:ascii="Times New Roman" w:hAnsi="Times New Roman"/>
          <w:spacing w:val="-12"/>
        </w:rPr>
        <w:t xml:space="preserve"> </w:t>
      </w:r>
      <w:r w:rsidRPr="00602F08">
        <w:rPr>
          <w:rFonts w:ascii="Times New Roman" w:hAnsi="Times New Roman"/>
        </w:rPr>
        <w:t>regulations</w:t>
      </w:r>
      <w:r w:rsidRPr="00602F08">
        <w:rPr>
          <w:rFonts w:ascii="Times New Roman" w:hAnsi="Times New Roman"/>
          <w:spacing w:val="-12"/>
        </w:rPr>
        <w:t xml:space="preserve"> </w:t>
      </w:r>
      <w:r w:rsidRPr="00602F08">
        <w:rPr>
          <w:rFonts w:ascii="Times New Roman" w:hAnsi="Times New Roman"/>
        </w:rPr>
        <w:t>specifying</w:t>
      </w:r>
      <w:r w:rsidRPr="00602F08">
        <w:rPr>
          <w:rFonts w:ascii="Times New Roman" w:hAnsi="Times New Roman"/>
          <w:spacing w:val="-11"/>
        </w:rPr>
        <w:t xml:space="preserve"> </w:t>
      </w:r>
      <w:r w:rsidRPr="00602F08">
        <w:rPr>
          <w:rFonts w:ascii="Times New Roman" w:hAnsi="Times New Roman"/>
        </w:rPr>
        <w:t>criteria</w:t>
      </w:r>
      <w:r w:rsidRPr="00602F08">
        <w:rPr>
          <w:rFonts w:ascii="Times New Roman" w:hAnsi="Times New Roman"/>
          <w:spacing w:val="-11"/>
        </w:rPr>
        <w:t xml:space="preserve"> </w:t>
      </w:r>
      <w:r w:rsidRPr="00602F08">
        <w:rPr>
          <w:rFonts w:ascii="Times New Roman" w:hAnsi="Times New Roman"/>
        </w:rPr>
        <w:t>to</w:t>
      </w:r>
      <w:r w:rsidRPr="00602F08">
        <w:rPr>
          <w:rFonts w:ascii="Times New Roman" w:hAnsi="Times New Roman"/>
          <w:spacing w:val="-11"/>
        </w:rPr>
        <w:t xml:space="preserve"> </w:t>
      </w:r>
      <w:r w:rsidRPr="00602F08">
        <w:rPr>
          <w:rFonts w:ascii="Times New Roman" w:hAnsi="Times New Roman"/>
        </w:rPr>
        <w:t>be</w:t>
      </w:r>
      <w:r w:rsidRPr="00602F08">
        <w:rPr>
          <w:rFonts w:ascii="Times New Roman" w:hAnsi="Times New Roman"/>
          <w:spacing w:val="-13"/>
        </w:rPr>
        <w:t xml:space="preserve"> </w:t>
      </w:r>
      <w:r w:rsidRPr="00602F08">
        <w:rPr>
          <w:rFonts w:ascii="Times New Roman" w:hAnsi="Times New Roman"/>
        </w:rPr>
        <w:t>used in</w:t>
      </w:r>
      <w:r w:rsidRPr="00602F08">
        <w:rPr>
          <w:rFonts w:ascii="Times New Roman" w:hAnsi="Times New Roman"/>
          <w:spacing w:val="-1"/>
        </w:rPr>
        <w:t xml:space="preserve"> </w:t>
      </w:r>
      <w:r w:rsidRPr="00602F08">
        <w:rPr>
          <w:rFonts w:ascii="Times New Roman" w:hAnsi="Times New Roman"/>
        </w:rPr>
        <w:t>determining–</w:t>
      </w:r>
    </w:p>
    <w:p w14:paraId="352A6D3B" w14:textId="77777777" w:rsidR="00CA20F7" w:rsidRPr="00602F08" w:rsidRDefault="00CA20F7" w:rsidP="00B6212D">
      <w:pPr>
        <w:pStyle w:val="ListParagraph"/>
        <w:widowControl w:val="0"/>
        <w:tabs>
          <w:tab w:val="left" w:pos="2672"/>
        </w:tabs>
        <w:autoSpaceDE w:val="0"/>
        <w:autoSpaceDN w:val="0"/>
        <w:ind w:left="2672"/>
        <w:contextualSpacing w:val="0"/>
        <w:jc w:val="both"/>
        <w:rPr>
          <w:rFonts w:ascii="Times New Roman" w:hAnsi="Times New Roman"/>
        </w:rPr>
      </w:pPr>
      <w:r w:rsidRPr="00602F08">
        <w:rPr>
          <w:rFonts w:ascii="Times New Roman" w:hAnsi="Times New Roman"/>
        </w:rPr>
        <w:t xml:space="preserve">(a) whether or not to provide accommodation, or arrange for </w:t>
      </w:r>
      <w:r w:rsidRPr="00602F08">
        <w:rPr>
          <w:rFonts w:ascii="Times New Roman" w:hAnsi="Times New Roman"/>
          <w:spacing w:val="-5"/>
        </w:rPr>
        <w:t xml:space="preserve">the </w:t>
      </w:r>
      <w:r w:rsidRPr="00602F08">
        <w:rPr>
          <w:rFonts w:ascii="Times New Roman" w:hAnsi="Times New Roman"/>
        </w:rPr>
        <w:t>provision of accommodation, for a person under this</w:t>
      </w:r>
      <w:r w:rsidRPr="00602F08">
        <w:rPr>
          <w:rFonts w:ascii="Times New Roman" w:hAnsi="Times New Roman"/>
          <w:spacing w:val="-8"/>
        </w:rPr>
        <w:t xml:space="preserve"> </w:t>
      </w:r>
      <w:r w:rsidRPr="00602F08">
        <w:rPr>
          <w:rFonts w:ascii="Times New Roman" w:hAnsi="Times New Roman"/>
        </w:rPr>
        <w:t>section;</w:t>
      </w:r>
    </w:p>
    <w:p w14:paraId="37AD319F" w14:textId="77777777" w:rsidR="00CA20F7" w:rsidRPr="00602F08" w:rsidRDefault="00CA20F7" w:rsidP="00B6212D">
      <w:pPr>
        <w:pStyle w:val="ListParagraph"/>
        <w:widowControl w:val="0"/>
        <w:tabs>
          <w:tab w:val="left" w:pos="2672"/>
        </w:tabs>
        <w:autoSpaceDE w:val="0"/>
        <w:autoSpaceDN w:val="0"/>
        <w:ind w:left="2672"/>
        <w:contextualSpacing w:val="0"/>
        <w:jc w:val="both"/>
        <w:rPr>
          <w:rFonts w:ascii="Times New Roman" w:hAnsi="Times New Roman"/>
        </w:rPr>
      </w:pPr>
      <w:r w:rsidRPr="00602F08">
        <w:rPr>
          <w:rFonts w:ascii="Times New Roman" w:hAnsi="Times New Roman"/>
        </w:rPr>
        <w:t xml:space="preserve">(b) whether or not to continue to provide accommodation, or arrange for the provision of accommodation, for a person under </w:t>
      </w:r>
      <w:r w:rsidRPr="00602F08">
        <w:rPr>
          <w:rFonts w:ascii="Times New Roman" w:hAnsi="Times New Roman"/>
          <w:spacing w:val="-3"/>
        </w:rPr>
        <w:t xml:space="preserve">this </w:t>
      </w:r>
      <w:r w:rsidRPr="00602F08">
        <w:rPr>
          <w:rFonts w:ascii="Times New Roman" w:hAnsi="Times New Roman"/>
        </w:rPr>
        <w:t>section.”</w:t>
      </w:r>
    </w:p>
    <w:p w14:paraId="11354C43" w14:textId="27A5AB8F" w:rsidR="00CA20F7" w:rsidRPr="00602F08" w:rsidRDefault="00CA20F7" w:rsidP="00B6212D">
      <w:pPr>
        <w:widowControl w:val="0"/>
        <w:tabs>
          <w:tab w:val="left" w:pos="688"/>
        </w:tabs>
        <w:autoSpaceDE w:val="0"/>
        <w:autoSpaceDN w:val="0"/>
        <w:jc w:val="both"/>
      </w:pPr>
    </w:p>
    <w:p w14:paraId="0366BC90" w14:textId="6E7CE263" w:rsidR="003938C3" w:rsidRPr="00602F08" w:rsidRDefault="003938C3" w:rsidP="00B6212D">
      <w:pPr>
        <w:pStyle w:val="ListParagraph"/>
        <w:widowControl w:val="0"/>
        <w:numPr>
          <w:ilvl w:val="0"/>
          <w:numId w:val="10"/>
        </w:numPr>
        <w:tabs>
          <w:tab w:val="left" w:pos="688"/>
        </w:tabs>
        <w:autoSpaceDE w:val="0"/>
        <w:autoSpaceDN w:val="0"/>
        <w:contextualSpacing w:val="0"/>
        <w:jc w:val="both"/>
        <w:rPr>
          <w:rFonts w:ascii="Times New Roman" w:hAnsi="Times New Roman"/>
        </w:rPr>
      </w:pPr>
      <w:r w:rsidRPr="00602F08">
        <w:rPr>
          <w:rFonts w:ascii="Times New Roman" w:hAnsi="Times New Roman"/>
        </w:rPr>
        <w:t>In the present proceedings the Secretary of State accepts that whilst the word “may” appears in section 4 “she was and is under an obligation to exercise her powers under section 4(2) and 4(5) to promote the policy objectives of those provisions”.</w:t>
      </w:r>
    </w:p>
    <w:p w14:paraId="55D51B99" w14:textId="77777777" w:rsidR="003938C3" w:rsidRPr="00602F08" w:rsidRDefault="003938C3" w:rsidP="00B6212D">
      <w:pPr>
        <w:pStyle w:val="ListParagraph"/>
        <w:widowControl w:val="0"/>
        <w:tabs>
          <w:tab w:val="left" w:pos="688"/>
        </w:tabs>
        <w:autoSpaceDE w:val="0"/>
        <w:autoSpaceDN w:val="0"/>
        <w:ind w:left="686"/>
        <w:contextualSpacing w:val="0"/>
        <w:jc w:val="both"/>
        <w:rPr>
          <w:rFonts w:ascii="Times New Roman" w:hAnsi="Times New Roman"/>
        </w:rPr>
      </w:pPr>
    </w:p>
    <w:p w14:paraId="44BB5372" w14:textId="175C9537" w:rsidR="00CA20F7" w:rsidRPr="00602F08" w:rsidRDefault="00CA20F7" w:rsidP="00B6212D">
      <w:pPr>
        <w:pStyle w:val="ListParagraph"/>
        <w:widowControl w:val="0"/>
        <w:numPr>
          <w:ilvl w:val="0"/>
          <w:numId w:val="10"/>
        </w:numPr>
        <w:tabs>
          <w:tab w:val="left" w:pos="688"/>
        </w:tabs>
        <w:autoSpaceDE w:val="0"/>
        <w:autoSpaceDN w:val="0"/>
        <w:ind w:left="686" w:hanging="567"/>
        <w:contextualSpacing w:val="0"/>
        <w:jc w:val="both"/>
        <w:rPr>
          <w:rFonts w:ascii="Times New Roman" w:hAnsi="Times New Roman"/>
        </w:rPr>
      </w:pPr>
      <w:r w:rsidRPr="00602F08">
        <w:rPr>
          <w:rFonts w:ascii="Times New Roman" w:hAnsi="Times New Roman"/>
        </w:rPr>
        <w:t>Regulations have been made under section 4</w:t>
      </w:r>
      <w:r w:rsidR="00D52886" w:rsidRPr="00602F08">
        <w:rPr>
          <w:rFonts w:ascii="Times New Roman" w:hAnsi="Times New Roman"/>
        </w:rPr>
        <w:t>(5)</w:t>
      </w:r>
      <w:r w:rsidRPr="00602F08">
        <w:rPr>
          <w:rFonts w:ascii="Times New Roman" w:hAnsi="Times New Roman"/>
        </w:rPr>
        <w:t>. These are the Immigration and Asylum (Provision of Accommodation</w:t>
      </w:r>
      <w:r w:rsidRPr="00602F08">
        <w:rPr>
          <w:rFonts w:ascii="Times New Roman" w:hAnsi="Times New Roman"/>
          <w:spacing w:val="-11"/>
        </w:rPr>
        <w:t xml:space="preserve"> </w:t>
      </w:r>
      <w:r w:rsidRPr="00602F08">
        <w:rPr>
          <w:rFonts w:ascii="Times New Roman" w:hAnsi="Times New Roman"/>
        </w:rPr>
        <w:t>to</w:t>
      </w:r>
      <w:r w:rsidRPr="00602F08">
        <w:rPr>
          <w:rFonts w:ascii="Times New Roman" w:hAnsi="Times New Roman"/>
          <w:spacing w:val="-10"/>
        </w:rPr>
        <w:t xml:space="preserve"> </w:t>
      </w:r>
      <w:r w:rsidRPr="00602F08">
        <w:rPr>
          <w:rFonts w:ascii="Times New Roman" w:hAnsi="Times New Roman"/>
        </w:rPr>
        <w:t>Failed</w:t>
      </w:r>
      <w:r w:rsidRPr="00602F08">
        <w:rPr>
          <w:rFonts w:ascii="Times New Roman" w:hAnsi="Times New Roman"/>
          <w:spacing w:val="-11"/>
        </w:rPr>
        <w:t xml:space="preserve"> </w:t>
      </w:r>
      <w:r w:rsidRPr="00602F08">
        <w:rPr>
          <w:rFonts w:ascii="Times New Roman" w:hAnsi="Times New Roman"/>
        </w:rPr>
        <w:t>Asylum-Seekers)</w:t>
      </w:r>
      <w:r w:rsidRPr="00602F08">
        <w:rPr>
          <w:rFonts w:ascii="Times New Roman" w:hAnsi="Times New Roman"/>
          <w:spacing w:val="-10"/>
        </w:rPr>
        <w:t xml:space="preserve"> </w:t>
      </w:r>
      <w:r w:rsidRPr="00602F08">
        <w:rPr>
          <w:rFonts w:ascii="Times New Roman" w:hAnsi="Times New Roman"/>
        </w:rPr>
        <w:t>Regulations</w:t>
      </w:r>
      <w:r w:rsidRPr="00602F08">
        <w:rPr>
          <w:rFonts w:ascii="Times New Roman" w:hAnsi="Times New Roman"/>
          <w:spacing w:val="-11"/>
        </w:rPr>
        <w:t xml:space="preserve"> </w:t>
      </w:r>
      <w:r w:rsidRPr="00602F08">
        <w:rPr>
          <w:rFonts w:ascii="Times New Roman" w:hAnsi="Times New Roman"/>
        </w:rPr>
        <w:t>2005</w:t>
      </w:r>
      <w:r w:rsidRPr="00602F08">
        <w:rPr>
          <w:rFonts w:ascii="Times New Roman" w:hAnsi="Times New Roman"/>
          <w:spacing w:val="-10"/>
        </w:rPr>
        <w:t xml:space="preserve"> </w:t>
      </w:r>
      <w:r w:rsidRPr="00602F08">
        <w:rPr>
          <w:rFonts w:ascii="Times New Roman" w:hAnsi="Times New Roman"/>
        </w:rPr>
        <w:t>(“the</w:t>
      </w:r>
      <w:r w:rsidRPr="00602F08">
        <w:rPr>
          <w:rFonts w:ascii="Times New Roman" w:hAnsi="Times New Roman"/>
          <w:spacing w:val="-10"/>
        </w:rPr>
        <w:t xml:space="preserve"> </w:t>
      </w:r>
      <w:r w:rsidRPr="00602F08">
        <w:rPr>
          <w:rFonts w:ascii="Times New Roman" w:hAnsi="Times New Roman"/>
        </w:rPr>
        <w:t>2005</w:t>
      </w:r>
      <w:r w:rsidRPr="00602F08">
        <w:rPr>
          <w:rFonts w:ascii="Times New Roman" w:hAnsi="Times New Roman"/>
          <w:spacing w:val="-11"/>
        </w:rPr>
        <w:t xml:space="preserve"> </w:t>
      </w:r>
      <w:r w:rsidRPr="00602F08">
        <w:rPr>
          <w:rFonts w:ascii="Times New Roman" w:hAnsi="Times New Roman"/>
        </w:rPr>
        <w:t>Regulations”). Regulation 3 of the 2005 Regulations</w:t>
      </w:r>
      <w:r w:rsidRPr="00602F08">
        <w:rPr>
          <w:rFonts w:ascii="Times New Roman" w:hAnsi="Times New Roman"/>
          <w:spacing w:val="-1"/>
        </w:rPr>
        <w:t xml:space="preserve"> </w:t>
      </w:r>
      <w:r w:rsidRPr="00602F08">
        <w:rPr>
          <w:rFonts w:ascii="Times New Roman" w:hAnsi="Times New Roman"/>
        </w:rPr>
        <w:t>concerns “Eligibility for and provision of accommodation to a failed asylum-seeker”. Paragraph (1) of that Regulation provides:</w:t>
      </w:r>
    </w:p>
    <w:p w14:paraId="617D2397" w14:textId="77777777" w:rsidR="00CA20F7" w:rsidRPr="00602F08" w:rsidRDefault="00CA20F7" w:rsidP="00B6212D">
      <w:pPr>
        <w:widowControl w:val="0"/>
        <w:tabs>
          <w:tab w:val="left" w:pos="688"/>
        </w:tabs>
        <w:autoSpaceDE w:val="0"/>
        <w:autoSpaceDN w:val="0"/>
        <w:jc w:val="both"/>
      </w:pPr>
    </w:p>
    <w:p w14:paraId="18CB3645" w14:textId="77777777" w:rsidR="00CA20F7" w:rsidRPr="00602F08" w:rsidRDefault="00CA20F7" w:rsidP="00B6212D">
      <w:pPr>
        <w:pStyle w:val="ListParagraph"/>
        <w:widowControl w:val="0"/>
        <w:tabs>
          <w:tab w:val="left" w:pos="688"/>
        </w:tabs>
        <w:autoSpaceDE w:val="0"/>
        <w:autoSpaceDN w:val="0"/>
        <w:ind w:left="1701" w:hanging="1015"/>
        <w:contextualSpacing w:val="0"/>
        <w:jc w:val="both"/>
        <w:rPr>
          <w:rFonts w:ascii="Times New Roman" w:hAnsi="Times New Roman"/>
        </w:rPr>
      </w:pPr>
      <w:r w:rsidRPr="00602F08">
        <w:rPr>
          <w:rFonts w:ascii="Times New Roman" w:hAnsi="Times New Roman"/>
        </w:rPr>
        <w:lastRenderedPageBreak/>
        <w:tab/>
      </w:r>
      <w:r w:rsidRPr="00602F08">
        <w:rPr>
          <w:rFonts w:ascii="Times New Roman" w:hAnsi="Times New Roman"/>
        </w:rPr>
        <w:tab/>
        <w:t>“(1) Subject to regulations 4 and 6, the criteria to be used in determining the matters referred to in paragraphs (a) and (b) of section 4(5) of the 1999 Act</w:t>
      </w:r>
      <w:r w:rsidRPr="00602F08">
        <w:rPr>
          <w:rFonts w:ascii="Times New Roman" w:hAnsi="Times New Roman"/>
          <w:spacing w:val="-12"/>
        </w:rPr>
        <w:t xml:space="preserve"> </w:t>
      </w:r>
      <w:r w:rsidRPr="00602F08">
        <w:rPr>
          <w:rFonts w:ascii="Times New Roman" w:hAnsi="Times New Roman"/>
        </w:rPr>
        <w:t>in</w:t>
      </w:r>
      <w:r w:rsidRPr="00602F08">
        <w:rPr>
          <w:rFonts w:ascii="Times New Roman" w:hAnsi="Times New Roman"/>
          <w:spacing w:val="-11"/>
        </w:rPr>
        <w:t xml:space="preserve"> </w:t>
      </w:r>
      <w:r w:rsidRPr="00602F08">
        <w:rPr>
          <w:rFonts w:ascii="Times New Roman" w:hAnsi="Times New Roman"/>
        </w:rPr>
        <w:t>respect</w:t>
      </w:r>
      <w:r w:rsidRPr="00602F08">
        <w:rPr>
          <w:rFonts w:ascii="Times New Roman" w:hAnsi="Times New Roman"/>
          <w:spacing w:val="-11"/>
        </w:rPr>
        <w:t xml:space="preserve"> </w:t>
      </w:r>
      <w:r w:rsidRPr="00602F08">
        <w:rPr>
          <w:rFonts w:ascii="Times New Roman" w:hAnsi="Times New Roman"/>
        </w:rPr>
        <w:t>of</w:t>
      </w:r>
      <w:r w:rsidRPr="00602F08">
        <w:rPr>
          <w:rFonts w:ascii="Times New Roman" w:hAnsi="Times New Roman"/>
          <w:spacing w:val="-11"/>
        </w:rPr>
        <w:t xml:space="preserve"> </w:t>
      </w:r>
      <w:r w:rsidRPr="00602F08">
        <w:rPr>
          <w:rFonts w:ascii="Times New Roman" w:hAnsi="Times New Roman"/>
        </w:rPr>
        <w:t>a</w:t>
      </w:r>
      <w:r w:rsidRPr="00602F08">
        <w:rPr>
          <w:rFonts w:ascii="Times New Roman" w:hAnsi="Times New Roman"/>
          <w:spacing w:val="-11"/>
        </w:rPr>
        <w:t xml:space="preserve"> </w:t>
      </w:r>
      <w:r w:rsidRPr="00602F08">
        <w:rPr>
          <w:rFonts w:ascii="Times New Roman" w:hAnsi="Times New Roman"/>
        </w:rPr>
        <w:t>person</w:t>
      </w:r>
      <w:r w:rsidRPr="00602F08">
        <w:rPr>
          <w:rFonts w:ascii="Times New Roman" w:hAnsi="Times New Roman"/>
          <w:spacing w:val="-11"/>
        </w:rPr>
        <w:t xml:space="preserve"> </w:t>
      </w:r>
      <w:r w:rsidRPr="00602F08">
        <w:rPr>
          <w:rFonts w:ascii="Times New Roman" w:hAnsi="Times New Roman"/>
        </w:rPr>
        <w:t>falling</w:t>
      </w:r>
      <w:r w:rsidRPr="00602F08">
        <w:rPr>
          <w:rFonts w:ascii="Times New Roman" w:hAnsi="Times New Roman"/>
          <w:spacing w:val="-11"/>
        </w:rPr>
        <w:t xml:space="preserve"> </w:t>
      </w:r>
      <w:r w:rsidRPr="00602F08">
        <w:rPr>
          <w:rFonts w:ascii="Times New Roman" w:hAnsi="Times New Roman"/>
        </w:rPr>
        <w:t>within</w:t>
      </w:r>
      <w:r w:rsidRPr="00602F08">
        <w:rPr>
          <w:rFonts w:ascii="Times New Roman" w:hAnsi="Times New Roman"/>
          <w:spacing w:val="-11"/>
        </w:rPr>
        <w:t xml:space="preserve"> </w:t>
      </w:r>
      <w:r w:rsidRPr="00602F08">
        <w:rPr>
          <w:rFonts w:ascii="Times New Roman" w:hAnsi="Times New Roman"/>
        </w:rPr>
        <w:t>section</w:t>
      </w:r>
      <w:r w:rsidRPr="00602F08">
        <w:rPr>
          <w:rFonts w:ascii="Times New Roman" w:hAnsi="Times New Roman"/>
          <w:spacing w:val="-11"/>
        </w:rPr>
        <w:t xml:space="preserve"> </w:t>
      </w:r>
      <w:r w:rsidRPr="00602F08">
        <w:rPr>
          <w:rFonts w:ascii="Times New Roman" w:hAnsi="Times New Roman"/>
        </w:rPr>
        <w:t>4(2)</w:t>
      </w:r>
      <w:r w:rsidRPr="00602F08">
        <w:rPr>
          <w:rFonts w:ascii="Times New Roman" w:hAnsi="Times New Roman"/>
          <w:spacing w:val="-11"/>
        </w:rPr>
        <w:t xml:space="preserve"> </w:t>
      </w:r>
      <w:r w:rsidRPr="00602F08">
        <w:rPr>
          <w:rFonts w:ascii="Times New Roman" w:hAnsi="Times New Roman"/>
        </w:rPr>
        <w:t>…</w:t>
      </w:r>
      <w:r w:rsidRPr="00602F08">
        <w:rPr>
          <w:rFonts w:ascii="Times New Roman" w:hAnsi="Times New Roman"/>
          <w:spacing w:val="-11"/>
        </w:rPr>
        <w:t xml:space="preserve"> </w:t>
      </w:r>
      <w:r w:rsidRPr="00602F08">
        <w:rPr>
          <w:rFonts w:ascii="Times New Roman" w:hAnsi="Times New Roman"/>
        </w:rPr>
        <w:t>of</w:t>
      </w:r>
      <w:r w:rsidRPr="00602F08">
        <w:rPr>
          <w:rFonts w:ascii="Times New Roman" w:hAnsi="Times New Roman"/>
          <w:spacing w:val="-11"/>
        </w:rPr>
        <w:t xml:space="preserve"> </w:t>
      </w:r>
      <w:r w:rsidRPr="00602F08">
        <w:rPr>
          <w:rFonts w:ascii="Times New Roman" w:hAnsi="Times New Roman"/>
        </w:rPr>
        <w:t>that</w:t>
      </w:r>
      <w:r w:rsidRPr="00602F08">
        <w:rPr>
          <w:rFonts w:ascii="Times New Roman" w:hAnsi="Times New Roman"/>
          <w:spacing w:val="-11"/>
        </w:rPr>
        <w:t xml:space="preserve"> </w:t>
      </w:r>
      <w:r w:rsidRPr="00602F08">
        <w:rPr>
          <w:rFonts w:ascii="Times New Roman" w:hAnsi="Times New Roman"/>
        </w:rPr>
        <w:t>Act</w:t>
      </w:r>
      <w:r w:rsidRPr="00602F08">
        <w:rPr>
          <w:rFonts w:ascii="Times New Roman" w:hAnsi="Times New Roman"/>
          <w:spacing w:val="-11"/>
        </w:rPr>
        <w:t xml:space="preserve"> </w:t>
      </w:r>
      <w:r w:rsidRPr="00602F08">
        <w:rPr>
          <w:rFonts w:ascii="Times New Roman" w:hAnsi="Times New Roman"/>
        </w:rPr>
        <w:t>are–</w:t>
      </w:r>
    </w:p>
    <w:p w14:paraId="46EDA372" w14:textId="02E3965C" w:rsidR="00CA20F7" w:rsidRPr="00602F08" w:rsidRDefault="00CA20F7" w:rsidP="00B6212D">
      <w:pPr>
        <w:pStyle w:val="ListParagraph"/>
        <w:widowControl w:val="0"/>
        <w:tabs>
          <w:tab w:val="left" w:pos="688"/>
        </w:tabs>
        <w:autoSpaceDE w:val="0"/>
        <w:autoSpaceDN w:val="0"/>
        <w:ind w:left="1134" w:hanging="448"/>
        <w:contextualSpacing w:val="0"/>
        <w:jc w:val="both"/>
        <w:rPr>
          <w:rFonts w:ascii="Times New Roman" w:hAnsi="Times New Roman"/>
        </w:rPr>
      </w:pPr>
      <w:r w:rsidRPr="00602F08">
        <w:rPr>
          <w:rFonts w:ascii="Times New Roman" w:hAnsi="Times New Roman"/>
        </w:rPr>
        <w:tab/>
      </w:r>
      <w:r w:rsidRPr="00602F08">
        <w:rPr>
          <w:rFonts w:ascii="Times New Roman" w:hAnsi="Times New Roman"/>
        </w:rPr>
        <w:tab/>
      </w:r>
      <w:r w:rsidRPr="00602F08">
        <w:rPr>
          <w:rFonts w:ascii="Times New Roman" w:hAnsi="Times New Roman"/>
        </w:rPr>
        <w:tab/>
      </w:r>
      <w:r w:rsidR="00B63202" w:rsidRPr="00602F08">
        <w:rPr>
          <w:rFonts w:ascii="Times New Roman" w:hAnsi="Times New Roman"/>
        </w:rPr>
        <w:tab/>
      </w:r>
      <w:r w:rsidRPr="00602F08">
        <w:rPr>
          <w:rFonts w:ascii="Times New Roman" w:hAnsi="Times New Roman"/>
        </w:rPr>
        <w:t>(a)</w:t>
      </w:r>
      <w:r w:rsidR="00B63202" w:rsidRPr="00602F08">
        <w:rPr>
          <w:rFonts w:ascii="Times New Roman" w:hAnsi="Times New Roman"/>
        </w:rPr>
        <w:tab/>
      </w:r>
      <w:r w:rsidRPr="00602F08">
        <w:rPr>
          <w:rFonts w:ascii="Times New Roman" w:hAnsi="Times New Roman"/>
        </w:rPr>
        <w:t>that he appears to the Secretary of State to be destitute,</w:t>
      </w:r>
      <w:r w:rsidRPr="00602F08">
        <w:rPr>
          <w:rFonts w:ascii="Times New Roman" w:hAnsi="Times New Roman"/>
          <w:spacing w:val="-2"/>
        </w:rPr>
        <w:t xml:space="preserve"> </w:t>
      </w:r>
      <w:r w:rsidRPr="00602F08">
        <w:rPr>
          <w:rFonts w:ascii="Times New Roman" w:hAnsi="Times New Roman"/>
        </w:rPr>
        <w:t>and</w:t>
      </w:r>
    </w:p>
    <w:p w14:paraId="25A436F7" w14:textId="7CA28C0C" w:rsidR="00CA20F7" w:rsidRPr="00602F08" w:rsidRDefault="00CA20F7" w:rsidP="00B6212D">
      <w:pPr>
        <w:pStyle w:val="ListParagraph"/>
        <w:widowControl w:val="0"/>
        <w:tabs>
          <w:tab w:val="left" w:pos="688"/>
        </w:tabs>
        <w:autoSpaceDE w:val="0"/>
        <w:autoSpaceDN w:val="0"/>
        <w:ind w:left="1701" w:hanging="1015"/>
        <w:contextualSpacing w:val="0"/>
        <w:jc w:val="both"/>
        <w:rPr>
          <w:rFonts w:ascii="Times New Roman" w:hAnsi="Times New Roman"/>
        </w:rPr>
      </w:pPr>
      <w:r w:rsidRPr="00602F08">
        <w:rPr>
          <w:rFonts w:ascii="Times New Roman" w:hAnsi="Times New Roman"/>
        </w:rPr>
        <w:tab/>
      </w:r>
      <w:r w:rsidRPr="00602F08">
        <w:rPr>
          <w:rFonts w:ascii="Times New Roman" w:hAnsi="Times New Roman"/>
        </w:rPr>
        <w:tab/>
      </w:r>
      <w:r w:rsidR="00B63202" w:rsidRPr="00602F08">
        <w:rPr>
          <w:rFonts w:ascii="Times New Roman" w:hAnsi="Times New Roman"/>
        </w:rPr>
        <w:tab/>
      </w:r>
      <w:r w:rsidRPr="00602F08">
        <w:rPr>
          <w:rFonts w:ascii="Times New Roman" w:hAnsi="Times New Roman"/>
        </w:rPr>
        <w:t xml:space="preserve">(b) </w:t>
      </w:r>
      <w:r w:rsidRPr="00602F08">
        <w:rPr>
          <w:rFonts w:ascii="Times New Roman" w:hAnsi="Times New Roman"/>
        </w:rPr>
        <w:tab/>
        <w:t>that one or more of the conditions set out in paragraph (2) are satisfied in relation to</w:t>
      </w:r>
      <w:r w:rsidRPr="00602F08">
        <w:rPr>
          <w:rFonts w:ascii="Times New Roman" w:hAnsi="Times New Roman"/>
          <w:spacing w:val="-2"/>
        </w:rPr>
        <w:t xml:space="preserve"> </w:t>
      </w:r>
      <w:r w:rsidRPr="00602F08">
        <w:rPr>
          <w:rFonts w:ascii="Times New Roman" w:hAnsi="Times New Roman"/>
        </w:rPr>
        <w:t>him.”</w:t>
      </w:r>
    </w:p>
    <w:p w14:paraId="27DD6072" w14:textId="77777777" w:rsidR="00CA20F7" w:rsidRPr="00602F08" w:rsidRDefault="00CA20F7" w:rsidP="00B6212D">
      <w:pPr>
        <w:pStyle w:val="ListParagraph"/>
        <w:widowControl w:val="0"/>
        <w:tabs>
          <w:tab w:val="left" w:pos="2673"/>
        </w:tabs>
        <w:autoSpaceDE w:val="0"/>
        <w:autoSpaceDN w:val="0"/>
        <w:contextualSpacing w:val="0"/>
        <w:jc w:val="both"/>
        <w:rPr>
          <w:rFonts w:ascii="Times New Roman" w:hAnsi="Times New Roman"/>
        </w:rPr>
      </w:pPr>
    </w:p>
    <w:p w14:paraId="72C9D086" w14:textId="77777777" w:rsidR="00CA20F7" w:rsidRPr="00602F08" w:rsidRDefault="00CA20F7" w:rsidP="00B6212D">
      <w:pPr>
        <w:pStyle w:val="ListParagraph"/>
        <w:widowControl w:val="0"/>
        <w:numPr>
          <w:ilvl w:val="0"/>
          <w:numId w:val="10"/>
        </w:numPr>
        <w:tabs>
          <w:tab w:val="left" w:pos="688"/>
        </w:tabs>
        <w:autoSpaceDE w:val="0"/>
        <w:autoSpaceDN w:val="0"/>
        <w:ind w:left="686" w:hanging="567"/>
        <w:contextualSpacing w:val="0"/>
        <w:jc w:val="both"/>
        <w:rPr>
          <w:rFonts w:ascii="Times New Roman" w:hAnsi="Times New Roman"/>
        </w:rPr>
      </w:pPr>
      <w:r w:rsidRPr="00602F08">
        <w:rPr>
          <w:rFonts w:ascii="Times New Roman" w:hAnsi="Times New Roman"/>
        </w:rPr>
        <w:t>Regulation 2 of the 2005 Regulations provides that “destitute” is to be construed in accordance with section 95(3) of the 1999 Act. That is, a person is destitute if:</w:t>
      </w:r>
    </w:p>
    <w:p w14:paraId="4351A016" w14:textId="77777777" w:rsidR="00CA20F7" w:rsidRPr="00602F08" w:rsidRDefault="00CA20F7" w:rsidP="00B6212D">
      <w:pPr>
        <w:pStyle w:val="ListParagraph"/>
        <w:widowControl w:val="0"/>
        <w:tabs>
          <w:tab w:val="left" w:pos="688"/>
        </w:tabs>
        <w:autoSpaceDE w:val="0"/>
        <w:autoSpaceDN w:val="0"/>
        <w:ind w:left="686"/>
        <w:contextualSpacing w:val="0"/>
        <w:jc w:val="both"/>
        <w:rPr>
          <w:rFonts w:ascii="Times New Roman" w:hAnsi="Times New Roman"/>
        </w:rPr>
      </w:pPr>
    </w:p>
    <w:p w14:paraId="2D774C20" w14:textId="77777777" w:rsidR="00CA20F7" w:rsidRPr="00602F08" w:rsidRDefault="00CA20F7" w:rsidP="00B6212D">
      <w:pPr>
        <w:pStyle w:val="ListParagraph"/>
        <w:widowControl w:val="0"/>
        <w:tabs>
          <w:tab w:val="left" w:pos="688"/>
        </w:tabs>
        <w:autoSpaceDE w:val="0"/>
        <w:autoSpaceDN w:val="0"/>
        <w:ind w:left="1701" w:hanging="1015"/>
        <w:contextualSpacing w:val="0"/>
        <w:jc w:val="both"/>
        <w:rPr>
          <w:rFonts w:ascii="Times New Roman" w:hAnsi="Times New Roman"/>
        </w:rPr>
      </w:pPr>
      <w:r w:rsidRPr="00602F08">
        <w:rPr>
          <w:rFonts w:ascii="Times New Roman" w:hAnsi="Times New Roman"/>
        </w:rPr>
        <w:tab/>
        <w:t xml:space="preserve"> </w:t>
      </w:r>
      <w:r w:rsidRPr="00602F08">
        <w:rPr>
          <w:rFonts w:ascii="Times New Roman" w:hAnsi="Times New Roman"/>
        </w:rPr>
        <w:tab/>
        <w:t>“… he does not</w:t>
      </w:r>
      <w:r w:rsidRPr="00602F08">
        <w:rPr>
          <w:rFonts w:ascii="Times New Roman" w:hAnsi="Times New Roman"/>
          <w:spacing w:val="-6"/>
        </w:rPr>
        <w:t xml:space="preserve"> </w:t>
      </w:r>
      <w:r w:rsidRPr="00602F08">
        <w:rPr>
          <w:rFonts w:ascii="Times New Roman" w:hAnsi="Times New Roman"/>
        </w:rPr>
        <w:t>have</w:t>
      </w:r>
      <w:r w:rsidRPr="00602F08">
        <w:rPr>
          <w:rFonts w:ascii="Times New Roman" w:hAnsi="Times New Roman"/>
          <w:spacing w:val="-4"/>
        </w:rPr>
        <w:t xml:space="preserve"> </w:t>
      </w:r>
      <w:r w:rsidRPr="00602F08">
        <w:rPr>
          <w:rFonts w:ascii="Times New Roman" w:hAnsi="Times New Roman"/>
        </w:rPr>
        <w:t>adequate</w:t>
      </w:r>
      <w:r w:rsidRPr="00602F08">
        <w:rPr>
          <w:rFonts w:ascii="Times New Roman" w:hAnsi="Times New Roman"/>
          <w:spacing w:val="-5"/>
        </w:rPr>
        <w:t xml:space="preserve"> </w:t>
      </w:r>
      <w:r w:rsidRPr="00602F08">
        <w:rPr>
          <w:rFonts w:ascii="Times New Roman" w:hAnsi="Times New Roman"/>
        </w:rPr>
        <w:t>accommodation</w:t>
      </w:r>
      <w:r w:rsidRPr="00602F08">
        <w:rPr>
          <w:rFonts w:ascii="Times New Roman" w:hAnsi="Times New Roman"/>
          <w:spacing w:val="-5"/>
        </w:rPr>
        <w:t xml:space="preserve"> </w:t>
      </w:r>
      <w:r w:rsidRPr="00602F08">
        <w:rPr>
          <w:rFonts w:ascii="Times New Roman" w:hAnsi="Times New Roman"/>
        </w:rPr>
        <w:t>or</w:t>
      </w:r>
      <w:r w:rsidRPr="00602F08">
        <w:rPr>
          <w:rFonts w:ascii="Times New Roman" w:hAnsi="Times New Roman"/>
          <w:spacing w:val="-5"/>
        </w:rPr>
        <w:t xml:space="preserve"> </w:t>
      </w:r>
      <w:r w:rsidRPr="00602F08">
        <w:rPr>
          <w:rFonts w:ascii="Times New Roman" w:hAnsi="Times New Roman"/>
        </w:rPr>
        <w:t>any</w:t>
      </w:r>
      <w:r w:rsidRPr="00602F08">
        <w:rPr>
          <w:rFonts w:ascii="Times New Roman" w:hAnsi="Times New Roman"/>
          <w:spacing w:val="-6"/>
        </w:rPr>
        <w:t xml:space="preserve"> </w:t>
      </w:r>
      <w:r w:rsidRPr="00602F08">
        <w:rPr>
          <w:rFonts w:ascii="Times New Roman" w:hAnsi="Times New Roman"/>
        </w:rPr>
        <w:t>means</w:t>
      </w:r>
      <w:r w:rsidRPr="00602F08">
        <w:rPr>
          <w:rFonts w:ascii="Times New Roman" w:hAnsi="Times New Roman"/>
          <w:spacing w:val="-4"/>
        </w:rPr>
        <w:t xml:space="preserve"> </w:t>
      </w:r>
      <w:r w:rsidRPr="00602F08">
        <w:rPr>
          <w:rFonts w:ascii="Times New Roman" w:hAnsi="Times New Roman"/>
        </w:rPr>
        <w:t>of</w:t>
      </w:r>
      <w:r w:rsidRPr="00602F08">
        <w:rPr>
          <w:rFonts w:ascii="Times New Roman" w:hAnsi="Times New Roman"/>
          <w:spacing w:val="-5"/>
        </w:rPr>
        <w:t xml:space="preserve"> </w:t>
      </w:r>
      <w:r w:rsidRPr="00602F08">
        <w:rPr>
          <w:rFonts w:ascii="Times New Roman" w:hAnsi="Times New Roman"/>
        </w:rPr>
        <w:t>obtaining</w:t>
      </w:r>
      <w:r w:rsidRPr="00602F08">
        <w:rPr>
          <w:rFonts w:ascii="Times New Roman" w:hAnsi="Times New Roman"/>
          <w:spacing w:val="-6"/>
        </w:rPr>
        <w:t xml:space="preserve"> </w:t>
      </w:r>
      <w:r w:rsidRPr="00602F08">
        <w:rPr>
          <w:rFonts w:ascii="Times New Roman" w:hAnsi="Times New Roman"/>
        </w:rPr>
        <w:t>it</w:t>
      </w:r>
      <w:r w:rsidRPr="00602F08">
        <w:rPr>
          <w:rFonts w:ascii="Times New Roman" w:hAnsi="Times New Roman"/>
          <w:spacing w:val="-4"/>
        </w:rPr>
        <w:t xml:space="preserve"> </w:t>
      </w:r>
      <w:r w:rsidRPr="00602F08">
        <w:rPr>
          <w:rFonts w:ascii="Times New Roman" w:hAnsi="Times New Roman"/>
        </w:rPr>
        <w:t>(whether</w:t>
      </w:r>
      <w:r w:rsidRPr="00602F08">
        <w:rPr>
          <w:rFonts w:ascii="Times New Roman" w:hAnsi="Times New Roman"/>
          <w:spacing w:val="-5"/>
        </w:rPr>
        <w:t xml:space="preserve"> </w:t>
      </w:r>
      <w:r w:rsidRPr="00602F08">
        <w:rPr>
          <w:rFonts w:ascii="Times New Roman" w:hAnsi="Times New Roman"/>
        </w:rPr>
        <w:t>or</w:t>
      </w:r>
      <w:r w:rsidRPr="00602F08">
        <w:rPr>
          <w:rFonts w:ascii="Times New Roman" w:hAnsi="Times New Roman"/>
          <w:spacing w:val="-6"/>
        </w:rPr>
        <w:t xml:space="preserve"> </w:t>
      </w:r>
      <w:r w:rsidRPr="00602F08">
        <w:rPr>
          <w:rFonts w:ascii="Times New Roman" w:hAnsi="Times New Roman"/>
        </w:rPr>
        <w:t>not</w:t>
      </w:r>
      <w:r w:rsidRPr="00602F08">
        <w:rPr>
          <w:rFonts w:ascii="Times New Roman" w:hAnsi="Times New Roman"/>
          <w:spacing w:val="-5"/>
        </w:rPr>
        <w:t xml:space="preserve"> </w:t>
      </w:r>
      <w:r w:rsidRPr="00602F08">
        <w:rPr>
          <w:rFonts w:ascii="Times New Roman" w:hAnsi="Times New Roman"/>
        </w:rPr>
        <w:t>his</w:t>
      </w:r>
      <w:r w:rsidRPr="00602F08">
        <w:rPr>
          <w:rFonts w:ascii="Times New Roman" w:hAnsi="Times New Roman"/>
          <w:spacing w:val="-5"/>
        </w:rPr>
        <w:t xml:space="preserve"> </w:t>
      </w:r>
      <w:r w:rsidRPr="00602F08">
        <w:rPr>
          <w:rFonts w:ascii="Times New Roman" w:hAnsi="Times New Roman"/>
        </w:rPr>
        <w:t>other essential living needs are met) or (b) he has adequate accommodation or the means of obtaining it, but cannot meet other essential</w:t>
      </w:r>
      <w:r w:rsidRPr="00602F08">
        <w:rPr>
          <w:rFonts w:ascii="Times New Roman" w:hAnsi="Times New Roman"/>
          <w:spacing w:val="-2"/>
        </w:rPr>
        <w:t xml:space="preserve"> </w:t>
      </w:r>
      <w:r w:rsidRPr="00602F08">
        <w:rPr>
          <w:rFonts w:ascii="Times New Roman" w:hAnsi="Times New Roman"/>
        </w:rPr>
        <w:t>needs”.</w:t>
      </w:r>
    </w:p>
    <w:p w14:paraId="07A951CC" w14:textId="77777777" w:rsidR="00CA20F7" w:rsidRPr="00602F08" w:rsidRDefault="00CA20F7" w:rsidP="00B6212D">
      <w:pPr>
        <w:pStyle w:val="BodyText"/>
        <w:spacing w:before="11"/>
        <w:jc w:val="both"/>
      </w:pPr>
    </w:p>
    <w:p w14:paraId="05B3AF98" w14:textId="5AF06065" w:rsidR="00CA20F7" w:rsidRPr="00602F08" w:rsidRDefault="00296EF3" w:rsidP="00B6212D">
      <w:pPr>
        <w:pStyle w:val="ListParagraph"/>
        <w:widowControl w:val="0"/>
        <w:numPr>
          <w:ilvl w:val="0"/>
          <w:numId w:val="10"/>
        </w:numPr>
        <w:tabs>
          <w:tab w:val="left" w:pos="688"/>
        </w:tabs>
        <w:autoSpaceDE w:val="0"/>
        <w:autoSpaceDN w:val="0"/>
        <w:contextualSpacing w:val="0"/>
        <w:jc w:val="both"/>
        <w:rPr>
          <w:rFonts w:ascii="Times New Roman" w:hAnsi="Times New Roman"/>
        </w:rPr>
      </w:pPr>
      <w:r w:rsidRPr="00602F08">
        <w:rPr>
          <w:rFonts w:ascii="Times New Roman" w:hAnsi="Times New Roman"/>
        </w:rPr>
        <w:t xml:space="preserve">In the </w:t>
      </w:r>
      <w:r w:rsidR="008835CE" w:rsidRPr="00602F08">
        <w:rPr>
          <w:rFonts w:ascii="Times New Roman" w:hAnsi="Times New Roman"/>
        </w:rPr>
        <w:t>present proceedings, t</w:t>
      </w:r>
      <w:r w:rsidR="00CA20F7" w:rsidRPr="00602F08">
        <w:rPr>
          <w:rFonts w:ascii="Times New Roman" w:hAnsi="Times New Roman"/>
        </w:rPr>
        <w:t>he relevant “</w:t>
      </w:r>
      <w:r w:rsidR="00DB2B33" w:rsidRPr="00602F08">
        <w:rPr>
          <w:rFonts w:ascii="Times New Roman" w:hAnsi="Times New Roman"/>
        </w:rPr>
        <w:t>[</w:t>
      </w:r>
      <w:r w:rsidR="00CA20F7" w:rsidRPr="00602F08">
        <w:rPr>
          <w:rFonts w:ascii="Times New Roman" w:hAnsi="Times New Roman"/>
        </w:rPr>
        <w:t xml:space="preserve">condition] set out in paragraph (2)” of regulation 3 </w:t>
      </w:r>
      <w:r w:rsidR="00DB3B38" w:rsidRPr="00602F08">
        <w:rPr>
          <w:rFonts w:ascii="Times New Roman" w:hAnsi="Times New Roman"/>
        </w:rPr>
        <w:t xml:space="preserve">of the 2005 Regulations </w:t>
      </w:r>
      <w:r w:rsidR="00CA20F7" w:rsidRPr="00602F08">
        <w:rPr>
          <w:rFonts w:ascii="Times New Roman" w:hAnsi="Times New Roman"/>
        </w:rPr>
        <w:t>is:</w:t>
      </w:r>
    </w:p>
    <w:p w14:paraId="5963FB56" w14:textId="77777777" w:rsidR="00CA20F7" w:rsidRPr="00602F08" w:rsidRDefault="00CA20F7" w:rsidP="00B6212D">
      <w:pPr>
        <w:pStyle w:val="ListParagraph"/>
        <w:widowControl w:val="0"/>
        <w:tabs>
          <w:tab w:val="left" w:pos="688"/>
        </w:tabs>
        <w:autoSpaceDE w:val="0"/>
        <w:autoSpaceDN w:val="0"/>
        <w:ind w:left="686"/>
        <w:contextualSpacing w:val="0"/>
        <w:jc w:val="both"/>
        <w:rPr>
          <w:rFonts w:ascii="Times New Roman" w:hAnsi="Times New Roman"/>
        </w:rPr>
      </w:pPr>
    </w:p>
    <w:p w14:paraId="6BADF705" w14:textId="4BF1B122" w:rsidR="00CA20F7" w:rsidRPr="00602F08" w:rsidRDefault="00CA20F7" w:rsidP="00B6212D">
      <w:pPr>
        <w:pStyle w:val="ListParagraph"/>
        <w:widowControl w:val="0"/>
        <w:tabs>
          <w:tab w:val="left" w:pos="688"/>
        </w:tabs>
        <w:autoSpaceDE w:val="0"/>
        <w:autoSpaceDN w:val="0"/>
        <w:ind w:left="1701" w:hanging="1015"/>
        <w:contextualSpacing w:val="0"/>
        <w:jc w:val="both"/>
        <w:rPr>
          <w:rFonts w:ascii="Times New Roman" w:hAnsi="Times New Roman"/>
        </w:rPr>
      </w:pPr>
      <w:r w:rsidRPr="00602F08">
        <w:rPr>
          <w:rFonts w:ascii="Times New Roman" w:hAnsi="Times New Roman"/>
        </w:rPr>
        <w:tab/>
      </w:r>
      <w:r w:rsidRPr="00602F08">
        <w:rPr>
          <w:rFonts w:ascii="Times New Roman" w:hAnsi="Times New Roman"/>
        </w:rPr>
        <w:tab/>
        <w:t>“(e)</w:t>
      </w:r>
      <w:r w:rsidRPr="00602F08">
        <w:rPr>
          <w:rFonts w:ascii="Times New Roman" w:hAnsi="Times New Roman"/>
        </w:rPr>
        <w:tab/>
        <w:t>the provision of accommodation is necessary for the purpose of avoiding a breach of a person's Convention rights, within the meaning of the Human Rights Act 1998.”</w:t>
      </w:r>
    </w:p>
    <w:p w14:paraId="6AE2E8E4" w14:textId="77777777" w:rsidR="00A779AA" w:rsidRPr="00602F08" w:rsidRDefault="00A779AA" w:rsidP="00B6212D">
      <w:pPr>
        <w:widowControl w:val="0"/>
        <w:tabs>
          <w:tab w:val="left" w:pos="688"/>
        </w:tabs>
        <w:autoSpaceDE w:val="0"/>
        <w:autoSpaceDN w:val="0"/>
        <w:jc w:val="both"/>
      </w:pPr>
    </w:p>
    <w:p w14:paraId="43D7FD9D" w14:textId="701E25D2" w:rsidR="00CA20F7" w:rsidRPr="00602F08" w:rsidRDefault="00C36785" w:rsidP="00B6212D">
      <w:pPr>
        <w:pStyle w:val="ListParagraph"/>
        <w:widowControl w:val="0"/>
        <w:numPr>
          <w:ilvl w:val="0"/>
          <w:numId w:val="10"/>
        </w:numPr>
        <w:tabs>
          <w:tab w:val="left" w:pos="688"/>
        </w:tabs>
        <w:autoSpaceDE w:val="0"/>
        <w:autoSpaceDN w:val="0"/>
        <w:contextualSpacing w:val="0"/>
        <w:jc w:val="both"/>
        <w:rPr>
          <w:rFonts w:ascii="Times New Roman" w:hAnsi="Times New Roman"/>
        </w:rPr>
      </w:pPr>
      <w:r w:rsidRPr="00602F08">
        <w:rPr>
          <w:rFonts w:ascii="Times New Roman" w:hAnsi="Times New Roman"/>
        </w:rPr>
        <w:t>For present purposes, the central Convention right is Article 3, which prohibits inhuman or degrading treatment. Th</w:t>
      </w:r>
      <w:r w:rsidR="00FE3495" w:rsidRPr="00602F08">
        <w:rPr>
          <w:rFonts w:ascii="Times New Roman" w:hAnsi="Times New Roman"/>
        </w:rPr>
        <w:t>is</w:t>
      </w:r>
      <w:r w:rsidRPr="00602F08">
        <w:rPr>
          <w:rFonts w:ascii="Times New Roman" w:hAnsi="Times New Roman"/>
        </w:rPr>
        <w:t xml:space="preserve"> prohibition is not a qualified right; it is</w:t>
      </w:r>
      <w:r w:rsidRPr="00602F08">
        <w:rPr>
          <w:rFonts w:ascii="Times New Roman" w:hAnsi="Times New Roman"/>
          <w:spacing w:val="-2"/>
        </w:rPr>
        <w:t xml:space="preserve"> </w:t>
      </w:r>
      <w:r w:rsidRPr="00602F08">
        <w:rPr>
          <w:rFonts w:ascii="Times New Roman" w:hAnsi="Times New Roman"/>
        </w:rPr>
        <w:t xml:space="preserve">absolute. </w:t>
      </w:r>
      <w:r w:rsidR="00CA20F7" w:rsidRPr="00602F08">
        <w:rPr>
          <w:rFonts w:ascii="Times New Roman" w:hAnsi="Times New Roman"/>
        </w:rPr>
        <w:t xml:space="preserve">Section 6(1) of the Human Rights Act 1998 </w:t>
      </w:r>
      <w:r w:rsidR="00A548DB" w:rsidRPr="00602F08">
        <w:rPr>
          <w:rFonts w:ascii="Times New Roman" w:hAnsi="Times New Roman"/>
        </w:rPr>
        <w:t>(“the 1998 Act”)</w:t>
      </w:r>
      <w:r w:rsidR="00EC2FE0" w:rsidRPr="00602F08">
        <w:rPr>
          <w:rFonts w:ascii="Times New Roman" w:hAnsi="Times New Roman"/>
        </w:rPr>
        <w:t xml:space="preserve"> </w:t>
      </w:r>
      <w:r w:rsidR="00CA20F7" w:rsidRPr="00602F08">
        <w:rPr>
          <w:rFonts w:ascii="Times New Roman" w:hAnsi="Times New Roman"/>
        </w:rPr>
        <w:t xml:space="preserve">provides that </w:t>
      </w:r>
      <w:r w:rsidR="00CA20F7" w:rsidRPr="00602F08">
        <w:rPr>
          <w:rFonts w:ascii="Times New Roman" w:hAnsi="Times New Roman"/>
          <w:color w:val="202020"/>
        </w:rPr>
        <w:t>it is unlawful for a public authority to act in a way which is incompatible with a Convention right. Section 6(6) makes clear that “an act” includes a failure to act.</w:t>
      </w:r>
      <w:r w:rsidR="00CA20F7" w:rsidRPr="00602F08">
        <w:rPr>
          <w:rFonts w:ascii="Times New Roman" w:hAnsi="Times New Roman"/>
        </w:rPr>
        <w:t xml:space="preserve"> </w:t>
      </w:r>
    </w:p>
    <w:p w14:paraId="4F9DCDD8" w14:textId="77777777" w:rsidR="00F404A6" w:rsidRPr="00602F08" w:rsidRDefault="00F404A6" w:rsidP="00B6212D">
      <w:pPr>
        <w:pStyle w:val="ListParagraph"/>
        <w:widowControl w:val="0"/>
        <w:tabs>
          <w:tab w:val="left" w:pos="688"/>
        </w:tabs>
        <w:autoSpaceDE w:val="0"/>
        <w:autoSpaceDN w:val="0"/>
        <w:ind w:left="687"/>
        <w:contextualSpacing w:val="0"/>
        <w:jc w:val="both"/>
        <w:rPr>
          <w:rFonts w:ascii="Times New Roman" w:hAnsi="Times New Roman"/>
        </w:rPr>
      </w:pPr>
    </w:p>
    <w:p w14:paraId="730D0CAD" w14:textId="77777777" w:rsidR="00F404A6" w:rsidRPr="00602F08" w:rsidRDefault="00F404A6" w:rsidP="00B6212D">
      <w:pPr>
        <w:pStyle w:val="ListParagraph"/>
        <w:widowControl w:val="0"/>
        <w:numPr>
          <w:ilvl w:val="0"/>
          <w:numId w:val="10"/>
        </w:numPr>
        <w:tabs>
          <w:tab w:val="left" w:pos="688"/>
        </w:tabs>
        <w:autoSpaceDE w:val="0"/>
        <w:autoSpaceDN w:val="0"/>
        <w:jc w:val="both"/>
        <w:rPr>
          <w:rFonts w:ascii="Times New Roman" w:hAnsi="Times New Roman"/>
        </w:rPr>
      </w:pPr>
      <w:r w:rsidRPr="00602F08">
        <w:rPr>
          <w:rFonts w:ascii="Times New Roman" w:hAnsi="Times New Roman"/>
        </w:rPr>
        <w:t>The other conditions set out in paragraph (2) of regulation 3 are as follows (each is an alternative):</w:t>
      </w:r>
    </w:p>
    <w:p w14:paraId="56AC2CBA" w14:textId="77777777" w:rsidR="00F404A6" w:rsidRPr="00602F08" w:rsidRDefault="00F404A6" w:rsidP="00B6212D">
      <w:pPr>
        <w:pStyle w:val="ListParagraph"/>
        <w:widowControl w:val="0"/>
        <w:tabs>
          <w:tab w:val="left" w:pos="688"/>
        </w:tabs>
        <w:autoSpaceDE w:val="0"/>
        <w:autoSpaceDN w:val="0"/>
        <w:ind w:left="1701" w:hanging="1015"/>
        <w:jc w:val="both"/>
        <w:rPr>
          <w:rFonts w:ascii="Times New Roman" w:hAnsi="Times New Roman"/>
        </w:rPr>
      </w:pPr>
    </w:p>
    <w:p w14:paraId="263CBA5B" w14:textId="77777777" w:rsidR="00F404A6" w:rsidRPr="00602F08" w:rsidRDefault="00F404A6" w:rsidP="00B6212D">
      <w:pPr>
        <w:pStyle w:val="ListParagraph"/>
        <w:widowControl w:val="0"/>
        <w:tabs>
          <w:tab w:val="left" w:pos="688"/>
        </w:tabs>
        <w:autoSpaceDE w:val="0"/>
        <w:autoSpaceDN w:val="0"/>
        <w:ind w:left="1701" w:hanging="1015"/>
        <w:jc w:val="both"/>
        <w:rPr>
          <w:rFonts w:ascii="Times New Roman" w:hAnsi="Times New Roman"/>
        </w:rPr>
      </w:pPr>
      <w:r w:rsidRPr="00602F08">
        <w:rPr>
          <w:rFonts w:ascii="Times New Roman" w:hAnsi="Times New Roman"/>
        </w:rPr>
        <w:tab/>
      </w:r>
      <w:r w:rsidRPr="00602F08">
        <w:rPr>
          <w:rFonts w:ascii="Times New Roman" w:hAnsi="Times New Roman"/>
        </w:rPr>
        <w:tab/>
        <w:t>“(a) he is taking all reasonable steps to leave the United Kingdom or place himself in a position in which he is able to leave the United Kingdom, which may include complying with attempts to obtain a travel document to facilitate his departure;</w:t>
      </w:r>
    </w:p>
    <w:p w14:paraId="02C60649" w14:textId="77777777" w:rsidR="00F404A6" w:rsidRPr="00602F08" w:rsidRDefault="00F404A6" w:rsidP="00B6212D">
      <w:pPr>
        <w:pStyle w:val="ListParagraph"/>
        <w:widowControl w:val="0"/>
        <w:tabs>
          <w:tab w:val="left" w:pos="688"/>
        </w:tabs>
        <w:autoSpaceDE w:val="0"/>
        <w:autoSpaceDN w:val="0"/>
        <w:ind w:left="1701" w:hanging="1015"/>
        <w:jc w:val="both"/>
        <w:rPr>
          <w:rFonts w:ascii="Times New Roman" w:hAnsi="Times New Roman"/>
        </w:rPr>
      </w:pPr>
    </w:p>
    <w:p w14:paraId="01EBCE1A" w14:textId="77777777" w:rsidR="00F404A6" w:rsidRPr="00602F08" w:rsidRDefault="00F404A6" w:rsidP="00B6212D">
      <w:pPr>
        <w:pStyle w:val="ListParagraph"/>
        <w:widowControl w:val="0"/>
        <w:tabs>
          <w:tab w:val="left" w:pos="688"/>
        </w:tabs>
        <w:autoSpaceDE w:val="0"/>
        <w:autoSpaceDN w:val="0"/>
        <w:ind w:left="1701" w:hanging="1015"/>
        <w:jc w:val="both"/>
        <w:rPr>
          <w:rFonts w:ascii="Times New Roman" w:hAnsi="Times New Roman"/>
        </w:rPr>
      </w:pPr>
      <w:r w:rsidRPr="00602F08">
        <w:rPr>
          <w:rFonts w:ascii="Times New Roman" w:hAnsi="Times New Roman"/>
        </w:rPr>
        <w:tab/>
      </w:r>
      <w:r w:rsidRPr="00602F08">
        <w:rPr>
          <w:rFonts w:ascii="Times New Roman" w:hAnsi="Times New Roman"/>
        </w:rPr>
        <w:tab/>
        <w:t>(b) he is unable to leave the United Kingdom by reason of a physical impediment to travel or for some other medical reason;</w:t>
      </w:r>
    </w:p>
    <w:p w14:paraId="4E4E7C09" w14:textId="77777777" w:rsidR="00F404A6" w:rsidRPr="00602F08" w:rsidRDefault="00F404A6" w:rsidP="00B6212D">
      <w:pPr>
        <w:pStyle w:val="ListParagraph"/>
        <w:widowControl w:val="0"/>
        <w:tabs>
          <w:tab w:val="left" w:pos="688"/>
        </w:tabs>
        <w:autoSpaceDE w:val="0"/>
        <w:autoSpaceDN w:val="0"/>
        <w:ind w:left="1701" w:hanging="1015"/>
        <w:jc w:val="both"/>
        <w:rPr>
          <w:rFonts w:ascii="Times New Roman" w:hAnsi="Times New Roman"/>
        </w:rPr>
      </w:pPr>
    </w:p>
    <w:p w14:paraId="33F945C6" w14:textId="77777777" w:rsidR="00F404A6" w:rsidRPr="00602F08" w:rsidRDefault="00F404A6" w:rsidP="00B6212D">
      <w:pPr>
        <w:pStyle w:val="ListParagraph"/>
        <w:widowControl w:val="0"/>
        <w:tabs>
          <w:tab w:val="left" w:pos="688"/>
        </w:tabs>
        <w:autoSpaceDE w:val="0"/>
        <w:autoSpaceDN w:val="0"/>
        <w:ind w:left="1701" w:hanging="1015"/>
        <w:jc w:val="both"/>
        <w:rPr>
          <w:rFonts w:ascii="Times New Roman" w:hAnsi="Times New Roman"/>
        </w:rPr>
      </w:pPr>
      <w:r w:rsidRPr="00602F08">
        <w:rPr>
          <w:rFonts w:ascii="Times New Roman" w:hAnsi="Times New Roman"/>
        </w:rPr>
        <w:tab/>
      </w:r>
      <w:r w:rsidRPr="00602F08">
        <w:rPr>
          <w:rFonts w:ascii="Times New Roman" w:hAnsi="Times New Roman"/>
        </w:rPr>
        <w:tab/>
        <w:t>(c) he is unable to leave the United Kingdom because in the opinion of the Secretary of State there is currently no viable route of return available; [or]</w:t>
      </w:r>
    </w:p>
    <w:p w14:paraId="7CF68D53" w14:textId="77777777" w:rsidR="00F404A6" w:rsidRPr="00602F08" w:rsidRDefault="00F404A6" w:rsidP="00B6212D">
      <w:pPr>
        <w:pStyle w:val="ListParagraph"/>
        <w:widowControl w:val="0"/>
        <w:tabs>
          <w:tab w:val="left" w:pos="688"/>
        </w:tabs>
        <w:autoSpaceDE w:val="0"/>
        <w:autoSpaceDN w:val="0"/>
        <w:ind w:left="1701" w:hanging="1015"/>
        <w:jc w:val="both"/>
        <w:rPr>
          <w:rFonts w:ascii="Times New Roman" w:hAnsi="Times New Roman"/>
        </w:rPr>
      </w:pPr>
    </w:p>
    <w:p w14:paraId="1998A589" w14:textId="77777777" w:rsidR="00F404A6" w:rsidRPr="00602F08" w:rsidRDefault="00F404A6" w:rsidP="00B6212D">
      <w:pPr>
        <w:pStyle w:val="ListParagraph"/>
        <w:widowControl w:val="0"/>
        <w:tabs>
          <w:tab w:val="left" w:pos="688"/>
        </w:tabs>
        <w:autoSpaceDE w:val="0"/>
        <w:autoSpaceDN w:val="0"/>
        <w:ind w:left="1701" w:hanging="1015"/>
        <w:jc w:val="both"/>
        <w:rPr>
          <w:rFonts w:ascii="Times New Roman" w:hAnsi="Times New Roman"/>
        </w:rPr>
      </w:pPr>
      <w:r w:rsidRPr="00602F08">
        <w:rPr>
          <w:rFonts w:ascii="Times New Roman" w:hAnsi="Times New Roman"/>
        </w:rPr>
        <w:tab/>
      </w:r>
      <w:r w:rsidRPr="00602F08">
        <w:rPr>
          <w:rFonts w:ascii="Times New Roman" w:hAnsi="Times New Roman"/>
        </w:rPr>
        <w:tab/>
        <w:t>(d) he has made an application for judicial review of a decision in relation to his asylum claim–</w:t>
      </w:r>
    </w:p>
    <w:p w14:paraId="10134054" w14:textId="77777777" w:rsidR="00F404A6" w:rsidRPr="00602F08" w:rsidRDefault="00F404A6" w:rsidP="00B6212D">
      <w:pPr>
        <w:pStyle w:val="ListParagraph"/>
        <w:widowControl w:val="0"/>
        <w:tabs>
          <w:tab w:val="left" w:pos="688"/>
        </w:tabs>
        <w:autoSpaceDE w:val="0"/>
        <w:autoSpaceDN w:val="0"/>
        <w:ind w:left="1701" w:hanging="1015"/>
        <w:jc w:val="both"/>
        <w:rPr>
          <w:rFonts w:ascii="Times New Roman" w:hAnsi="Times New Roman"/>
        </w:rPr>
      </w:pPr>
    </w:p>
    <w:p w14:paraId="4D979BE6" w14:textId="77777777" w:rsidR="00F404A6" w:rsidRPr="00602F08" w:rsidRDefault="00F404A6" w:rsidP="00B6212D">
      <w:pPr>
        <w:pStyle w:val="ListParagraph"/>
        <w:widowControl w:val="0"/>
        <w:numPr>
          <w:ilvl w:val="0"/>
          <w:numId w:val="29"/>
        </w:numPr>
        <w:tabs>
          <w:tab w:val="left" w:pos="688"/>
        </w:tabs>
        <w:autoSpaceDE w:val="0"/>
        <w:autoSpaceDN w:val="0"/>
        <w:jc w:val="both"/>
        <w:rPr>
          <w:rFonts w:ascii="Times New Roman" w:hAnsi="Times New Roman"/>
        </w:rPr>
      </w:pPr>
      <w:r w:rsidRPr="00602F08">
        <w:rPr>
          <w:rFonts w:ascii="Times New Roman" w:hAnsi="Times New Roman"/>
        </w:rPr>
        <w:t>in England and Wales, and has been granted permission to proceed pursuant to Part 54 of the Civil Procedure Rules 1998 (2),</w:t>
      </w:r>
    </w:p>
    <w:p w14:paraId="4C44A809" w14:textId="77777777" w:rsidR="00F404A6" w:rsidRPr="00602F08" w:rsidRDefault="00F404A6" w:rsidP="00B6212D">
      <w:pPr>
        <w:pStyle w:val="ListParagraph"/>
        <w:widowControl w:val="0"/>
        <w:numPr>
          <w:ilvl w:val="0"/>
          <w:numId w:val="29"/>
        </w:numPr>
        <w:tabs>
          <w:tab w:val="left" w:pos="688"/>
        </w:tabs>
        <w:autoSpaceDE w:val="0"/>
        <w:autoSpaceDN w:val="0"/>
        <w:jc w:val="both"/>
        <w:rPr>
          <w:rFonts w:ascii="Times New Roman" w:hAnsi="Times New Roman"/>
        </w:rPr>
      </w:pPr>
      <w:r w:rsidRPr="00602F08">
        <w:rPr>
          <w:rFonts w:ascii="Times New Roman" w:hAnsi="Times New Roman"/>
        </w:rPr>
        <w:t>in Scotland, pursuant to Chapter 58 of the Rules of the Court of Session 1994 (3) or</w:t>
      </w:r>
    </w:p>
    <w:p w14:paraId="00EF472D" w14:textId="77777777" w:rsidR="00F404A6" w:rsidRPr="00602F08" w:rsidRDefault="00F404A6" w:rsidP="00B6212D">
      <w:pPr>
        <w:pStyle w:val="ListParagraph"/>
        <w:widowControl w:val="0"/>
        <w:numPr>
          <w:ilvl w:val="0"/>
          <w:numId w:val="29"/>
        </w:numPr>
        <w:tabs>
          <w:tab w:val="left" w:pos="688"/>
        </w:tabs>
        <w:autoSpaceDE w:val="0"/>
        <w:autoSpaceDN w:val="0"/>
        <w:jc w:val="both"/>
        <w:rPr>
          <w:rFonts w:ascii="Times New Roman" w:hAnsi="Times New Roman"/>
        </w:rPr>
      </w:pPr>
      <w:r w:rsidRPr="00602F08">
        <w:rPr>
          <w:rFonts w:ascii="Times New Roman" w:hAnsi="Times New Roman"/>
        </w:rPr>
        <w:t xml:space="preserve">in Northern Ireland, and has been granted leave pursuant to Order 53 </w:t>
      </w:r>
      <w:r w:rsidRPr="00602F08">
        <w:rPr>
          <w:rFonts w:ascii="Times New Roman" w:hAnsi="Times New Roman"/>
        </w:rPr>
        <w:lastRenderedPageBreak/>
        <w:t>of the Rules of Supreme Court (Northern Ireland) 1980 (4); …”</w:t>
      </w:r>
    </w:p>
    <w:p w14:paraId="43A4D498" w14:textId="77777777" w:rsidR="00C36785" w:rsidRPr="00602F08" w:rsidRDefault="00C36785" w:rsidP="00B6212D">
      <w:pPr>
        <w:pStyle w:val="ListParagraph"/>
        <w:widowControl w:val="0"/>
        <w:tabs>
          <w:tab w:val="left" w:pos="688"/>
        </w:tabs>
        <w:autoSpaceDE w:val="0"/>
        <w:autoSpaceDN w:val="0"/>
        <w:ind w:left="687"/>
        <w:contextualSpacing w:val="0"/>
        <w:jc w:val="both"/>
        <w:rPr>
          <w:rFonts w:ascii="Times New Roman" w:hAnsi="Times New Roman"/>
        </w:rPr>
      </w:pPr>
    </w:p>
    <w:p w14:paraId="502952B7" w14:textId="52AEF315" w:rsidR="00CA20F7" w:rsidRPr="00602F08" w:rsidRDefault="00CA20F7" w:rsidP="00B6212D">
      <w:pPr>
        <w:pStyle w:val="ListParagraph"/>
        <w:widowControl w:val="0"/>
        <w:numPr>
          <w:ilvl w:val="0"/>
          <w:numId w:val="10"/>
        </w:numPr>
        <w:tabs>
          <w:tab w:val="left" w:pos="688"/>
        </w:tabs>
        <w:autoSpaceDE w:val="0"/>
        <w:autoSpaceDN w:val="0"/>
        <w:ind w:left="686" w:hanging="567"/>
        <w:contextualSpacing w:val="0"/>
        <w:jc w:val="both"/>
        <w:rPr>
          <w:rFonts w:ascii="Times New Roman" w:hAnsi="Times New Roman"/>
        </w:rPr>
      </w:pPr>
      <w:r w:rsidRPr="00602F08">
        <w:rPr>
          <w:rFonts w:ascii="Times New Roman" w:hAnsi="Times New Roman"/>
        </w:rPr>
        <w:t xml:space="preserve">The language of the </w:t>
      </w:r>
      <w:r w:rsidR="008521E0" w:rsidRPr="00602F08">
        <w:rPr>
          <w:rFonts w:ascii="Times New Roman" w:hAnsi="Times New Roman"/>
        </w:rPr>
        <w:t xml:space="preserve">relevant </w:t>
      </w:r>
      <w:r w:rsidRPr="00602F08">
        <w:rPr>
          <w:rFonts w:ascii="Times New Roman" w:hAnsi="Times New Roman"/>
        </w:rPr>
        <w:t>condition under paragraph (2) of regulation 3 of the 2005</w:t>
      </w:r>
      <w:r w:rsidR="00663294" w:rsidRPr="00602F08">
        <w:rPr>
          <w:rFonts w:ascii="Times New Roman" w:hAnsi="Times New Roman"/>
        </w:rPr>
        <w:t xml:space="preserve"> </w:t>
      </w:r>
      <w:r w:rsidRPr="00602F08">
        <w:rPr>
          <w:rFonts w:ascii="Times New Roman" w:hAnsi="Times New Roman"/>
        </w:rPr>
        <w:t xml:space="preserve"> Regulations </w:t>
      </w:r>
      <w:r w:rsidR="00663294" w:rsidRPr="00602F08">
        <w:rPr>
          <w:rFonts w:ascii="Times New Roman" w:hAnsi="Times New Roman"/>
        </w:rPr>
        <w:t>(condition (e)</w:t>
      </w:r>
      <w:r w:rsidR="00DB2B33" w:rsidRPr="00602F08">
        <w:rPr>
          <w:rFonts w:ascii="Times New Roman" w:hAnsi="Times New Roman"/>
        </w:rPr>
        <w:t>)</w:t>
      </w:r>
      <w:r w:rsidR="00663294" w:rsidRPr="00602F08">
        <w:rPr>
          <w:rFonts w:ascii="Times New Roman" w:hAnsi="Times New Roman"/>
        </w:rPr>
        <w:t xml:space="preserve"> </w:t>
      </w:r>
      <w:r w:rsidRPr="00602F08">
        <w:rPr>
          <w:rFonts w:ascii="Times New Roman" w:hAnsi="Times New Roman"/>
        </w:rPr>
        <w:t>reflects that found in Section 55(5)(a) of the Nationality, Immigration and Asylum Act 2002</w:t>
      </w:r>
      <w:bookmarkStart w:id="3" w:name="_Hlk45819256"/>
      <w:r w:rsidRPr="00602F08">
        <w:rPr>
          <w:rFonts w:ascii="Times New Roman" w:hAnsi="Times New Roman"/>
        </w:rPr>
        <w:t xml:space="preserve"> </w:t>
      </w:r>
      <w:bookmarkEnd w:id="3"/>
      <w:r w:rsidRPr="00602F08">
        <w:rPr>
          <w:rFonts w:ascii="Times New Roman" w:hAnsi="Times New Roman"/>
        </w:rPr>
        <w:t xml:space="preserve">(“the 2002 Act”). This referred to “… a power by the Secretary of State to the extent necessary for the purpose of avoiding a breach of a person's Convention rights (within the meaning of the Human Rights Act 1998)”. </w:t>
      </w:r>
    </w:p>
    <w:p w14:paraId="5C5718C9" w14:textId="77777777" w:rsidR="00CA20F7" w:rsidRPr="00602F08" w:rsidRDefault="00CA20F7" w:rsidP="00B6212D">
      <w:pPr>
        <w:pStyle w:val="ListParagraph"/>
        <w:jc w:val="both"/>
        <w:rPr>
          <w:rFonts w:ascii="Times New Roman" w:hAnsi="Times New Roman"/>
        </w:rPr>
      </w:pPr>
    </w:p>
    <w:p w14:paraId="71014826" w14:textId="031B5F4A" w:rsidR="00567C57" w:rsidRPr="00602F08" w:rsidRDefault="00CA20F7" w:rsidP="00B6212D">
      <w:pPr>
        <w:pStyle w:val="ListParagraph"/>
        <w:widowControl w:val="0"/>
        <w:numPr>
          <w:ilvl w:val="0"/>
          <w:numId w:val="10"/>
        </w:numPr>
        <w:tabs>
          <w:tab w:val="left" w:pos="688"/>
        </w:tabs>
        <w:autoSpaceDE w:val="0"/>
        <w:autoSpaceDN w:val="0"/>
        <w:ind w:left="686" w:hanging="567"/>
        <w:contextualSpacing w:val="0"/>
        <w:jc w:val="both"/>
        <w:rPr>
          <w:rFonts w:ascii="Times New Roman" w:hAnsi="Times New Roman"/>
        </w:rPr>
      </w:pPr>
      <w:r w:rsidRPr="00602F08">
        <w:rPr>
          <w:rFonts w:ascii="Times New Roman" w:hAnsi="Times New Roman"/>
        </w:rPr>
        <w:t>Th</w:t>
      </w:r>
      <w:r w:rsidR="00D970C0" w:rsidRPr="00602F08">
        <w:rPr>
          <w:rFonts w:ascii="Times New Roman" w:hAnsi="Times New Roman"/>
        </w:rPr>
        <w:t>e</w:t>
      </w:r>
      <w:r w:rsidRPr="00602F08">
        <w:rPr>
          <w:rFonts w:ascii="Times New Roman" w:hAnsi="Times New Roman"/>
        </w:rPr>
        <w:t xml:space="preserve"> provision </w:t>
      </w:r>
      <w:r w:rsidR="00601557" w:rsidRPr="00602F08">
        <w:rPr>
          <w:rFonts w:ascii="Times New Roman" w:hAnsi="Times New Roman"/>
        </w:rPr>
        <w:t xml:space="preserve">providing that power </w:t>
      </w:r>
      <w:r w:rsidRPr="00602F08">
        <w:rPr>
          <w:rFonts w:ascii="Times New Roman" w:hAnsi="Times New Roman"/>
        </w:rPr>
        <w:t xml:space="preserve">mitigated a regime under section 55 of the 2002 Act </w:t>
      </w:r>
      <w:r w:rsidR="00D970C0" w:rsidRPr="00602F08">
        <w:rPr>
          <w:rFonts w:ascii="Times New Roman" w:hAnsi="Times New Roman"/>
        </w:rPr>
        <w:t xml:space="preserve">which </w:t>
      </w:r>
      <w:r w:rsidR="00DB37D1" w:rsidRPr="00602F08">
        <w:rPr>
          <w:rFonts w:ascii="Times New Roman" w:hAnsi="Times New Roman"/>
        </w:rPr>
        <w:t>prohibit</w:t>
      </w:r>
      <w:r w:rsidR="00D970C0" w:rsidRPr="00602F08">
        <w:rPr>
          <w:rFonts w:ascii="Times New Roman" w:hAnsi="Times New Roman"/>
        </w:rPr>
        <w:t>ed</w:t>
      </w:r>
      <w:r w:rsidRPr="00602F08">
        <w:rPr>
          <w:rFonts w:ascii="Times New Roman" w:hAnsi="Times New Roman"/>
        </w:rPr>
        <w:t xml:space="preserve"> the Secretary of State from providing or arranging the provision of accommodation for</w:t>
      </w:r>
      <w:r w:rsidRPr="00602F08">
        <w:rPr>
          <w:rFonts w:ascii="Times New Roman" w:hAnsi="Times New Roman"/>
          <w:spacing w:val="-13"/>
        </w:rPr>
        <w:t xml:space="preserve"> </w:t>
      </w:r>
      <w:r w:rsidRPr="00602F08">
        <w:rPr>
          <w:rFonts w:ascii="Times New Roman" w:hAnsi="Times New Roman"/>
        </w:rPr>
        <w:t>a person</w:t>
      </w:r>
      <w:r w:rsidRPr="00602F08">
        <w:rPr>
          <w:rFonts w:ascii="Times New Roman" w:hAnsi="Times New Roman"/>
          <w:spacing w:val="-14"/>
        </w:rPr>
        <w:t xml:space="preserve"> </w:t>
      </w:r>
      <w:r w:rsidRPr="00602F08">
        <w:rPr>
          <w:rFonts w:ascii="Times New Roman" w:hAnsi="Times New Roman"/>
        </w:rPr>
        <w:t>prohibited</w:t>
      </w:r>
      <w:r w:rsidRPr="00602F08">
        <w:rPr>
          <w:rFonts w:ascii="Times New Roman" w:hAnsi="Times New Roman"/>
          <w:spacing w:val="-13"/>
        </w:rPr>
        <w:t xml:space="preserve"> </w:t>
      </w:r>
      <w:r w:rsidRPr="00602F08">
        <w:rPr>
          <w:rFonts w:ascii="Times New Roman" w:hAnsi="Times New Roman"/>
        </w:rPr>
        <w:t>from</w:t>
      </w:r>
      <w:r w:rsidRPr="00602F08">
        <w:rPr>
          <w:rFonts w:ascii="Times New Roman" w:hAnsi="Times New Roman"/>
          <w:spacing w:val="-13"/>
        </w:rPr>
        <w:t xml:space="preserve"> </w:t>
      </w:r>
      <w:r w:rsidRPr="00602F08">
        <w:rPr>
          <w:rFonts w:ascii="Times New Roman" w:hAnsi="Times New Roman"/>
        </w:rPr>
        <w:t>earning the wherewithal to support himself</w:t>
      </w:r>
      <w:r w:rsidR="00CD1080" w:rsidRPr="00602F08">
        <w:rPr>
          <w:rFonts w:ascii="Times New Roman" w:hAnsi="Times New Roman"/>
        </w:rPr>
        <w:t xml:space="preserve"> or herself</w:t>
      </w:r>
      <w:r w:rsidRPr="00602F08">
        <w:rPr>
          <w:rFonts w:ascii="Times New Roman" w:hAnsi="Times New Roman"/>
        </w:rPr>
        <w:t xml:space="preserve">. Such a regime amounted to “treatment” within the meaning of Article 3: </w:t>
      </w:r>
      <w:r w:rsidRPr="00602F08">
        <w:rPr>
          <w:rFonts w:ascii="Times New Roman" w:hAnsi="Times New Roman"/>
          <w:u w:val="single"/>
        </w:rPr>
        <w:t>R (Limbuela) v Secretary of State for the Home Department</w:t>
      </w:r>
      <w:r w:rsidRPr="00602F08">
        <w:rPr>
          <w:rFonts w:ascii="Times New Roman" w:hAnsi="Times New Roman"/>
        </w:rPr>
        <w:t xml:space="preserve"> [2006] 1 AC 396 at [6], per Lord Bingham.</w:t>
      </w:r>
    </w:p>
    <w:p w14:paraId="5F683FCA" w14:textId="77777777" w:rsidR="00567C57" w:rsidRPr="00602F08" w:rsidRDefault="00567C57" w:rsidP="00B6212D">
      <w:pPr>
        <w:pStyle w:val="ListParagraph"/>
        <w:widowControl w:val="0"/>
        <w:tabs>
          <w:tab w:val="left" w:pos="688"/>
        </w:tabs>
        <w:autoSpaceDE w:val="0"/>
        <w:autoSpaceDN w:val="0"/>
        <w:ind w:left="686"/>
        <w:contextualSpacing w:val="0"/>
        <w:jc w:val="both"/>
        <w:rPr>
          <w:rFonts w:ascii="Times New Roman" w:hAnsi="Times New Roman"/>
        </w:rPr>
      </w:pPr>
    </w:p>
    <w:p w14:paraId="68E6041D" w14:textId="35941362" w:rsidR="00CA20F7" w:rsidRPr="00602F08" w:rsidRDefault="00160F69" w:rsidP="00B6212D">
      <w:pPr>
        <w:pStyle w:val="ListParagraph"/>
        <w:widowControl w:val="0"/>
        <w:numPr>
          <w:ilvl w:val="0"/>
          <w:numId w:val="10"/>
        </w:numPr>
        <w:tabs>
          <w:tab w:val="left" w:pos="688"/>
        </w:tabs>
        <w:autoSpaceDE w:val="0"/>
        <w:autoSpaceDN w:val="0"/>
        <w:ind w:left="686" w:hanging="567"/>
        <w:contextualSpacing w:val="0"/>
        <w:jc w:val="both"/>
        <w:rPr>
          <w:rFonts w:ascii="Times New Roman" w:hAnsi="Times New Roman"/>
        </w:rPr>
      </w:pPr>
      <w:r w:rsidRPr="00602F08">
        <w:rPr>
          <w:rFonts w:ascii="Times New Roman" w:hAnsi="Times New Roman"/>
        </w:rPr>
        <w:t xml:space="preserve">In </w:t>
      </w:r>
      <w:r w:rsidRPr="00602F08">
        <w:rPr>
          <w:rFonts w:ascii="Times New Roman" w:hAnsi="Times New Roman"/>
          <w:u w:val="single"/>
        </w:rPr>
        <w:t>Limbuela</w:t>
      </w:r>
      <w:r w:rsidRPr="00602F08">
        <w:rPr>
          <w:rFonts w:ascii="Times New Roman" w:hAnsi="Times New Roman"/>
        </w:rPr>
        <w:t xml:space="preserve">, </w:t>
      </w:r>
      <w:r w:rsidR="00CA20F7" w:rsidRPr="00602F08">
        <w:rPr>
          <w:rFonts w:ascii="Times New Roman" w:hAnsi="Times New Roman"/>
        </w:rPr>
        <w:t>Lord Bingham asked and answered the following question, at [8]:</w:t>
      </w:r>
    </w:p>
    <w:p w14:paraId="5B38B057" w14:textId="77777777" w:rsidR="00CA20F7" w:rsidRPr="00602F08" w:rsidRDefault="00CA20F7" w:rsidP="00B6212D">
      <w:pPr>
        <w:pStyle w:val="ListParagraph"/>
        <w:widowControl w:val="0"/>
        <w:tabs>
          <w:tab w:val="left" w:pos="688"/>
        </w:tabs>
        <w:autoSpaceDE w:val="0"/>
        <w:autoSpaceDN w:val="0"/>
        <w:spacing w:before="62"/>
        <w:ind w:left="686"/>
        <w:contextualSpacing w:val="0"/>
        <w:jc w:val="both"/>
        <w:rPr>
          <w:rFonts w:ascii="Times New Roman" w:hAnsi="Times New Roman"/>
        </w:rPr>
      </w:pPr>
    </w:p>
    <w:p w14:paraId="28D1D159" w14:textId="77777777" w:rsidR="00CA20F7" w:rsidRPr="00602F08" w:rsidRDefault="00CA20F7" w:rsidP="00B6212D">
      <w:pPr>
        <w:ind w:left="1560"/>
        <w:jc w:val="both"/>
      </w:pPr>
      <w:r w:rsidRPr="00602F08">
        <w:t xml:space="preserve">“When does the Secretary of State's duty under </w:t>
      </w:r>
      <w:hyperlink r:id="rId11">
        <w:r w:rsidRPr="00602F08">
          <w:t xml:space="preserve">section 55(5)(a) </w:t>
        </w:r>
      </w:hyperlink>
      <w:r w:rsidRPr="00602F08">
        <w:t>arise? The answer must in my opinion be: when it appears on a fair and objective assessment of all relevant facts and circumstances that an individual applicant faces an imminent prospect of serious suffering caused or materially aggravated by denial of shelter, food or the most basic necessities of life.”.</w:t>
      </w:r>
    </w:p>
    <w:p w14:paraId="38B589BA" w14:textId="77777777" w:rsidR="00CA20F7" w:rsidRPr="00602F08" w:rsidRDefault="00CA20F7" w:rsidP="00B6212D">
      <w:pPr>
        <w:widowControl w:val="0"/>
        <w:tabs>
          <w:tab w:val="left" w:pos="688"/>
        </w:tabs>
        <w:autoSpaceDE w:val="0"/>
        <w:autoSpaceDN w:val="0"/>
        <w:jc w:val="both"/>
      </w:pPr>
    </w:p>
    <w:p w14:paraId="2771806F" w14:textId="378D9FD4" w:rsidR="00CA20F7" w:rsidRPr="00602F08" w:rsidRDefault="00371F2A" w:rsidP="00B6212D">
      <w:pPr>
        <w:pStyle w:val="ListParagraph"/>
        <w:widowControl w:val="0"/>
        <w:numPr>
          <w:ilvl w:val="0"/>
          <w:numId w:val="10"/>
        </w:numPr>
        <w:tabs>
          <w:tab w:val="left" w:pos="688"/>
        </w:tabs>
        <w:autoSpaceDE w:val="0"/>
        <w:autoSpaceDN w:val="0"/>
        <w:contextualSpacing w:val="0"/>
        <w:jc w:val="both"/>
        <w:rPr>
          <w:rFonts w:ascii="Times New Roman" w:hAnsi="Times New Roman"/>
        </w:rPr>
      </w:pPr>
      <w:r w:rsidRPr="00602F08">
        <w:rPr>
          <w:rFonts w:ascii="Times New Roman" w:hAnsi="Times New Roman"/>
        </w:rPr>
        <w:t xml:space="preserve">Lord Bingham </w:t>
      </w:r>
      <w:r w:rsidR="00E13653" w:rsidRPr="00602F08">
        <w:rPr>
          <w:rFonts w:ascii="Times New Roman" w:hAnsi="Times New Roman"/>
        </w:rPr>
        <w:t xml:space="preserve">spoke further of </w:t>
      </w:r>
      <w:r w:rsidR="00CA20F7" w:rsidRPr="00602F08">
        <w:rPr>
          <w:rFonts w:ascii="Times New Roman" w:hAnsi="Times New Roman"/>
        </w:rPr>
        <w:t>the threshold for an Article 3 breach at</w:t>
      </w:r>
      <w:r w:rsidR="00CA20F7" w:rsidRPr="00602F08">
        <w:rPr>
          <w:rFonts w:ascii="Times New Roman" w:hAnsi="Times New Roman"/>
          <w:spacing w:val="-1"/>
        </w:rPr>
        <w:t xml:space="preserve"> </w:t>
      </w:r>
      <w:r w:rsidR="00CA20F7" w:rsidRPr="00602F08">
        <w:rPr>
          <w:rFonts w:ascii="Times New Roman" w:hAnsi="Times New Roman"/>
        </w:rPr>
        <w:t>[9]:</w:t>
      </w:r>
    </w:p>
    <w:p w14:paraId="4858F053" w14:textId="77777777" w:rsidR="00CA20F7" w:rsidRPr="00602F08" w:rsidRDefault="00CA20F7" w:rsidP="00B6212D">
      <w:pPr>
        <w:pStyle w:val="BodyText"/>
        <w:spacing w:before="10"/>
        <w:jc w:val="both"/>
      </w:pPr>
    </w:p>
    <w:p w14:paraId="26525F0E" w14:textId="6A31160E" w:rsidR="000821D1" w:rsidRPr="00602F08" w:rsidRDefault="00CA20F7" w:rsidP="00B6212D">
      <w:pPr>
        <w:ind w:left="1538"/>
        <w:jc w:val="both"/>
      </w:pPr>
      <w:r w:rsidRPr="00602F08">
        <w:t>“It is not in my opinion possible to formulate any simple test applicable in all cases.</w:t>
      </w:r>
      <w:r w:rsidRPr="00602F08">
        <w:rPr>
          <w:spacing w:val="-8"/>
        </w:rPr>
        <w:t xml:space="preserve"> </w:t>
      </w:r>
      <w:r w:rsidRPr="00602F08">
        <w:t>But</w:t>
      </w:r>
      <w:r w:rsidRPr="00602F08">
        <w:rPr>
          <w:spacing w:val="-7"/>
        </w:rPr>
        <w:t xml:space="preserve"> </w:t>
      </w:r>
      <w:r w:rsidRPr="00602F08">
        <w:t>if</w:t>
      </w:r>
      <w:r w:rsidRPr="00602F08">
        <w:rPr>
          <w:spacing w:val="-7"/>
        </w:rPr>
        <w:t xml:space="preserve"> </w:t>
      </w:r>
      <w:r w:rsidRPr="00602F08">
        <w:t>there</w:t>
      </w:r>
      <w:r w:rsidRPr="00602F08">
        <w:rPr>
          <w:spacing w:val="-7"/>
        </w:rPr>
        <w:t xml:space="preserve"> </w:t>
      </w:r>
      <w:r w:rsidRPr="00602F08">
        <w:t>were</w:t>
      </w:r>
      <w:r w:rsidRPr="00602F08">
        <w:rPr>
          <w:spacing w:val="-7"/>
        </w:rPr>
        <w:t xml:space="preserve"> </w:t>
      </w:r>
      <w:r w:rsidRPr="00602F08">
        <w:t>persuasive</w:t>
      </w:r>
      <w:r w:rsidRPr="00602F08">
        <w:rPr>
          <w:spacing w:val="-7"/>
        </w:rPr>
        <w:t xml:space="preserve"> </w:t>
      </w:r>
      <w:r w:rsidRPr="00602F08">
        <w:t>evidence</w:t>
      </w:r>
      <w:r w:rsidRPr="00602F08">
        <w:rPr>
          <w:spacing w:val="-8"/>
        </w:rPr>
        <w:t xml:space="preserve"> </w:t>
      </w:r>
      <w:r w:rsidRPr="00602F08">
        <w:t>that</w:t>
      </w:r>
      <w:r w:rsidRPr="00602F08">
        <w:rPr>
          <w:spacing w:val="-7"/>
        </w:rPr>
        <w:t xml:space="preserve"> </w:t>
      </w:r>
      <w:r w:rsidRPr="00602F08">
        <w:t>[there, a late applicant for asylum]</w:t>
      </w:r>
      <w:r w:rsidRPr="00602F08">
        <w:rPr>
          <w:spacing w:val="-7"/>
        </w:rPr>
        <w:t xml:space="preserve"> </w:t>
      </w:r>
      <w:r w:rsidRPr="00602F08">
        <w:t>was</w:t>
      </w:r>
      <w:r w:rsidRPr="00602F08">
        <w:rPr>
          <w:spacing w:val="-7"/>
        </w:rPr>
        <w:t xml:space="preserve"> </w:t>
      </w:r>
      <w:r w:rsidRPr="00602F08">
        <w:t>obliged</w:t>
      </w:r>
      <w:r w:rsidRPr="00602F08">
        <w:rPr>
          <w:spacing w:val="-7"/>
        </w:rPr>
        <w:t xml:space="preserve"> </w:t>
      </w:r>
      <w:r w:rsidRPr="00602F08">
        <w:t>to sleep</w:t>
      </w:r>
      <w:r w:rsidRPr="00602F08">
        <w:rPr>
          <w:spacing w:val="-11"/>
        </w:rPr>
        <w:t xml:space="preserve"> </w:t>
      </w:r>
      <w:r w:rsidRPr="00602F08">
        <w:t>in</w:t>
      </w:r>
      <w:r w:rsidRPr="00602F08">
        <w:rPr>
          <w:spacing w:val="-10"/>
        </w:rPr>
        <w:t xml:space="preserve"> </w:t>
      </w:r>
      <w:r w:rsidRPr="00602F08">
        <w:t>the</w:t>
      </w:r>
      <w:r w:rsidRPr="00602F08">
        <w:rPr>
          <w:spacing w:val="-10"/>
        </w:rPr>
        <w:t xml:space="preserve"> </w:t>
      </w:r>
      <w:r w:rsidRPr="00602F08">
        <w:t>street,</w:t>
      </w:r>
      <w:r w:rsidRPr="00602F08">
        <w:rPr>
          <w:spacing w:val="-11"/>
        </w:rPr>
        <w:t xml:space="preserve"> </w:t>
      </w:r>
      <w:r w:rsidRPr="00602F08">
        <w:t>save</w:t>
      </w:r>
      <w:r w:rsidRPr="00602F08">
        <w:rPr>
          <w:spacing w:val="-10"/>
        </w:rPr>
        <w:t xml:space="preserve"> </w:t>
      </w:r>
      <w:r w:rsidRPr="00602F08">
        <w:t>perhaps</w:t>
      </w:r>
      <w:r w:rsidRPr="00602F08">
        <w:rPr>
          <w:spacing w:val="-10"/>
        </w:rPr>
        <w:t xml:space="preserve"> </w:t>
      </w:r>
      <w:r w:rsidRPr="00602F08">
        <w:t>for</w:t>
      </w:r>
      <w:r w:rsidRPr="00602F08">
        <w:rPr>
          <w:spacing w:val="-11"/>
        </w:rPr>
        <w:t xml:space="preserve"> </w:t>
      </w:r>
      <w:r w:rsidRPr="00602F08">
        <w:t>a</w:t>
      </w:r>
      <w:r w:rsidRPr="00602F08">
        <w:rPr>
          <w:spacing w:val="-10"/>
        </w:rPr>
        <w:t xml:space="preserve"> </w:t>
      </w:r>
      <w:r w:rsidRPr="00602F08">
        <w:t>short</w:t>
      </w:r>
      <w:r w:rsidRPr="00602F08">
        <w:rPr>
          <w:spacing w:val="-10"/>
        </w:rPr>
        <w:t xml:space="preserve"> </w:t>
      </w:r>
      <w:r w:rsidRPr="00602F08">
        <w:t>and</w:t>
      </w:r>
      <w:r w:rsidRPr="00602F08">
        <w:rPr>
          <w:spacing w:val="-11"/>
        </w:rPr>
        <w:t xml:space="preserve"> </w:t>
      </w:r>
      <w:r w:rsidRPr="00602F08">
        <w:t>foreseeably</w:t>
      </w:r>
      <w:r w:rsidRPr="00602F08">
        <w:rPr>
          <w:spacing w:val="-11"/>
        </w:rPr>
        <w:t xml:space="preserve"> </w:t>
      </w:r>
      <w:r w:rsidRPr="00602F08">
        <w:t>finite</w:t>
      </w:r>
      <w:r w:rsidRPr="00602F08">
        <w:rPr>
          <w:spacing w:val="-11"/>
        </w:rPr>
        <w:t xml:space="preserve"> </w:t>
      </w:r>
      <w:r w:rsidRPr="00602F08">
        <w:t>period,</w:t>
      </w:r>
      <w:r w:rsidRPr="00602F08">
        <w:rPr>
          <w:spacing w:val="-10"/>
        </w:rPr>
        <w:t xml:space="preserve"> </w:t>
      </w:r>
      <w:r w:rsidRPr="00602F08">
        <w:t>or</w:t>
      </w:r>
      <w:r w:rsidRPr="00602F08">
        <w:rPr>
          <w:spacing w:val="-11"/>
        </w:rPr>
        <w:t xml:space="preserve"> </w:t>
      </w:r>
      <w:r w:rsidRPr="00602F08">
        <w:t>was seriously hungry, or unable to satisfy the most basic requirements of hygiene, the threshold would, in the ordinary way, be</w:t>
      </w:r>
      <w:r w:rsidRPr="00602F08">
        <w:rPr>
          <w:spacing w:val="-1"/>
        </w:rPr>
        <w:t xml:space="preserve"> </w:t>
      </w:r>
      <w:r w:rsidRPr="00602F08">
        <w:t>crossed.”</w:t>
      </w:r>
    </w:p>
    <w:p w14:paraId="4FA70373" w14:textId="77777777" w:rsidR="00291DFA" w:rsidRPr="00602F08" w:rsidRDefault="00291DFA" w:rsidP="00B6212D">
      <w:pPr>
        <w:jc w:val="both"/>
      </w:pPr>
    </w:p>
    <w:p w14:paraId="0A6F7863" w14:textId="0E355C3D" w:rsidR="00CA20F7" w:rsidRPr="00602F08" w:rsidRDefault="00CA20F7" w:rsidP="00B6212D">
      <w:pPr>
        <w:ind w:left="687"/>
        <w:jc w:val="both"/>
      </w:pPr>
      <w:r w:rsidRPr="00602F08">
        <w:t>Lord</w:t>
      </w:r>
      <w:r w:rsidRPr="00602F08">
        <w:rPr>
          <w:spacing w:val="-12"/>
        </w:rPr>
        <w:t xml:space="preserve"> </w:t>
      </w:r>
      <w:r w:rsidRPr="00602F08">
        <w:t>Bingham</w:t>
      </w:r>
      <w:r w:rsidRPr="00602F08">
        <w:rPr>
          <w:spacing w:val="-11"/>
        </w:rPr>
        <w:t xml:space="preserve"> </w:t>
      </w:r>
      <w:r w:rsidRPr="00602F08">
        <w:t>also</w:t>
      </w:r>
      <w:r w:rsidRPr="00602F08">
        <w:rPr>
          <w:spacing w:val="-12"/>
        </w:rPr>
        <w:t xml:space="preserve"> </w:t>
      </w:r>
      <w:r w:rsidRPr="00602F08">
        <w:t>commented</w:t>
      </w:r>
      <w:r w:rsidRPr="00602F08">
        <w:rPr>
          <w:spacing w:val="-11"/>
        </w:rPr>
        <w:t xml:space="preserve"> </w:t>
      </w:r>
      <w:r w:rsidRPr="00602F08">
        <w:t>at</w:t>
      </w:r>
      <w:r w:rsidRPr="00602F08">
        <w:rPr>
          <w:spacing w:val="-12"/>
        </w:rPr>
        <w:t xml:space="preserve"> </w:t>
      </w:r>
      <w:r w:rsidRPr="00602F08">
        <w:t>[8]</w:t>
      </w:r>
      <w:r w:rsidRPr="00602F08">
        <w:rPr>
          <w:spacing w:val="-11"/>
        </w:rPr>
        <w:t xml:space="preserve"> </w:t>
      </w:r>
      <w:r w:rsidRPr="00602F08">
        <w:t>that</w:t>
      </w:r>
      <w:r w:rsidR="00E15205" w:rsidRPr="00602F08">
        <w:t xml:space="preserve"> it</w:t>
      </w:r>
      <w:r w:rsidRPr="00602F08">
        <w:rPr>
          <w:spacing w:val="-12"/>
        </w:rPr>
        <w:t xml:space="preserve"> </w:t>
      </w:r>
      <w:r w:rsidRPr="00602F08">
        <w:t>is</w:t>
      </w:r>
      <w:r w:rsidRPr="00602F08">
        <w:rPr>
          <w:spacing w:val="-11"/>
        </w:rPr>
        <w:t xml:space="preserve"> </w:t>
      </w:r>
      <w:r w:rsidRPr="00602F08">
        <w:t>relevant</w:t>
      </w:r>
      <w:r w:rsidRPr="00602F08">
        <w:rPr>
          <w:spacing w:val="-12"/>
        </w:rPr>
        <w:t xml:space="preserve"> </w:t>
      </w:r>
      <w:r w:rsidRPr="00602F08">
        <w:t>to</w:t>
      </w:r>
      <w:r w:rsidRPr="00602F08">
        <w:rPr>
          <w:spacing w:val="-11"/>
        </w:rPr>
        <w:t xml:space="preserve"> </w:t>
      </w:r>
      <w:r w:rsidRPr="00602F08">
        <w:t>give</w:t>
      </w:r>
      <w:r w:rsidRPr="00602F08">
        <w:rPr>
          <w:spacing w:val="-13"/>
        </w:rPr>
        <w:t xml:space="preserve"> </w:t>
      </w:r>
      <w:r w:rsidRPr="00602F08">
        <w:t>consideration</w:t>
      </w:r>
      <w:r w:rsidRPr="00602F08">
        <w:rPr>
          <w:spacing w:val="-11"/>
        </w:rPr>
        <w:t xml:space="preserve"> </w:t>
      </w:r>
      <w:r w:rsidRPr="00602F08">
        <w:t>to</w:t>
      </w:r>
      <w:r w:rsidRPr="00602F08">
        <w:rPr>
          <w:spacing w:val="-12"/>
        </w:rPr>
        <w:t xml:space="preserve"> </w:t>
      </w:r>
      <w:r w:rsidRPr="00602F08">
        <w:t>factors</w:t>
      </w:r>
      <w:r w:rsidRPr="00602F08">
        <w:rPr>
          <w:spacing w:val="-11"/>
        </w:rPr>
        <w:t xml:space="preserve"> </w:t>
      </w:r>
      <w:r w:rsidRPr="00602F08">
        <w:t>such as “age, gender, mental and physical health and condition, any facilities or sources of support</w:t>
      </w:r>
      <w:r w:rsidRPr="00602F08">
        <w:rPr>
          <w:spacing w:val="-8"/>
        </w:rPr>
        <w:t xml:space="preserve"> </w:t>
      </w:r>
      <w:r w:rsidRPr="00602F08">
        <w:t>available</w:t>
      </w:r>
      <w:r w:rsidRPr="00602F08">
        <w:rPr>
          <w:spacing w:val="-8"/>
        </w:rPr>
        <w:t xml:space="preserve"> </w:t>
      </w:r>
      <w:r w:rsidRPr="00602F08">
        <w:t>to</w:t>
      </w:r>
      <w:r w:rsidRPr="00602F08">
        <w:rPr>
          <w:spacing w:val="-7"/>
        </w:rPr>
        <w:t xml:space="preserve"> </w:t>
      </w:r>
      <w:r w:rsidRPr="00602F08">
        <w:t>the</w:t>
      </w:r>
      <w:r w:rsidRPr="00602F08">
        <w:rPr>
          <w:spacing w:val="-8"/>
        </w:rPr>
        <w:t xml:space="preserve"> </w:t>
      </w:r>
      <w:r w:rsidRPr="00602F08">
        <w:t>applicant,</w:t>
      </w:r>
      <w:r w:rsidRPr="00602F08">
        <w:rPr>
          <w:spacing w:val="-7"/>
        </w:rPr>
        <w:t xml:space="preserve"> </w:t>
      </w:r>
      <w:r w:rsidRPr="00602F08">
        <w:t>the</w:t>
      </w:r>
      <w:r w:rsidRPr="00602F08">
        <w:rPr>
          <w:spacing w:val="-8"/>
        </w:rPr>
        <w:t xml:space="preserve"> </w:t>
      </w:r>
      <w:r w:rsidRPr="00602F08">
        <w:t>weather</w:t>
      </w:r>
      <w:r w:rsidRPr="00602F08">
        <w:rPr>
          <w:spacing w:val="-7"/>
        </w:rPr>
        <w:t xml:space="preserve"> </w:t>
      </w:r>
      <w:r w:rsidRPr="00602F08">
        <w:t>and</w:t>
      </w:r>
      <w:r w:rsidRPr="00602F08">
        <w:rPr>
          <w:spacing w:val="-8"/>
        </w:rPr>
        <w:t xml:space="preserve"> </w:t>
      </w:r>
      <w:r w:rsidRPr="00602F08">
        <w:t>time</w:t>
      </w:r>
      <w:r w:rsidRPr="00602F08">
        <w:rPr>
          <w:spacing w:val="-7"/>
        </w:rPr>
        <w:t xml:space="preserve"> </w:t>
      </w:r>
      <w:r w:rsidRPr="00602F08">
        <w:t>of</w:t>
      </w:r>
      <w:r w:rsidRPr="00602F08">
        <w:rPr>
          <w:spacing w:val="-8"/>
        </w:rPr>
        <w:t xml:space="preserve"> </w:t>
      </w:r>
      <w:r w:rsidRPr="00602F08">
        <w:t>year</w:t>
      </w:r>
      <w:r w:rsidRPr="00602F08">
        <w:rPr>
          <w:spacing w:val="-7"/>
        </w:rPr>
        <w:t xml:space="preserve"> </w:t>
      </w:r>
      <w:r w:rsidRPr="00602F08">
        <w:t>and</w:t>
      </w:r>
      <w:r w:rsidRPr="00602F08">
        <w:rPr>
          <w:spacing w:val="-8"/>
        </w:rPr>
        <w:t xml:space="preserve"> </w:t>
      </w:r>
      <w:r w:rsidRPr="00602F08">
        <w:t>the</w:t>
      </w:r>
      <w:r w:rsidRPr="00602F08">
        <w:rPr>
          <w:spacing w:val="-7"/>
        </w:rPr>
        <w:t xml:space="preserve"> </w:t>
      </w:r>
      <w:r w:rsidRPr="00602F08">
        <w:t>period</w:t>
      </w:r>
      <w:r w:rsidRPr="00602F08">
        <w:rPr>
          <w:spacing w:val="-8"/>
        </w:rPr>
        <w:t xml:space="preserve"> </w:t>
      </w:r>
      <w:r w:rsidRPr="00602F08">
        <w:t>for</w:t>
      </w:r>
      <w:r w:rsidRPr="00602F08">
        <w:rPr>
          <w:spacing w:val="-7"/>
        </w:rPr>
        <w:t xml:space="preserve"> </w:t>
      </w:r>
      <w:r w:rsidRPr="00602F08">
        <w:t>which the applicant has already suffered or is likely to continue to suffer</w:t>
      </w:r>
      <w:r w:rsidRPr="00602F08">
        <w:rPr>
          <w:spacing w:val="-8"/>
        </w:rPr>
        <w:t xml:space="preserve"> </w:t>
      </w:r>
      <w:r w:rsidRPr="00602F08">
        <w:t>privation.”</w:t>
      </w:r>
    </w:p>
    <w:p w14:paraId="505CF440" w14:textId="77777777" w:rsidR="002B1C9D" w:rsidRPr="00602F08" w:rsidRDefault="002B1C9D" w:rsidP="00B6212D">
      <w:pPr>
        <w:widowControl w:val="0"/>
        <w:tabs>
          <w:tab w:val="left" w:pos="688"/>
        </w:tabs>
        <w:autoSpaceDE w:val="0"/>
        <w:autoSpaceDN w:val="0"/>
        <w:jc w:val="both"/>
      </w:pPr>
    </w:p>
    <w:p w14:paraId="6CD924DF" w14:textId="77777777" w:rsidR="002B1C9D" w:rsidRPr="00602F08" w:rsidRDefault="002B1C9D" w:rsidP="00B6212D">
      <w:pPr>
        <w:pStyle w:val="ListParagraph"/>
        <w:widowControl w:val="0"/>
        <w:numPr>
          <w:ilvl w:val="0"/>
          <w:numId w:val="10"/>
        </w:numPr>
        <w:tabs>
          <w:tab w:val="left" w:pos="687"/>
          <w:tab w:val="left" w:pos="688"/>
        </w:tabs>
        <w:autoSpaceDE w:val="0"/>
        <w:autoSpaceDN w:val="0"/>
        <w:contextualSpacing w:val="0"/>
        <w:jc w:val="both"/>
        <w:rPr>
          <w:rFonts w:ascii="Times New Roman" w:hAnsi="Times New Roman"/>
        </w:rPr>
      </w:pPr>
      <w:r w:rsidRPr="00602F08">
        <w:rPr>
          <w:rFonts w:ascii="Times New Roman" w:hAnsi="Times New Roman"/>
        </w:rPr>
        <w:t>Lord Hope explained, at [44] and [62]:</w:t>
      </w:r>
    </w:p>
    <w:p w14:paraId="61686FB4" w14:textId="77777777" w:rsidR="002B1C9D" w:rsidRPr="00602F08" w:rsidRDefault="002B1C9D" w:rsidP="00B6212D">
      <w:pPr>
        <w:ind w:left="1538"/>
        <w:jc w:val="both"/>
      </w:pPr>
    </w:p>
    <w:p w14:paraId="7E922D6B" w14:textId="77777777" w:rsidR="002B1C9D" w:rsidRPr="00602F08" w:rsidRDefault="002B1C9D" w:rsidP="00B6212D">
      <w:pPr>
        <w:ind w:left="1538"/>
        <w:jc w:val="both"/>
      </w:pPr>
      <w:r w:rsidRPr="00602F08">
        <w:t>“The purpose of section 55(5)(a) […] is to enable the Secretary of State to exercise</w:t>
      </w:r>
      <w:r w:rsidRPr="00602F08">
        <w:rPr>
          <w:spacing w:val="-8"/>
        </w:rPr>
        <w:t xml:space="preserve"> </w:t>
      </w:r>
      <w:r w:rsidRPr="00602F08">
        <w:t>his</w:t>
      </w:r>
      <w:r w:rsidRPr="00602F08">
        <w:rPr>
          <w:spacing w:val="-7"/>
        </w:rPr>
        <w:t xml:space="preserve"> </w:t>
      </w:r>
      <w:r w:rsidRPr="00602F08">
        <w:t>powers</w:t>
      </w:r>
      <w:r w:rsidRPr="00602F08">
        <w:rPr>
          <w:spacing w:val="-8"/>
        </w:rPr>
        <w:t xml:space="preserve"> </w:t>
      </w:r>
      <w:r w:rsidRPr="00602F08">
        <w:t>to</w:t>
      </w:r>
      <w:r w:rsidRPr="00602F08">
        <w:rPr>
          <w:spacing w:val="-7"/>
        </w:rPr>
        <w:t xml:space="preserve"> </w:t>
      </w:r>
      <w:r w:rsidRPr="00602F08">
        <w:t>provide</w:t>
      </w:r>
      <w:r w:rsidRPr="00602F08">
        <w:rPr>
          <w:spacing w:val="-7"/>
        </w:rPr>
        <w:t xml:space="preserve"> </w:t>
      </w:r>
      <w:r w:rsidRPr="00602F08">
        <w:t>support</w:t>
      </w:r>
      <w:r w:rsidRPr="00602F08">
        <w:rPr>
          <w:spacing w:val="-7"/>
        </w:rPr>
        <w:t xml:space="preserve"> </w:t>
      </w:r>
      <w:r w:rsidRPr="00602F08">
        <w:t>[…]</w:t>
      </w:r>
      <w:r w:rsidRPr="00602F08">
        <w:rPr>
          <w:spacing w:val="-7"/>
        </w:rPr>
        <w:t xml:space="preserve"> </w:t>
      </w:r>
      <w:r w:rsidRPr="00602F08">
        <w:t>and</w:t>
      </w:r>
      <w:r w:rsidRPr="00602F08">
        <w:rPr>
          <w:spacing w:val="-8"/>
        </w:rPr>
        <w:t xml:space="preserve"> </w:t>
      </w:r>
      <w:r w:rsidRPr="00602F08">
        <w:t>accommodation</w:t>
      </w:r>
      <w:r w:rsidRPr="00602F08">
        <w:rPr>
          <w:spacing w:val="-7"/>
        </w:rPr>
        <w:t xml:space="preserve"> </w:t>
      </w:r>
      <w:r w:rsidRPr="00602F08">
        <w:t>[…]</w:t>
      </w:r>
      <w:r w:rsidRPr="00602F08">
        <w:rPr>
          <w:spacing w:val="-7"/>
        </w:rPr>
        <w:t xml:space="preserve"> </w:t>
      </w:r>
      <w:r w:rsidRPr="00602F08">
        <w:t>before</w:t>
      </w:r>
      <w:r w:rsidRPr="00602F08">
        <w:rPr>
          <w:spacing w:val="-7"/>
        </w:rPr>
        <w:t xml:space="preserve"> </w:t>
      </w:r>
      <w:r w:rsidRPr="00602F08">
        <w:t>the ultimate</w:t>
      </w:r>
      <w:r w:rsidRPr="00602F08">
        <w:rPr>
          <w:spacing w:val="-6"/>
        </w:rPr>
        <w:t xml:space="preserve"> </w:t>
      </w:r>
      <w:r w:rsidRPr="00602F08">
        <w:t>state</w:t>
      </w:r>
      <w:r w:rsidRPr="00602F08">
        <w:rPr>
          <w:spacing w:val="-6"/>
        </w:rPr>
        <w:t xml:space="preserve"> </w:t>
      </w:r>
      <w:r w:rsidRPr="00602F08">
        <w:t>of</w:t>
      </w:r>
      <w:r w:rsidRPr="00602F08">
        <w:rPr>
          <w:spacing w:val="-6"/>
        </w:rPr>
        <w:t xml:space="preserve"> </w:t>
      </w:r>
      <w:r w:rsidRPr="00602F08">
        <w:t>inhuman</w:t>
      </w:r>
      <w:r w:rsidRPr="00602F08">
        <w:rPr>
          <w:spacing w:val="-5"/>
        </w:rPr>
        <w:t xml:space="preserve"> </w:t>
      </w:r>
      <w:r w:rsidRPr="00602F08">
        <w:t>or</w:t>
      </w:r>
      <w:r w:rsidRPr="00602F08">
        <w:rPr>
          <w:spacing w:val="-5"/>
        </w:rPr>
        <w:t xml:space="preserve"> </w:t>
      </w:r>
      <w:r w:rsidRPr="00602F08">
        <w:t>degrading</w:t>
      </w:r>
      <w:r w:rsidRPr="00602F08">
        <w:rPr>
          <w:spacing w:val="-6"/>
        </w:rPr>
        <w:t xml:space="preserve"> </w:t>
      </w:r>
      <w:r w:rsidRPr="00602F08">
        <w:t>treatment</w:t>
      </w:r>
      <w:r w:rsidRPr="00602F08">
        <w:rPr>
          <w:spacing w:val="-6"/>
        </w:rPr>
        <w:t xml:space="preserve"> </w:t>
      </w:r>
      <w:r w:rsidRPr="00602F08">
        <w:t>is</w:t>
      </w:r>
      <w:r w:rsidRPr="00602F08">
        <w:rPr>
          <w:spacing w:val="-5"/>
        </w:rPr>
        <w:t xml:space="preserve"> </w:t>
      </w:r>
      <w:r w:rsidRPr="00602F08">
        <w:t>reached.</w:t>
      </w:r>
      <w:r w:rsidRPr="00602F08">
        <w:rPr>
          <w:spacing w:val="-6"/>
        </w:rPr>
        <w:t xml:space="preserve"> </w:t>
      </w:r>
      <w:r w:rsidRPr="00602F08">
        <w:t>Once</w:t>
      </w:r>
      <w:r w:rsidRPr="00602F08">
        <w:rPr>
          <w:spacing w:val="-6"/>
        </w:rPr>
        <w:t xml:space="preserve"> </w:t>
      </w:r>
      <w:r w:rsidRPr="00602F08">
        <w:t>that</w:t>
      </w:r>
      <w:r w:rsidRPr="00602F08">
        <w:rPr>
          <w:spacing w:val="-6"/>
        </w:rPr>
        <w:t xml:space="preserve"> </w:t>
      </w:r>
      <w:r w:rsidRPr="00602F08">
        <w:t>stage</w:t>
      </w:r>
      <w:r w:rsidRPr="00602F08">
        <w:rPr>
          <w:spacing w:val="-5"/>
        </w:rPr>
        <w:t xml:space="preserve"> </w:t>
      </w:r>
      <w:r w:rsidRPr="00602F08">
        <w:t>is reached the Secretary of State will be at risk of being held to have acted in a way that is incompatible with the asylum-seeker’s Convention rights, contrary to section 6(1) of the 1998 Act, with all the consequences that this gives rise</w:t>
      </w:r>
      <w:r w:rsidRPr="00602F08">
        <w:rPr>
          <w:spacing w:val="-39"/>
        </w:rPr>
        <w:t xml:space="preserve"> </w:t>
      </w:r>
      <w:r w:rsidRPr="00602F08">
        <w:t>to: see sections 7(1) and 8(1) of that Act. Section 55(5)(a) enables the Secretary</w:t>
      </w:r>
      <w:r w:rsidRPr="00602F08">
        <w:rPr>
          <w:spacing w:val="-10"/>
        </w:rPr>
        <w:t xml:space="preserve"> </w:t>
      </w:r>
      <w:r w:rsidRPr="00602F08">
        <w:t>of State to step in before this happens so that he can, as the subsection puts it, “avoid” being in breach.”</w:t>
      </w:r>
    </w:p>
    <w:p w14:paraId="48E56AB1" w14:textId="77777777" w:rsidR="002B1C9D" w:rsidRPr="00602F08" w:rsidRDefault="002B1C9D" w:rsidP="00B6212D">
      <w:pPr>
        <w:pStyle w:val="BodyText"/>
        <w:spacing w:before="2"/>
        <w:jc w:val="both"/>
      </w:pPr>
    </w:p>
    <w:p w14:paraId="243AD5DB" w14:textId="3020588B" w:rsidR="002B1C9D" w:rsidRPr="00602F08" w:rsidRDefault="002B1C9D" w:rsidP="00B6212D">
      <w:pPr>
        <w:spacing w:before="90"/>
        <w:ind w:left="1538"/>
        <w:jc w:val="both"/>
      </w:pPr>
      <w:r w:rsidRPr="00602F08">
        <w:lastRenderedPageBreak/>
        <w:t>“It</w:t>
      </w:r>
      <w:r w:rsidRPr="00602F08">
        <w:rPr>
          <w:spacing w:val="-4"/>
        </w:rPr>
        <w:t xml:space="preserve"> </w:t>
      </w:r>
      <w:r w:rsidRPr="00602F08">
        <w:t>may</w:t>
      </w:r>
      <w:r w:rsidRPr="00602F08">
        <w:rPr>
          <w:spacing w:val="-3"/>
        </w:rPr>
        <w:t xml:space="preserve"> </w:t>
      </w:r>
      <w:r w:rsidRPr="00602F08">
        <w:t>be</w:t>
      </w:r>
      <w:r w:rsidRPr="00602F08">
        <w:rPr>
          <w:spacing w:val="-3"/>
        </w:rPr>
        <w:t xml:space="preserve"> </w:t>
      </w:r>
      <w:r w:rsidRPr="00602F08">
        <w:t>[…]</w:t>
      </w:r>
      <w:r w:rsidRPr="00602F08">
        <w:rPr>
          <w:spacing w:val="-3"/>
        </w:rPr>
        <w:t xml:space="preserve"> </w:t>
      </w:r>
      <w:r w:rsidRPr="00602F08">
        <w:t>that</w:t>
      </w:r>
      <w:r w:rsidRPr="00602F08">
        <w:rPr>
          <w:spacing w:val="-3"/>
        </w:rPr>
        <w:t xml:space="preserve"> </w:t>
      </w:r>
      <w:r w:rsidRPr="00602F08">
        <w:t>the</w:t>
      </w:r>
      <w:r w:rsidRPr="00602F08">
        <w:rPr>
          <w:spacing w:val="-3"/>
        </w:rPr>
        <w:t xml:space="preserve"> </w:t>
      </w:r>
      <w:r w:rsidRPr="00602F08">
        <w:t>degree</w:t>
      </w:r>
      <w:r w:rsidRPr="00602F08">
        <w:rPr>
          <w:spacing w:val="-3"/>
        </w:rPr>
        <w:t xml:space="preserve"> </w:t>
      </w:r>
      <w:r w:rsidRPr="00602F08">
        <w:t>of</w:t>
      </w:r>
      <w:r w:rsidRPr="00602F08">
        <w:rPr>
          <w:spacing w:val="-3"/>
        </w:rPr>
        <w:t xml:space="preserve"> </w:t>
      </w:r>
      <w:r w:rsidRPr="00602F08">
        <w:t>severity</w:t>
      </w:r>
      <w:r w:rsidRPr="00602F08">
        <w:rPr>
          <w:spacing w:val="-3"/>
        </w:rPr>
        <w:t xml:space="preserve"> </w:t>
      </w:r>
      <w:r w:rsidRPr="00602F08">
        <w:t>which</w:t>
      </w:r>
      <w:r w:rsidRPr="00602F08">
        <w:rPr>
          <w:spacing w:val="-3"/>
        </w:rPr>
        <w:t xml:space="preserve"> </w:t>
      </w:r>
      <w:r w:rsidRPr="00602F08">
        <w:t>amounts</w:t>
      </w:r>
      <w:r w:rsidRPr="00602F08">
        <w:rPr>
          <w:spacing w:val="-3"/>
        </w:rPr>
        <w:t xml:space="preserve"> </w:t>
      </w:r>
      <w:r w:rsidRPr="00602F08">
        <w:t>to</w:t>
      </w:r>
      <w:r w:rsidRPr="00602F08">
        <w:rPr>
          <w:spacing w:val="-3"/>
        </w:rPr>
        <w:t xml:space="preserve"> </w:t>
      </w:r>
      <w:r w:rsidRPr="00602F08">
        <w:t>a</w:t>
      </w:r>
      <w:r w:rsidRPr="00602F08">
        <w:rPr>
          <w:spacing w:val="-3"/>
        </w:rPr>
        <w:t xml:space="preserve"> </w:t>
      </w:r>
      <w:r w:rsidRPr="00602F08">
        <w:t>breach</w:t>
      </w:r>
      <w:r w:rsidRPr="00602F08">
        <w:rPr>
          <w:spacing w:val="-3"/>
        </w:rPr>
        <w:t xml:space="preserve"> </w:t>
      </w:r>
      <w:r w:rsidRPr="00602F08">
        <w:t>of</w:t>
      </w:r>
      <w:r w:rsidRPr="00602F08">
        <w:rPr>
          <w:spacing w:val="-3"/>
        </w:rPr>
        <w:t xml:space="preserve"> </w:t>
      </w:r>
      <w:r w:rsidRPr="00602F08">
        <w:t>article 3 has already been reached by the time the condition of the asylum-seeker has been</w:t>
      </w:r>
      <w:r w:rsidRPr="00602F08">
        <w:rPr>
          <w:spacing w:val="-7"/>
        </w:rPr>
        <w:t xml:space="preserve"> </w:t>
      </w:r>
      <w:r w:rsidRPr="00602F08">
        <w:t>drawn</w:t>
      </w:r>
      <w:r w:rsidRPr="00602F08">
        <w:rPr>
          <w:spacing w:val="-6"/>
        </w:rPr>
        <w:t xml:space="preserve"> </w:t>
      </w:r>
      <w:r w:rsidRPr="00602F08">
        <w:t>to</w:t>
      </w:r>
      <w:r w:rsidRPr="00602F08">
        <w:rPr>
          <w:spacing w:val="-7"/>
        </w:rPr>
        <w:t xml:space="preserve"> </w:t>
      </w:r>
      <w:r w:rsidRPr="00602F08">
        <w:t>[the</w:t>
      </w:r>
      <w:r w:rsidRPr="00602F08">
        <w:rPr>
          <w:spacing w:val="-6"/>
        </w:rPr>
        <w:t xml:space="preserve"> </w:t>
      </w:r>
      <w:r w:rsidRPr="00602F08">
        <w:t>Secretary</w:t>
      </w:r>
      <w:r w:rsidRPr="00602F08">
        <w:rPr>
          <w:spacing w:val="-7"/>
        </w:rPr>
        <w:t xml:space="preserve"> </w:t>
      </w:r>
      <w:r w:rsidRPr="00602F08">
        <w:t>of</w:t>
      </w:r>
      <w:r w:rsidRPr="00602F08">
        <w:rPr>
          <w:spacing w:val="-6"/>
        </w:rPr>
        <w:t xml:space="preserve"> </w:t>
      </w:r>
      <w:r w:rsidRPr="00602F08">
        <w:t>State’s]</w:t>
      </w:r>
      <w:r w:rsidRPr="00602F08">
        <w:rPr>
          <w:spacing w:val="-6"/>
        </w:rPr>
        <w:t xml:space="preserve"> </w:t>
      </w:r>
      <w:r w:rsidRPr="00602F08">
        <w:t>attention.</w:t>
      </w:r>
      <w:r w:rsidRPr="00602F08">
        <w:rPr>
          <w:spacing w:val="-7"/>
        </w:rPr>
        <w:t xml:space="preserve"> </w:t>
      </w:r>
      <w:r w:rsidRPr="00602F08">
        <w:t>But</w:t>
      </w:r>
      <w:r w:rsidRPr="00602F08">
        <w:rPr>
          <w:spacing w:val="-6"/>
        </w:rPr>
        <w:t xml:space="preserve"> </w:t>
      </w:r>
      <w:r w:rsidRPr="00602F08">
        <w:t>it</w:t>
      </w:r>
      <w:r w:rsidRPr="00602F08">
        <w:rPr>
          <w:spacing w:val="-6"/>
        </w:rPr>
        <w:t xml:space="preserve"> </w:t>
      </w:r>
      <w:r w:rsidRPr="00602F08">
        <w:t>is</w:t>
      </w:r>
      <w:r w:rsidRPr="00602F08">
        <w:rPr>
          <w:spacing w:val="-7"/>
        </w:rPr>
        <w:t xml:space="preserve"> </w:t>
      </w:r>
      <w:r w:rsidRPr="00602F08">
        <w:t>not</w:t>
      </w:r>
      <w:r w:rsidRPr="00602F08">
        <w:rPr>
          <w:spacing w:val="-6"/>
        </w:rPr>
        <w:t xml:space="preserve"> </w:t>
      </w:r>
      <w:r w:rsidRPr="00602F08">
        <w:t>necessary</w:t>
      </w:r>
      <w:r w:rsidRPr="00602F08">
        <w:rPr>
          <w:spacing w:val="-6"/>
        </w:rPr>
        <w:t xml:space="preserve"> </w:t>
      </w:r>
      <w:r w:rsidRPr="00602F08">
        <w:t>for the condition to have reached that stage before the power in section 55(5)(a) is capable</w:t>
      </w:r>
      <w:r w:rsidRPr="00602F08">
        <w:rPr>
          <w:spacing w:val="-14"/>
        </w:rPr>
        <w:t xml:space="preserve"> </w:t>
      </w:r>
      <w:r w:rsidRPr="00602F08">
        <w:t>of</w:t>
      </w:r>
      <w:r w:rsidRPr="00602F08">
        <w:rPr>
          <w:spacing w:val="-14"/>
        </w:rPr>
        <w:t xml:space="preserve"> </w:t>
      </w:r>
      <w:r w:rsidRPr="00602F08">
        <w:t>being</w:t>
      </w:r>
      <w:r w:rsidRPr="00602F08">
        <w:rPr>
          <w:spacing w:val="-14"/>
        </w:rPr>
        <w:t xml:space="preserve"> </w:t>
      </w:r>
      <w:r w:rsidRPr="00602F08">
        <w:t>exercised.</w:t>
      </w:r>
      <w:r w:rsidRPr="00602F08">
        <w:rPr>
          <w:spacing w:val="-13"/>
        </w:rPr>
        <w:t xml:space="preserve"> </w:t>
      </w:r>
      <w:r w:rsidRPr="00602F08">
        <w:t>It</w:t>
      </w:r>
      <w:r w:rsidRPr="00602F08">
        <w:rPr>
          <w:spacing w:val="-14"/>
        </w:rPr>
        <w:t xml:space="preserve"> </w:t>
      </w:r>
      <w:r w:rsidRPr="00602F08">
        <w:t>is</w:t>
      </w:r>
      <w:r w:rsidRPr="00602F08">
        <w:rPr>
          <w:spacing w:val="-14"/>
        </w:rPr>
        <w:t xml:space="preserve"> </w:t>
      </w:r>
      <w:r w:rsidRPr="00602F08">
        <w:t>not</w:t>
      </w:r>
      <w:r w:rsidRPr="00602F08">
        <w:rPr>
          <w:spacing w:val="-13"/>
        </w:rPr>
        <w:t xml:space="preserve"> </w:t>
      </w:r>
      <w:r w:rsidRPr="00602F08">
        <w:t>just</w:t>
      </w:r>
      <w:r w:rsidRPr="00602F08">
        <w:rPr>
          <w:spacing w:val="-14"/>
        </w:rPr>
        <w:t xml:space="preserve"> </w:t>
      </w:r>
      <w:r w:rsidRPr="00602F08">
        <w:t>a</w:t>
      </w:r>
      <w:r w:rsidRPr="00602F08">
        <w:rPr>
          <w:spacing w:val="-14"/>
        </w:rPr>
        <w:t xml:space="preserve"> </w:t>
      </w:r>
      <w:r w:rsidRPr="00602F08">
        <w:t>question</w:t>
      </w:r>
      <w:r w:rsidRPr="00602F08">
        <w:rPr>
          <w:spacing w:val="-14"/>
        </w:rPr>
        <w:t xml:space="preserve"> </w:t>
      </w:r>
      <w:r w:rsidRPr="00602F08">
        <w:t>of</w:t>
      </w:r>
      <w:r w:rsidRPr="00602F08">
        <w:rPr>
          <w:spacing w:val="-13"/>
        </w:rPr>
        <w:t xml:space="preserve"> </w:t>
      </w:r>
      <w:r w:rsidRPr="00602F08">
        <w:t>“wait</w:t>
      </w:r>
      <w:r w:rsidRPr="00602F08">
        <w:rPr>
          <w:spacing w:val="-14"/>
        </w:rPr>
        <w:t xml:space="preserve"> </w:t>
      </w:r>
      <w:r w:rsidRPr="00602F08">
        <w:t>and</w:t>
      </w:r>
      <w:r w:rsidRPr="00602F08">
        <w:rPr>
          <w:spacing w:val="-14"/>
        </w:rPr>
        <w:t xml:space="preserve"> </w:t>
      </w:r>
      <w:r w:rsidRPr="00602F08">
        <w:t>see”.</w:t>
      </w:r>
      <w:r w:rsidRPr="00602F08">
        <w:rPr>
          <w:spacing w:val="-13"/>
        </w:rPr>
        <w:t xml:space="preserve"> </w:t>
      </w:r>
      <w:r w:rsidRPr="00602F08">
        <w:t>The</w:t>
      </w:r>
      <w:r w:rsidRPr="00602F08">
        <w:rPr>
          <w:spacing w:val="-14"/>
        </w:rPr>
        <w:t xml:space="preserve"> </w:t>
      </w:r>
      <w:r w:rsidRPr="00602F08">
        <w:t>power has been given to enable the Secretary of State to avoid the breach. A state of destitution that qualifies the asylum-seeker for support under section 95 of the 1999 Act will not be enough. But as soon as the asylum-seeker makes it clear that</w:t>
      </w:r>
      <w:r w:rsidRPr="00602F08">
        <w:rPr>
          <w:spacing w:val="-13"/>
        </w:rPr>
        <w:t xml:space="preserve"> </w:t>
      </w:r>
      <w:r w:rsidRPr="00602F08">
        <w:t>there</w:t>
      </w:r>
      <w:r w:rsidRPr="00602F08">
        <w:rPr>
          <w:spacing w:val="-12"/>
        </w:rPr>
        <w:t xml:space="preserve"> </w:t>
      </w:r>
      <w:r w:rsidRPr="00602F08">
        <w:t>is</w:t>
      </w:r>
      <w:r w:rsidRPr="00602F08">
        <w:rPr>
          <w:spacing w:val="-13"/>
        </w:rPr>
        <w:t xml:space="preserve"> </w:t>
      </w:r>
      <w:r w:rsidRPr="00602F08">
        <w:t>an</w:t>
      </w:r>
      <w:r w:rsidRPr="00602F08">
        <w:rPr>
          <w:spacing w:val="-12"/>
        </w:rPr>
        <w:t xml:space="preserve"> </w:t>
      </w:r>
      <w:r w:rsidRPr="00602F08">
        <w:t>imminent</w:t>
      </w:r>
      <w:r w:rsidRPr="00602F08">
        <w:rPr>
          <w:spacing w:val="-12"/>
        </w:rPr>
        <w:t xml:space="preserve"> </w:t>
      </w:r>
      <w:r w:rsidRPr="00602F08">
        <w:t>prospect</w:t>
      </w:r>
      <w:r w:rsidRPr="00602F08">
        <w:rPr>
          <w:spacing w:val="-13"/>
        </w:rPr>
        <w:t xml:space="preserve"> </w:t>
      </w:r>
      <w:r w:rsidRPr="00602F08">
        <w:t>that</w:t>
      </w:r>
      <w:r w:rsidRPr="00602F08">
        <w:rPr>
          <w:spacing w:val="-12"/>
        </w:rPr>
        <w:t xml:space="preserve"> </w:t>
      </w:r>
      <w:r w:rsidRPr="00602F08">
        <w:t>a</w:t>
      </w:r>
      <w:r w:rsidRPr="00602F08">
        <w:rPr>
          <w:spacing w:val="-12"/>
        </w:rPr>
        <w:t xml:space="preserve"> </w:t>
      </w:r>
      <w:r w:rsidRPr="00602F08">
        <w:t>breach</w:t>
      </w:r>
      <w:r w:rsidRPr="00602F08">
        <w:rPr>
          <w:spacing w:val="-13"/>
        </w:rPr>
        <w:t xml:space="preserve"> </w:t>
      </w:r>
      <w:r w:rsidRPr="00602F08">
        <w:t>of</w:t>
      </w:r>
      <w:r w:rsidRPr="00602F08">
        <w:rPr>
          <w:spacing w:val="-12"/>
        </w:rPr>
        <w:t xml:space="preserve"> </w:t>
      </w:r>
      <w:r w:rsidRPr="00602F08">
        <w:t>the</w:t>
      </w:r>
      <w:r w:rsidRPr="00602F08">
        <w:rPr>
          <w:spacing w:val="-12"/>
        </w:rPr>
        <w:t xml:space="preserve"> </w:t>
      </w:r>
      <w:r w:rsidRPr="00602F08">
        <w:t>article</w:t>
      </w:r>
      <w:r w:rsidRPr="00602F08">
        <w:rPr>
          <w:spacing w:val="-13"/>
        </w:rPr>
        <w:t xml:space="preserve"> </w:t>
      </w:r>
      <w:r w:rsidRPr="00602F08">
        <w:t>will</w:t>
      </w:r>
      <w:r w:rsidRPr="00602F08">
        <w:rPr>
          <w:spacing w:val="-12"/>
        </w:rPr>
        <w:t xml:space="preserve"> </w:t>
      </w:r>
      <w:r w:rsidRPr="00602F08">
        <w:t>occur</w:t>
      </w:r>
      <w:r w:rsidRPr="00602F08">
        <w:rPr>
          <w:spacing w:val="-12"/>
        </w:rPr>
        <w:t xml:space="preserve"> </w:t>
      </w:r>
      <w:r w:rsidRPr="00602F08">
        <w:t>because the conditions which he or she is having to endure are on the verge of</w:t>
      </w:r>
      <w:r w:rsidRPr="00602F08">
        <w:rPr>
          <w:spacing w:val="-22"/>
        </w:rPr>
        <w:t xml:space="preserve"> </w:t>
      </w:r>
      <w:r w:rsidRPr="00602F08">
        <w:t>reaching the necessary degree of severity the Secretary of State has the power under section</w:t>
      </w:r>
      <w:r w:rsidRPr="00602F08">
        <w:rPr>
          <w:spacing w:val="-9"/>
        </w:rPr>
        <w:t xml:space="preserve"> </w:t>
      </w:r>
      <w:r w:rsidRPr="00602F08">
        <w:t>55(5)(a),</w:t>
      </w:r>
      <w:r w:rsidRPr="00602F08">
        <w:rPr>
          <w:spacing w:val="-7"/>
        </w:rPr>
        <w:t xml:space="preserve"> </w:t>
      </w:r>
      <w:r w:rsidRPr="00602F08">
        <w:t>and</w:t>
      </w:r>
      <w:r w:rsidRPr="00602F08">
        <w:rPr>
          <w:spacing w:val="-7"/>
        </w:rPr>
        <w:t xml:space="preserve"> </w:t>
      </w:r>
      <w:r w:rsidRPr="00602F08">
        <w:t>the</w:t>
      </w:r>
      <w:r w:rsidRPr="00602F08">
        <w:rPr>
          <w:spacing w:val="-7"/>
        </w:rPr>
        <w:t xml:space="preserve"> </w:t>
      </w:r>
      <w:r w:rsidRPr="00602F08">
        <w:t>duty</w:t>
      </w:r>
      <w:r w:rsidRPr="00602F08">
        <w:rPr>
          <w:spacing w:val="-7"/>
        </w:rPr>
        <w:t xml:space="preserve"> </w:t>
      </w:r>
      <w:r w:rsidRPr="00602F08">
        <w:t>under</w:t>
      </w:r>
      <w:r w:rsidRPr="00602F08">
        <w:rPr>
          <w:spacing w:val="-8"/>
        </w:rPr>
        <w:t xml:space="preserve"> </w:t>
      </w:r>
      <w:r w:rsidRPr="00602F08">
        <w:t>section</w:t>
      </w:r>
      <w:r w:rsidRPr="00602F08">
        <w:rPr>
          <w:spacing w:val="-7"/>
        </w:rPr>
        <w:t xml:space="preserve"> </w:t>
      </w:r>
      <w:r w:rsidRPr="00602F08">
        <w:t>6(1)</w:t>
      </w:r>
      <w:r w:rsidRPr="00602F08">
        <w:rPr>
          <w:spacing w:val="-7"/>
        </w:rPr>
        <w:t xml:space="preserve"> </w:t>
      </w:r>
      <w:r w:rsidRPr="00602F08">
        <w:t>of</w:t>
      </w:r>
      <w:r w:rsidRPr="00602F08">
        <w:rPr>
          <w:spacing w:val="-7"/>
        </w:rPr>
        <w:t xml:space="preserve"> </w:t>
      </w:r>
      <w:r w:rsidRPr="00602F08">
        <w:t>the</w:t>
      </w:r>
      <w:r w:rsidRPr="00602F08">
        <w:rPr>
          <w:spacing w:val="-7"/>
        </w:rPr>
        <w:t xml:space="preserve"> </w:t>
      </w:r>
      <w:r w:rsidRPr="00602F08">
        <w:t>Human</w:t>
      </w:r>
      <w:r w:rsidRPr="00602F08">
        <w:rPr>
          <w:spacing w:val="-8"/>
        </w:rPr>
        <w:t xml:space="preserve"> </w:t>
      </w:r>
      <w:r w:rsidRPr="00602F08">
        <w:t>Rights</w:t>
      </w:r>
      <w:r w:rsidRPr="00602F08">
        <w:rPr>
          <w:spacing w:val="-7"/>
        </w:rPr>
        <w:t xml:space="preserve"> </w:t>
      </w:r>
      <w:r w:rsidRPr="00602F08">
        <w:t>Act</w:t>
      </w:r>
      <w:r w:rsidRPr="00602F08">
        <w:rPr>
          <w:spacing w:val="-7"/>
        </w:rPr>
        <w:t xml:space="preserve"> </w:t>
      </w:r>
      <w:r w:rsidRPr="00602F08">
        <w:t>1998, to act to avoid it.”</w:t>
      </w:r>
    </w:p>
    <w:p w14:paraId="0D255922" w14:textId="77777777" w:rsidR="002B1C9D" w:rsidRPr="00602F08" w:rsidRDefault="002B1C9D" w:rsidP="00B6212D">
      <w:pPr>
        <w:pStyle w:val="ListParagraph"/>
        <w:widowControl w:val="0"/>
        <w:tabs>
          <w:tab w:val="left" w:pos="688"/>
        </w:tabs>
        <w:autoSpaceDE w:val="0"/>
        <w:autoSpaceDN w:val="0"/>
        <w:ind w:left="687"/>
        <w:contextualSpacing w:val="0"/>
        <w:jc w:val="both"/>
        <w:rPr>
          <w:rFonts w:ascii="Times New Roman" w:hAnsi="Times New Roman"/>
        </w:rPr>
      </w:pPr>
    </w:p>
    <w:p w14:paraId="105AF4AC" w14:textId="6F980C69" w:rsidR="00CA20F7" w:rsidRPr="00602F08" w:rsidRDefault="00CA20F7" w:rsidP="00B6212D">
      <w:pPr>
        <w:pStyle w:val="ListParagraph"/>
        <w:widowControl w:val="0"/>
        <w:numPr>
          <w:ilvl w:val="0"/>
          <w:numId w:val="10"/>
        </w:numPr>
        <w:tabs>
          <w:tab w:val="left" w:pos="688"/>
        </w:tabs>
        <w:autoSpaceDE w:val="0"/>
        <w:autoSpaceDN w:val="0"/>
        <w:contextualSpacing w:val="0"/>
        <w:jc w:val="both"/>
        <w:rPr>
          <w:rFonts w:ascii="Times New Roman" w:hAnsi="Times New Roman"/>
        </w:rPr>
      </w:pPr>
      <w:r w:rsidRPr="00602F08">
        <w:rPr>
          <w:rFonts w:ascii="Times New Roman" w:hAnsi="Times New Roman"/>
        </w:rPr>
        <w:t xml:space="preserve">Very recently, in </w:t>
      </w:r>
      <w:r w:rsidRPr="00602F08">
        <w:rPr>
          <w:rFonts w:ascii="Times New Roman" w:hAnsi="Times New Roman"/>
          <w:u w:val="single"/>
        </w:rPr>
        <w:t>R (W) v Secretary of State for the Home Department</w:t>
      </w:r>
      <w:r w:rsidR="00031648" w:rsidRPr="00602F08">
        <w:rPr>
          <w:rFonts w:ascii="Times New Roman" w:hAnsi="Times New Roman"/>
          <w:u w:val="single"/>
        </w:rPr>
        <w:t xml:space="preserve"> (Project 17 intervening)</w:t>
      </w:r>
      <w:r w:rsidRPr="00602F08">
        <w:rPr>
          <w:rFonts w:ascii="Times New Roman" w:hAnsi="Times New Roman"/>
        </w:rPr>
        <w:t xml:space="preserve"> [2020] </w:t>
      </w:r>
      <w:r w:rsidR="00C161A6" w:rsidRPr="00602F08">
        <w:rPr>
          <w:rFonts w:ascii="Times New Roman" w:hAnsi="Times New Roman"/>
        </w:rPr>
        <w:t xml:space="preserve">1 WLR 4420; [2020] </w:t>
      </w:r>
      <w:r w:rsidRPr="00602F08">
        <w:rPr>
          <w:rFonts w:ascii="Times New Roman" w:hAnsi="Times New Roman"/>
        </w:rPr>
        <w:t xml:space="preserve">EWHC 1299 (Admin) </w:t>
      </w:r>
      <w:r w:rsidR="00FC3689" w:rsidRPr="00602F08">
        <w:rPr>
          <w:rFonts w:ascii="Times New Roman" w:hAnsi="Times New Roman"/>
        </w:rPr>
        <w:t xml:space="preserve">at [42] </w:t>
      </w:r>
      <w:r w:rsidRPr="00602F08">
        <w:rPr>
          <w:rFonts w:ascii="Times New Roman" w:hAnsi="Times New Roman"/>
        </w:rPr>
        <w:t>the Divisional Court (Bean LJ and Chamberlain J)</w:t>
      </w:r>
      <w:r w:rsidR="009D753F" w:rsidRPr="00602F08">
        <w:rPr>
          <w:rFonts w:ascii="Times New Roman" w:hAnsi="Times New Roman"/>
        </w:rPr>
        <w:t xml:space="preserve"> </w:t>
      </w:r>
      <w:r w:rsidR="00C64B81" w:rsidRPr="00602F08">
        <w:rPr>
          <w:rFonts w:ascii="Times New Roman" w:hAnsi="Times New Roman"/>
        </w:rPr>
        <w:t xml:space="preserve">held at </w:t>
      </w:r>
      <w:r w:rsidR="00225C47" w:rsidRPr="00602F08">
        <w:rPr>
          <w:rFonts w:ascii="Times New Roman" w:hAnsi="Times New Roman"/>
        </w:rPr>
        <w:t>[42]</w:t>
      </w:r>
      <w:r w:rsidR="009D753F" w:rsidRPr="00602F08">
        <w:rPr>
          <w:rFonts w:ascii="Times New Roman" w:hAnsi="Times New Roman"/>
        </w:rPr>
        <w:t>, applying</w:t>
      </w:r>
      <w:r w:rsidRPr="00602F08">
        <w:rPr>
          <w:rFonts w:ascii="Times New Roman" w:hAnsi="Times New Roman"/>
        </w:rPr>
        <w:t xml:space="preserve"> </w:t>
      </w:r>
      <w:r w:rsidRPr="00602F08">
        <w:rPr>
          <w:rFonts w:ascii="Times New Roman" w:hAnsi="Times New Roman"/>
          <w:u w:val="single"/>
        </w:rPr>
        <w:t>Limbuela</w:t>
      </w:r>
      <w:r w:rsidRPr="00602F08">
        <w:rPr>
          <w:rFonts w:ascii="Times New Roman" w:hAnsi="Times New Roman"/>
        </w:rPr>
        <w:t>:</w:t>
      </w:r>
    </w:p>
    <w:p w14:paraId="0C692FF2" w14:textId="77777777" w:rsidR="00CA20F7" w:rsidRPr="00602F08" w:rsidRDefault="00CA20F7" w:rsidP="00B6212D">
      <w:pPr>
        <w:ind w:left="840"/>
        <w:jc w:val="both"/>
      </w:pPr>
    </w:p>
    <w:p w14:paraId="3A611900" w14:textId="6289395D" w:rsidR="00CA20F7" w:rsidRPr="00602F08" w:rsidRDefault="00CA20F7" w:rsidP="00B6212D">
      <w:pPr>
        <w:ind w:left="1536"/>
        <w:jc w:val="both"/>
      </w:pPr>
      <w:r w:rsidRPr="00602F08">
        <w:t>“…s</w:t>
      </w:r>
      <w:r w:rsidR="009D4585" w:rsidRPr="00602F08">
        <w:t xml:space="preserve">ection </w:t>
      </w:r>
      <w:r w:rsidRPr="00602F08">
        <w:t>6 of the</w:t>
      </w:r>
      <w:r w:rsidR="00FC3689" w:rsidRPr="00602F08">
        <w:t xml:space="preserve"> </w:t>
      </w:r>
      <w:r w:rsidRPr="00602F08">
        <w:t xml:space="preserve">1998 </w:t>
      </w:r>
      <w:r w:rsidR="00FC3689" w:rsidRPr="00602F08">
        <w:t xml:space="preserve">Act </w:t>
      </w:r>
      <w:r w:rsidRPr="00602F08">
        <w:t xml:space="preserve">imposes a duty to act not only when someone </w:t>
      </w:r>
      <w:r w:rsidR="00FC3689" w:rsidRPr="00602F08">
        <w:rPr>
          <w:i/>
          <w:iCs/>
        </w:rPr>
        <w:t>is</w:t>
      </w:r>
      <w:r w:rsidRPr="00602F08">
        <w:rPr>
          <w:i/>
          <w:iCs/>
        </w:rPr>
        <w:t xml:space="preserve"> </w:t>
      </w:r>
      <w:r w:rsidRPr="00602F08">
        <w:t xml:space="preserve">enduring treatment contrary to </w:t>
      </w:r>
      <w:r w:rsidR="00FC3689" w:rsidRPr="00602F08">
        <w:t>a</w:t>
      </w:r>
      <w:r w:rsidRPr="00602F08">
        <w:t>rticle 3, but also when there is an “imminent prospect” of that occurring. In the latter case, the law imposes a duty to act prospectively to avoid the breach” (original emphasis).</w:t>
      </w:r>
    </w:p>
    <w:p w14:paraId="3A08F6C8" w14:textId="77777777" w:rsidR="00CA20F7" w:rsidRPr="00602F08" w:rsidRDefault="00CA20F7" w:rsidP="00B6212D">
      <w:pPr>
        <w:pStyle w:val="BodyText"/>
        <w:spacing w:before="11"/>
        <w:jc w:val="both"/>
      </w:pPr>
    </w:p>
    <w:p w14:paraId="04F03213" w14:textId="590FE984" w:rsidR="00CA20F7" w:rsidRPr="00602F08" w:rsidRDefault="00CA20F7" w:rsidP="00B6212D">
      <w:pPr>
        <w:pStyle w:val="BodyText"/>
        <w:ind w:left="687"/>
        <w:jc w:val="both"/>
      </w:pPr>
      <w:r w:rsidRPr="00602F08">
        <w:t xml:space="preserve">The Divisional Court </w:t>
      </w:r>
      <w:r w:rsidR="00551CC5" w:rsidRPr="00602F08">
        <w:t>observed</w:t>
      </w:r>
      <w:r w:rsidR="003A4EBC" w:rsidRPr="00602F08">
        <w:t xml:space="preserve"> that </w:t>
      </w:r>
      <w:r w:rsidR="00232808" w:rsidRPr="00602F08">
        <w:t xml:space="preserve">the propositions </w:t>
      </w:r>
      <w:r w:rsidR="00225C47" w:rsidRPr="00602F08">
        <w:t xml:space="preserve">of law </w:t>
      </w:r>
      <w:r w:rsidR="001D212E" w:rsidRPr="00602F08">
        <w:t xml:space="preserve">that </w:t>
      </w:r>
      <w:r w:rsidR="00367755" w:rsidRPr="00602F08">
        <w:t>support</w:t>
      </w:r>
      <w:r w:rsidR="00B96763" w:rsidRPr="00602F08">
        <w:t xml:space="preserve"> </w:t>
      </w:r>
      <w:r w:rsidR="00551CC5" w:rsidRPr="00602F08">
        <w:t>this</w:t>
      </w:r>
      <w:r w:rsidR="00B96763" w:rsidRPr="00602F08">
        <w:t xml:space="preserve"> conclusion would also follow at common law </w:t>
      </w:r>
      <w:r w:rsidR="00A74E3E" w:rsidRPr="00602F08">
        <w:t>even in the absence of Article 3: see at [</w:t>
      </w:r>
      <w:r w:rsidR="004D3573" w:rsidRPr="00602F08">
        <w:t>60]-[</w:t>
      </w:r>
      <w:r w:rsidR="00A74E3E" w:rsidRPr="00602F08">
        <w:t>61]</w:t>
      </w:r>
      <w:r w:rsidR="007C17FD" w:rsidRPr="00602F08">
        <w:t xml:space="preserve">, and see </w:t>
      </w:r>
      <w:r w:rsidR="007C17FD" w:rsidRPr="00602F08">
        <w:rPr>
          <w:u w:val="single"/>
        </w:rPr>
        <w:t xml:space="preserve">R v </w:t>
      </w:r>
      <w:r w:rsidR="00C94AAF" w:rsidRPr="00602F08">
        <w:rPr>
          <w:u w:val="single"/>
        </w:rPr>
        <w:t>Secretary of State for Social Security</w:t>
      </w:r>
      <w:r w:rsidR="00D9117F" w:rsidRPr="00602F08">
        <w:rPr>
          <w:u w:val="single"/>
        </w:rPr>
        <w:t>, Ex p Joint Council for the Welfare of Immigrants</w:t>
      </w:r>
      <w:r w:rsidR="00D9117F" w:rsidRPr="00602F08">
        <w:t xml:space="preserve"> [1971] 1 WLR 275</w:t>
      </w:r>
      <w:r w:rsidR="00A005E0" w:rsidRPr="00602F08">
        <w:t xml:space="preserve"> at 292 per Simon Brown LJ</w:t>
      </w:r>
      <w:r w:rsidR="00105303" w:rsidRPr="00602F08">
        <w:t xml:space="preserve"> cited at [34] </w:t>
      </w:r>
      <w:r w:rsidR="006F7E9F" w:rsidRPr="00602F08">
        <w:t xml:space="preserve">in </w:t>
      </w:r>
      <w:r w:rsidR="006F7E9F" w:rsidRPr="00602F08">
        <w:rPr>
          <w:u w:val="single"/>
        </w:rPr>
        <w:t>R(W)</w:t>
      </w:r>
      <w:r w:rsidR="006F7E9F" w:rsidRPr="00602F08">
        <w:t xml:space="preserve"> </w:t>
      </w:r>
      <w:r w:rsidR="00105303" w:rsidRPr="00602F08">
        <w:t>and</w:t>
      </w:r>
      <w:r w:rsidR="006F7E9F" w:rsidRPr="00602F08">
        <w:t xml:space="preserve"> in turn</w:t>
      </w:r>
      <w:r w:rsidR="00105303" w:rsidRPr="00602F08">
        <w:t xml:space="preserve"> citing Lord Ellenborough CJ in </w:t>
      </w:r>
      <w:r w:rsidR="00105303" w:rsidRPr="00602F08">
        <w:rPr>
          <w:u w:val="single"/>
        </w:rPr>
        <w:t xml:space="preserve">R v Inhabitants of </w:t>
      </w:r>
      <w:r w:rsidR="00E83AB1" w:rsidRPr="00602F08">
        <w:rPr>
          <w:u w:val="single"/>
        </w:rPr>
        <w:t>Eastbourne</w:t>
      </w:r>
      <w:r w:rsidR="00E83AB1" w:rsidRPr="00602F08">
        <w:t xml:space="preserve"> (1803) 4 East 103 at 107</w:t>
      </w:r>
      <w:r w:rsidR="00A74E3E" w:rsidRPr="00602F08">
        <w:t>.</w:t>
      </w:r>
    </w:p>
    <w:p w14:paraId="0DBDA719" w14:textId="77777777" w:rsidR="00CA20F7" w:rsidRPr="00602F08" w:rsidRDefault="00CA20F7" w:rsidP="00B6212D">
      <w:pPr>
        <w:pStyle w:val="BodyText"/>
        <w:ind w:left="687"/>
        <w:jc w:val="both"/>
      </w:pPr>
    </w:p>
    <w:p w14:paraId="58ADD2A3" w14:textId="1E87F56E" w:rsidR="00551CC5" w:rsidRPr="00602F08" w:rsidRDefault="00A6555B" w:rsidP="00B6212D">
      <w:pPr>
        <w:numPr>
          <w:ilvl w:val="0"/>
          <w:numId w:val="10"/>
        </w:numPr>
        <w:jc w:val="both"/>
        <w:rPr>
          <w:lang w:val="en-US"/>
        </w:rPr>
      </w:pPr>
      <w:r w:rsidRPr="00602F08">
        <w:rPr>
          <w:rStyle w:val="normaltextrun"/>
          <w:lang w:val="en-US"/>
        </w:rPr>
        <w:t>I</w:t>
      </w:r>
      <w:r w:rsidR="00C14E57" w:rsidRPr="00602F08">
        <w:rPr>
          <w:rStyle w:val="normaltextrun"/>
          <w:lang w:val="en-US"/>
        </w:rPr>
        <w:t xml:space="preserve">t is </w:t>
      </w:r>
      <w:r w:rsidR="00CA20F7" w:rsidRPr="00602F08">
        <w:rPr>
          <w:rStyle w:val="normaltextrun"/>
          <w:lang w:val="en-US"/>
        </w:rPr>
        <w:t>apparent from regulation 3</w:t>
      </w:r>
      <w:r w:rsidR="00B8184E" w:rsidRPr="00602F08">
        <w:rPr>
          <w:rStyle w:val="normaltextrun"/>
          <w:lang w:val="en-US"/>
        </w:rPr>
        <w:t xml:space="preserve"> of the 2005 Regulations</w:t>
      </w:r>
      <w:r w:rsidR="00CA20F7" w:rsidRPr="00602F08">
        <w:rPr>
          <w:rStyle w:val="normaltextrun"/>
          <w:lang w:val="en-US"/>
        </w:rPr>
        <w:t xml:space="preserve">, and from </w:t>
      </w:r>
      <w:r w:rsidR="00CA20F7" w:rsidRPr="00602F08">
        <w:rPr>
          <w:rStyle w:val="normaltextrun"/>
          <w:u w:val="single"/>
          <w:lang w:val="en-US"/>
        </w:rPr>
        <w:t>Limb</w:t>
      </w:r>
      <w:r w:rsidR="0054475B" w:rsidRPr="00602F08">
        <w:rPr>
          <w:rStyle w:val="normaltextrun"/>
          <w:u w:val="single"/>
          <w:lang w:val="en-US"/>
        </w:rPr>
        <w:t>uela</w:t>
      </w:r>
      <w:r w:rsidR="00CA20F7" w:rsidRPr="00602F08">
        <w:rPr>
          <w:rStyle w:val="normaltextrun"/>
          <w:lang w:val="en-US"/>
        </w:rPr>
        <w:t>, that the fact that a person is destitute is not necessarily sufficient to engage a duty under section 4</w:t>
      </w:r>
      <w:r w:rsidR="00DE7DAA" w:rsidRPr="00602F08">
        <w:rPr>
          <w:rStyle w:val="normaltextrun"/>
          <w:lang w:val="en-US"/>
        </w:rPr>
        <w:t>(2)</w:t>
      </w:r>
      <w:r w:rsidR="00335DB8" w:rsidRPr="00602F08">
        <w:rPr>
          <w:rStyle w:val="normaltextrun"/>
          <w:lang w:val="en-US"/>
        </w:rPr>
        <w:t>, a</w:t>
      </w:r>
      <w:r w:rsidR="00DF4293" w:rsidRPr="00602F08">
        <w:rPr>
          <w:rStyle w:val="normaltextrun"/>
          <w:lang w:val="en-US"/>
        </w:rPr>
        <w:t xml:space="preserve"> point </w:t>
      </w:r>
      <w:r w:rsidR="00711E89" w:rsidRPr="00602F08">
        <w:rPr>
          <w:rStyle w:val="normaltextrun"/>
          <w:lang w:val="en-US"/>
        </w:rPr>
        <w:t xml:space="preserve">in fact </w:t>
      </w:r>
      <w:r w:rsidR="009C3CA8" w:rsidRPr="00602F08">
        <w:rPr>
          <w:rStyle w:val="normaltextrun"/>
          <w:lang w:val="en-US"/>
        </w:rPr>
        <w:t>given emphasis</w:t>
      </w:r>
      <w:r w:rsidR="00DF4293" w:rsidRPr="00602F08">
        <w:rPr>
          <w:rStyle w:val="normaltextrun"/>
          <w:lang w:val="en-US"/>
        </w:rPr>
        <w:t xml:space="preserve"> in the argument made </w:t>
      </w:r>
      <w:r w:rsidR="00711E89" w:rsidRPr="00602F08">
        <w:rPr>
          <w:rStyle w:val="normaltextrun"/>
          <w:lang w:val="en-US"/>
        </w:rPr>
        <w:t>on behalf of</w:t>
      </w:r>
      <w:r w:rsidR="00DF4293" w:rsidRPr="00602F08">
        <w:rPr>
          <w:rStyle w:val="normaltextrun"/>
          <w:lang w:val="en-US"/>
        </w:rPr>
        <w:t xml:space="preserve"> the Secretary of State</w:t>
      </w:r>
      <w:r w:rsidR="009C3CA8" w:rsidRPr="00602F08">
        <w:rPr>
          <w:rStyle w:val="normaltextrun"/>
          <w:lang w:val="en-US"/>
        </w:rPr>
        <w:t xml:space="preserve"> in these proceedings</w:t>
      </w:r>
      <w:r w:rsidR="00DF4293" w:rsidRPr="00602F08">
        <w:rPr>
          <w:rStyle w:val="normaltextrun"/>
          <w:lang w:val="en-US"/>
        </w:rPr>
        <w:t xml:space="preserve">. </w:t>
      </w:r>
      <w:r w:rsidR="00CA20F7" w:rsidRPr="00602F08">
        <w:rPr>
          <w:rStyle w:val="normaltextrun"/>
          <w:lang w:val="en-US"/>
        </w:rPr>
        <w:t xml:space="preserve">The duty will engage when </w:t>
      </w:r>
      <w:r w:rsidR="00CA20F7" w:rsidRPr="00602F08">
        <w:t xml:space="preserve">the provision of accommodation is necessary for the purpose of avoiding a breach of the Article 3 prohibition on inhuman or degrading treatment. That is to say, that “it appears on a fair and objective assessment of all relevant facts and circumstances that </w:t>
      </w:r>
      <w:r w:rsidR="00706260" w:rsidRPr="00602F08">
        <w:t>[the destitute]</w:t>
      </w:r>
      <w:r w:rsidR="00CA20F7" w:rsidRPr="00602F08">
        <w:t xml:space="preserve"> individual applicant faces an imminent prospect of serious suffering caused or materially aggravated by denial of shelter, food or the most basic necessities of life”.</w:t>
      </w:r>
      <w:r w:rsidR="003C580F" w:rsidRPr="00602F08">
        <w:t xml:space="preserve"> </w:t>
      </w:r>
    </w:p>
    <w:p w14:paraId="25B85474" w14:textId="77777777" w:rsidR="00551CC5" w:rsidRPr="00602F08" w:rsidRDefault="00551CC5" w:rsidP="00B6212D">
      <w:pPr>
        <w:ind w:left="687"/>
        <w:jc w:val="both"/>
        <w:rPr>
          <w:lang w:val="en-US"/>
        </w:rPr>
      </w:pPr>
    </w:p>
    <w:p w14:paraId="45B4CF10" w14:textId="273B8701" w:rsidR="00676BCD" w:rsidRPr="00602F08" w:rsidRDefault="00676BCD" w:rsidP="00B6212D">
      <w:pPr>
        <w:pStyle w:val="BodyText"/>
        <w:spacing w:before="11"/>
        <w:jc w:val="both"/>
        <w:rPr>
          <w:rFonts w:eastAsia="MS Mincho"/>
          <w:b/>
          <w:bCs/>
          <w:u w:val="single"/>
          <w:lang w:eastAsia="en-US" w:bidi="ar-SA"/>
        </w:rPr>
      </w:pPr>
    </w:p>
    <w:p w14:paraId="31B702A9" w14:textId="77777777" w:rsidR="002F7B90" w:rsidRPr="00602F08" w:rsidRDefault="002F7B90" w:rsidP="00B6212D">
      <w:pPr>
        <w:pStyle w:val="BodyText"/>
        <w:spacing w:before="11"/>
        <w:jc w:val="both"/>
        <w:rPr>
          <w:rFonts w:eastAsia="MS Mincho"/>
          <w:b/>
          <w:bCs/>
          <w:u w:val="single"/>
          <w:lang w:eastAsia="en-US" w:bidi="ar-SA"/>
        </w:rPr>
      </w:pPr>
    </w:p>
    <w:p w14:paraId="790B9B9C" w14:textId="7D34751E" w:rsidR="00CA20F7" w:rsidRPr="00602F08" w:rsidRDefault="00CC4AF8" w:rsidP="00B6212D">
      <w:pPr>
        <w:pStyle w:val="BodyText"/>
        <w:spacing w:before="11"/>
        <w:jc w:val="both"/>
        <w:rPr>
          <w:rStyle w:val="eop"/>
          <w:rFonts w:eastAsia="MS Mincho"/>
          <w:b/>
          <w:bCs/>
          <w:u w:val="single"/>
          <w:lang w:eastAsia="en-US" w:bidi="ar-SA"/>
        </w:rPr>
      </w:pPr>
      <w:r w:rsidRPr="00602F08">
        <w:rPr>
          <w:rFonts w:eastAsia="MS Mincho"/>
          <w:b/>
          <w:bCs/>
          <w:u w:val="single"/>
          <w:lang w:eastAsia="en-US" w:bidi="ar-SA"/>
        </w:rPr>
        <w:t>P</w:t>
      </w:r>
      <w:r w:rsidR="00CA20F7" w:rsidRPr="00602F08">
        <w:rPr>
          <w:rFonts w:eastAsia="MS Mincho"/>
          <w:b/>
          <w:bCs/>
          <w:u w:val="single"/>
          <w:lang w:eastAsia="en-US" w:bidi="ar-SA"/>
        </w:rPr>
        <w:t>olicy</w:t>
      </w:r>
    </w:p>
    <w:p w14:paraId="4D5DB7E4" w14:textId="77777777" w:rsidR="00CA20F7" w:rsidRPr="00602F08" w:rsidRDefault="00CA20F7" w:rsidP="00B6212D">
      <w:pPr>
        <w:pStyle w:val="ListParagraph"/>
        <w:widowControl w:val="0"/>
        <w:tabs>
          <w:tab w:val="left" w:pos="688"/>
        </w:tabs>
        <w:autoSpaceDE w:val="0"/>
        <w:autoSpaceDN w:val="0"/>
        <w:ind w:left="687"/>
        <w:contextualSpacing w:val="0"/>
        <w:jc w:val="both"/>
        <w:rPr>
          <w:rFonts w:ascii="Times New Roman" w:hAnsi="Times New Roman"/>
        </w:rPr>
      </w:pPr>
    </w:p>
    <w:p w14:paraId="1F64885C" w14:textId="4BA42F27" w:rsidR="00CA20F7" w:rsidRPr="00602F08" w:rsidRDefault="00CA20F7" w:rsidP="00B6212D">
      <w:pPr>
        <w:pStyle w:val="ListParagraph"/>
        <w:widowControl w:val="0"/>
        <w:numPr>
          <w:ilvl w:val="0"/>
          <w:numId w:val="10"/>
        </w:numPr>
        <w:tabs>
          <w:tab w:val="left" w:pos="688"/>
        </w:tabs>
        <w:autoSpaceDE w:val="0"/>
        <w:autoSpaceDN w:val="0"/>
        <w:ind w:hanging="567"/>
        <w:contextualSpacing w:val="0"/>
        <w:jc w:val="both"/>
        <w:rPr>
          <w:rFonts w:ascii="Times New Roman" w:hAnsi="Times New Roman"/>
        </w:rPr>
      </w:pPr>
      <w:r w:rsidRPr="00602F08">
        <w:rPr>
          <w:rFonts w:ascii="Times New Roman" w:hAnsi="Times New Roman"/>
        </w:rPr>
        <w:t>The Secretary of State has published her policy in relation to section 4</w:t>
      </w:r>
      <w:r w:rsidR="00DE7DAA" w:rsidRPr="00602F08">
        <w:rPr>
          <w:rFonts w:ascii="Times New Roman" w:hAnsi="Times New Roman"/>
        </w:rPr>
        <w:t>(2)</w:t>
      </w:r>
      <w:r w:rsidRPr="00602F08">
        <w:rPr>
          <w:rFonts w:ascii="Times New Roman" w:hAnsi="Times New Roman"/>
        </w:rPr>
        <w:t xml:space="preserve"> of the 1999 Act. This is entitled “Asylum support, section 4(2): policy and process” (16 February 2018) (“the Policy”).</w:t>
      </w:r>
    </w:p>
    <w:p w14:paraId="6ED005CA" w14:textId="77777777" w:rsidR="00CA20F7" w:rsidRPr="00602F08" w:rsidRDefault="00CA20F7" w:rsidP="00B6212D">
      <w:pPr>
        <w:pStyle w:val="BodyText"/>
        <w:spacing w:before="10"/>
        <w:jc w:val="both"/>
      </w:pPr>
    </w:p>
    <w:p w14:paraId="3D7B0474" w14:textId="6DB932CA" w:rsidR="00CA20F7" w:rsidRPr="00602F08" w:rsidRDefault="00CA20F7" w:rsidP="00B6212D">
      <w:pPr>
        <w:pStyle w:val="ListParagraph"/>
        <w:widowControl w:val="0"/>
        <w:numPr>
          <w:ilvl w:val="0"/>
          <w:numId w:val="10"/>
        </w:numPr>
        <w:tabs>
          <w:tab w:val="left" w:pos="687"/>
          <w:tab w:val="left" w:pos="688"/>
        </w:tabs>
        <w:autoSpaceDE w:val="0"/>
        <w:autoSpaceDN w:val="0"/>
        <w:spacing w:before="1"/>
        <w:contextualSpacing w:val="0"/>
        <w:jc w:val="both"/>
        <w:rPr>
          <w:rFonts w:ascii="Times New Roman" w:hAnsi="Times New Roman"/>
        </w:rPr>
      </w:pPr>
      <w:r w:rsidRPr="00602F08">
        <w:rPr>
          <w:rFonts w:ascii="Times New Roman" w:hAnsi="Times New Roman"/>
        </w:rPr>
        <w:t>The Policy</w:t>
      </w:r>
      <w:r w:rsidRPr="00602F08">
        <w:rPr>
          <w:rFonts w:ascii="Times New Roman" w:hAnsi="Times New Roman"/>
          <w:spacing w:val="-8"/>
        </w:rPr>
        <w:t xml:space="preserve"> </w:t>
      </w:r>
      <w:r w:rsidRPr="00602F08">
        <w:rPr>
          <w:rFonts w:ascii="Times New Roman" w:hAnsi="Times New Roman"/>
        </w:rPr>
        <w:t>includes these passages</w:t>
      </w:r>
      <w:r w:rsidR="00CA617C" w:rsidRPr="00602F08">
        <w:rPr>
          <w:rFonts w:ascii="Times New Roman" w:hAnsi="Times New Roman"/>
        </w:rPr>
        <w:t xml:space="preserve"> on destitution</w:t>
      </w:r>
      <w:r w:rsidRPr="00602F08">
        <w:rPr>
          <w:rFonts w:ascii="Times New Roman" w:hAnsi="Times New Roman"/>
        </w:rPr>
        <w:t>:</w:t>
      </w:r>
    </w:p>
    <w:p w14:paraId="3366A989" w14:textId="77777777" w:rsidR="00CA20F7" w:rsidRPr="00602F08" w:rsidRDefault="00CA20F7" w:rsidP="00B6212D">
      <w:pPr>
        <w:pStyle w:val="ListParagraph"/>
        <w:widowControl w:val="0"/>
        <w:tabs>
          <w:tab w:val="left" w:pos="687"/>
          <w:tab w:val="left" w:pos="688"/>
        </w:tabs>
        <w:autoSpaceDE w:val="0"/>
        <w:autoSpaceDN w:val="0"/>
        <w:spacing w:before="1"/>
        <w:ind w:left="0"/>
        <w:contextualSpacing w:val="0"/>
        <w:jc w:val="both"/>
        <w:rPr>
          <w:rFonts w:ascii="Times New Roman" w:hAnsi="Times New Roman"/>
        </w:rPr>
      </w:pPr>
    </w:p>
    <w:p w14:paraId="0482CCFB" w14:textId="4309415F" w:rsidR="00CA20F7" w:rsidRPr="00602F08" w:rsidRDefault="00CA20F7" w:rsidP="00B6212D">
      <w:pPr>
        <w:ind w:left="1536"/>
        <w:jc w:val="both"/>
      </w:pPr>
      <w:r w:rsidRPr="00602F08">
        <w:t>“To be eligible for support under section 4(2) a person must appear to be destitute or likely to become destitute within 14 days (or 56 days if they are already in receipt of support). A person is destitute if they:</w:t>
      </w:r>
    </w:p>
    <w:p w14:paraId="551DC422" w14:textId="77777777" w:rsidR="00967E04" w:rsidRPr="00602F08" w:rsidRDefault="00967E04" w:rsidP="00B6212D">
      <w:pPr>
        <w:ind w:left="1536"/>
        <w:jc w:val="both"/>
      </w:pPr>
    </w:p>
    <w:p w14:paraId="28FE755A" w14:textId="77777777" w:rsidR="00CA20F7" w:rsidRPr="00602F08" w:rsidRDefault="00CA20F7" w:rsidP="00B6212D">
      <w:pPr>
        <w:pStyle w:val="ListParagraph"/>
        <w:widowControl w:val="0"/>
        <w:numPr>
          <w:ilvl w:val="0"/>
          <w:numId w:val="11"/>
        </w:numPr>
        <w:tabs>
          <w:tab w:val="left" w:pos="2280"/>
        </w:tabs>
        <w:autoSpaceDE w:val="0"/>
        <w:autoSpaceDN w:val="0"/>
        <w:contextualSpacing w:val="0"/>
        <w:jc w:val="both"/>
        <w:rPr>
          <w:rFonts w:ascii="Times New Roman" w:hAnsi="Times New Roman"/>
        </w:rPr>
      </w:pPr>
      <w:r w:rsidRPr="00602F08">
        <w:rPr>
          <w:rFonts w:ascii="Times New Roman" w:hAnsi="Times New Roman"/>
        </w:rPr>
        <w:t>do not have adequate accommodation or any means of obtaining it (whether their other essential living needs are</w:t>
      </w:r>
      <w:r w:rsidRPr="00602F08">
        <w:rPr>
          <w:rFonts w:ascii="Times New Roman" w:hAnsi="Times New Roman"/>
          <w:spacing w:val="-2"/>
        </w:rPr>
        <w:t xml:space="preserve"> </w:t>
      </w:r>
      <w:r w:rsidRPr="00602F08">
        <w:rPr>
          <w:rFonts w:ascii="Times New Roman" w:hAnsi="Times New Roman"/>
        </w:rPr>
        <w:t>met)</w:t>
      </w:r>
    </w:p>
    <w:p w14:paraId="44E8D211" w14:textId="65BC43B3" w:rsidR="00CA20F7" w:rsidRPr="00602F08" w:rsidRDefault="00CA20F7" w:rsidP="00B6212D">
      <w:pPr>
        <w:pStyle w:val="ListParagraph"/>
        <w:widowControl w:val="0"/>
        <w:numPr>
          <w:ilvl w:val="0"/>
          <w:numId w:val="11"/>
        </w:numPr>
        <w:tabs>
          <w:tab w:val="left" w:pos="2280"/>
        </w:tabs>
        <w:autoSpaceDE w:val="0"/>
        <w:autoSpaceDN w:val="0"/>
        <w:contextualSpacing w:val="0"/>
        <w:jc w:val="both"/>
        <w:rPr>
          <w:rFonts w:ascii="Times New Roman" w:hAnsi="Times New Roman"/>
        </w:rPr>
      </w:pPr>
      <w:r w:rsidRPr="00602F08">
        <w:rPr>
          <w:rFonts w:ascii="Times New Roman" w:hAnsi="Times New Roman"/>
        </w:rPr>
        <w:t>have adequate accommodation or the means of obtaining it, but cannot meet their other essential living</w:t>
      </w:r>
      <w:r w:rsidRPr="00602F08">
        <w:rPr>
          <w:rFonts w:ascii="Times New Roman" w:hAnsi="Times New Roman"/>
          <w:spacing w:val="-2"/>
        </w:rPr>
        <w:t xml:space="preserve"> </w:t>
      </w:r>
      <w:r w:rsidRPr="00602F08">
        <w:rPr>
          <w:rFonts w:ascii="Times New Roman" w:hAnsi="Times New Roman"/>
        </w:rPr>
        <w:t>needs.</w:t>
      </w:r>
      <w:r w:rsidR="00967E04" w:rsidRPr="00602F08">
        <w:rPr>
          <w:rFonts w:ascii="Times New Roman" w:hAnsi="Times New Roman"/>
        </w:rPr>
        <w:t>”</w:t>
      </w:r>
    </w:p>
    <w:p w14:paraId="32CF9DE2" w14:textId="77777777" w:rsidR="00CA20F7" w:rsidRPr="00602F08" w:rsidRDefault="00CA20F7" w:rsidP="00B6212D">
      <w:pPr>
        <w:pStyle w:val="ListParagraph"/>
        <w:widowControl w:val="0"/>
        <w:tabs>
          <w:tab w:val="left" w:pos="2280"/>
        </w:tabs>
        <w:autoSpaceDE w:val="0"/>
        <w:autoSpaceDN w:val="0"/>
        <w:ind w:left="2280"/>
        <w:contextualSpacing w:val="0"/>
        <w:jc w:val="both"/>
        <w:rPr>
          <w:rFonts w:ascii="Times New Roman" w:hAnsi="Times New Roman"/>
        </w:rPr>
      </w:pPr>
    </w:p>
    <w:p w14:paraId="61E8BA6C" w14:textId="77777777" w:rsidR="00CA20F7" w:rsidRPr="00602F08" w:rsidRDefault="00CA20F7" w:rsidP="00B6212D">
      <w:pPr>
        <w:ind w:left="1536"/>
        <w:jc w:val="both"/>
      </w:pPr>
      <w:r w:rsidRPr="00602F08">
        <w:t>“… Generally, decisions should be made within 5 working days, but careful consideration should be given to any additional factors that call for the case to be given higher priority and the decision made more quickly.</w:t>
      </w:r>
    </w:p>
    <w:p w14:paraId="38449A7A" w14:textId="77777777" w:rsidR="00CA20F7" w:rsidRPr="00602F08" w:rsidRDefault="00CA20F7" w:rsidP="00B6212D">
      <w:pPr>
        <w:pStyle w:val="BodyText"/>
        <w:jc w:val="both"/>
      </w:pPr>
    </w:p>
    <w:p w14:paraId="3AE6FA9C" w14:textId="18810706" w:rsidR="00CA20F7" w:rsidRPr="00602F08" w:rsidRDefault="00CA20F7" w:rsidP="00B6212D">
      <w:pPr>
        <w:ind w:left="1560"/>
        <w:jc w:val="both"/>
      </w:pPr>
      <w:r w:rsidRPr="00602F08">
        <w:t>Where</w:t>
      </w:r>
      <w:r w:rsidRPr="00602F08">
        <w:rPr>
          <w:spacing w:val="-8"/>
        </w:rPr>
        <w:t xml:space="preserve"> </w:t>
      </w:r>
      <w:r w:rsidRPr="00602F08">
        <w:t>the</w:t>
      </w:r>
      <w:r w:rsidRPr="00602F08">
        <w:rPr>
          <w:spacing w:val="-7"/>
        </w:rPr>
        <w:t xml:space="preserve"> </w:t>
      </w:r>
      <w:r w:rsidRPr="00602F08">
        <w:t>following</w:t>
      </w:r>
      <w:r w:rsidRPr="00602F08">
        <w:rPr>
          <w:spacing w:val="-7"/>
        </w:rPr>
        <w:t xml:space="preserve"> </w:t>
      </w:r>
      <w:r w:rsidRPr="00602F08">
        <w:t>circumstances</w:t>
      </w:r>
      <w:r w:rsidRPr="00602F08">
        <w:rPr>
          <w:spacing w:val="-7"/>
        </w:rPr>
        <w:t xml:space="preserve"> </w:t>
      </w:r>
      <w:r w:rsidRPr="00602F08">
        <w:t>apply,</w:t>
      </w:r>
      <w:r w:rsidRPr="00602F08">
        <w:rPr>
          <w:spacing w:val="-7"/>
        </w:rPr>
        <w:t xml:space="preserve"> </w:t>
      </w:r>
      <w:r w:rsidRPr="00602F08">
        <w:t>reasonable</w:t>
      </w:r>
      <w:r w:rsidRPr="00602F08">
        <w:rPr>
          <w:spacing w:val="-7"/>
        </w:rPr>
        <w:t xml:space="preserve"> </w:t>
      </w:r>
      <w:r w:rsidRPr="00602F08">
        <w:t>efforts</w:t>
      </w:r>
      <w:r w:rsidRPr="00602F08">
        <w:rPr>
          <w:spacing w:val="-7"/>
        </w:rPr>
        <w:t xml:space="preserve"> </w:t>
      </w:r>
      <w:r w:rsidRPr="00602F08">
        <w:t>should</w:t>
      </w:r>
      <w:r w:rsidRPr="00602F08">
        <w:rPr>
          <w:spacing w:val="-7"/>
        </w:rPr>
        <w:t xml:space="preserve"> </w:t>
      </w:r>
      <w:r w:rsidRPr="00602F08">
        <w:t>be</w:t>
      </w:r>
      <w:r w:rsidRPr="00602F08">
        <w:rPr>
          <w:spacing w:val="-7"/>
        </w:rPr>
        <w:t xml:space="preserve"> </w:t>
      </w:r>
      <w:r w:rsidRPr="00602F08">
        <w:t>made</w:t>
      </w:r>
      <w:r w:rsidRPr="00602F08">
        <w:rPr>
          <w:spacing w:val="-8"/>
        </w:rPr>
        <w:t xml:space="preserve"> </w:t>
      </w:r>
      <w:r w:rsidRPr="00602F08">
        <w:t>to decide the application within 2 working days (the list is not</w:t>
      </w:r>
      <w:r w:rsidRPr="00602F08">
        <w:rPr>
          <w:spacing w:val="-4"/>
        </w:rPr>
        <w:t xml:space="preserve"> </w:t>
      </w:r>
      <w:r w:rsidRPr="00602F08">
        <w:t>exhaustive):</w:t>
      </w:r>
    </w:p>
    <w:p w14:paraId="28F734B1" w14:textId="77777777" w:rsidR="00EB3BDC" w:rsidRPr="00602F08" w:rsidRDefault="00EB3BDC" w:rsidP="00B6212D">
      <w:pPr>
        <w:ind w:left="1560"/>
        <w:jc w:val="both"/>
      </w:pPr>
    </w:p>
    <w:p w14:paraId="4A2906AB" w14:textId="77777777" w:rsidR="00CA20F7" w:rsidRPr="00602F08" w:rsidRDefault="00CA20F7" w:rsidP="00B6212D">
      <w:pPr>
        <w:pStyle w:val="ListParagraph"/>
        <w:widowControl w:val="0"/>
        <w:tabs>
          <w:tab w:val="left" w:pos="1919"/>
          <w:tab w:val="left" w:pos="1920"/>
        </w:tabs>
        <w:autoSpaceDE w:val="0"/>
        <w:autoSpaceDN w:val="0"/>
        <w:ind w:left="0"/>
        <w:contextualSpacing w:val="0"/>
        <w:jc w:val="both"/>
        <w:rPr>
          <w:rFonts w:ascii="Times New Roman" w:hAnsi="Times New Roman"/>
        </w:rPr>
      </w:pPr>
      <w:r w:rsidRPr="00602F08">
        <w:rPr>
          <w:rFonts w:ascii="Times New Roman" w:hAnsi="Times New Roman"/>
        </w:rPr>
        <w:tab/>
        <w:t>people who are street</w:t>
      </w:r>
      <w:r w:rsidRPr="00602F08">
        <w:rPr>
          <w:rFonts w:ascii="Times New Roman" w:hAnsi="Times New Roman"/>
          <w:spacing w:val="-1"/>
        </w:rPr>
        <w:t xml:space="preserve"> </w:t>
      </w:r>
      <w:r w:rsidRPr="00602F08">
        <w:rPr>
          <w:rFonts w:ascii="Times New Roman" w:hAnsi="Times New Roman"/>
        </w:rPr>
        <w:t>homeless</w:t>
      </w:r>
    </w:p>
    <w:p w14:paraId="22F1995A" w14:textId="77777777" w:rsidR="00CA20F7" w:rsidRPr="00602F08" w:rsidRDefault="00CA20F7" w:rsidP="00B6212D">
      <w:pPr>
        <w:pStyle w:val="ListParagraph"/>
        <w:widowControl w:val="0"/>
        <w:tabs>
          <w:tab w:val="left" w:pos="1919"/>
          <w:tab w:val="left" w:pos="1920"/>
        </w:tabs>
        <w:autoSpaceDE w:val="0"/>
        <w:autoSpaceDN w:val="0"/>
        <w:ind w:left="687"/>
        <w:contextualSpacing w:val="0"/>
        <w:jc w:val="both"/>
        <w:rPr>
          <w:rFonts w:ascii="Times New Roman" w:hAnsi="Times New Roman"/>
        </w:rPr>
      </w:pPr>
      <w:r w:rsidRPr="00602F08">
        <w:rPr>
          <w:rFonts w:ascii="Times New Roman" w:hAnsi="Times New Roman"/>
        </w:rPr>
        <w:tab/>
        <w:t>families with</w:t>
      </w:r>
      <w:r w:rsidRPr="00602F08">
        <w:rPr>
          <w:rFonts w:ascii="Times New Roman" w:hAnsi="Times New Roman"/>
          <w:spacing w:val="-1"/>
        </w:rPr>
        <w:t xml:space="preserve"> </w:t>
      </w:r>
      <w:r w:rsidRPr="00602F08">
        <w:rPr>
          <w:rFonts w:ascii="Times New Roman" w:hAnsi="Times New Roman"/>
        </w:rPr>
        <w:t>minors</w:t>
      </w:r>
    </w:p>
    <w:p w14:paraId="2994D342" w14:textId="77777777" w:rsidR="00CA20F7" w:rsidRPr="00602F08" w:rsidRDefault="00CA20F7" w:rsidP="00B6212D">
      <w:pPr>
        <w:pStyle w:val="ListParagraph"/>
        <w:widowControl w:val="0"/>
        <w:tabs>
          <w:tab w:val="left" w:pos="1919"/>
          <w:tab w:val="left" w:pos="1920"/>
        </w:tabs>
        <w:autoSpaceDE w:val="0"/>
        <w:autoSpaceDN w:val="0"/>
        <w:ind w:left="687"/>
        <w:contextualSpacing w:val="0"/>
        <w:jc w:val="both"/>
        <w:rPr>
          <w:rFonts w:ascii="Times New Roman" w:hAnsi="Times New Roman"/>
        </w:rPr>
      </w:pPr>
      <w:r w:rsidRPr="00602F08">
        <w:rPr>
          <w:rFonts w:ascii="Times New Roman" w:hAnsi="Times New Roman"/>
        </w:rPr>
        <w:tab/>
        <w:t>disabled</w:t>
      </w:r>
      <w:r w:rsidRPr="00602F08">
        <w:rPr>
          <w:rFonts w:ascii="Times New Roman" w:hAnsi="Times New Roman"/>
          <w:spacing w:val="-1"/>
        </w:rPr>
        <w:t xml:space="preserve"> </w:t>
      </w:r>
      <w:r w:rsidRPr="00602F08">
        <w:rPr>
          <w:rFonts w:ascii="Times New Roman" w:hAnsi="Times New Roman"/>
        </w:rPr>
        <w:t>people</w:t>
      </w:r>
    </w:p>
    <w:p w14:paraId="4D796258" w14:textId="77777777" w:rsidR="00CA20F7" w:rsidRPr="00602F08" w:rsidRDefault="00CA20F7" w:rsidP="00B6212D">
      <w:pPr>
        <w:pStyle w:val="ListParagraph"/>
        <w:widowControl w:val="0"/>
        <w:tabs>
          <w:tab w:val="left" w:pos="1919"/>
          <w:tab w:val="left" w:pos="1920"/>
        </w:tabs>
        <w:autoSpaceDE w:val="0"/>
        <w:autoSpaceDN w:val="0"/>
        <w:ind w:left="687"/>
        <w:contextualSpacing w:val="0"/>
        <w:jc w:val="both"/>
        <w:rPr>
          <w:rFonts w:ascii="Times New Roman" w:hAnsi="Times New Roman"/>
        </w:rPr>
      </w:pPr>
      <w:r w:rsidRPr="00602F08">
        <w:rPr>
          <w:rFonts w:ascii="Times New Roman" w:hAnsi="Times New Roman"/>
        </w:rPr>
        <w:tab/>
        <w:t>elderly</w:t>
      </w:r>
      <w:r w:rsidRPr="00602F08">
        <w:rPr>
          <w:rFonts w:ascii="Times New Roman" w:hAnsi="Times New Roman"/>
          <w:spacing w:val="-1"/>
        </w:rPr>
        <w:t xml:space="preserve"> </w:t>
      </w:r>
      <w:r w:rsidRPr="00602F08">
        <w:rPr>
          <w:rFonts w:ascii="Times New Roman" w:hAnsi="Times New Roman"/>
        </w:rPr>
        <w:t>people</w:t>
      </w:r>
    </w:p>
    <w:p w14:paraId="44BE9BDE" w14:textId="77777777" w:rsidR="00CA20F7" w:rsidRPr="00602F08" w:rsidRDefault="00CA20F7" w:rsidP="00B6212D">
      <w:pPr>
        <w:pStyle w:val="ListParagraph"/>
        <w:widowControl w:val="0"/>
        <w:tabs>
          <w:tab w:val="left" w:pos="1919"/>
          <w:tab w:val="left" w:pos="1920"/>
        </w:tabs>
        <w:autoSpaceDE w:val="0"/>
        <w:autoSpaceDN w:val="0"/>
        <w:ind w:left="687"/>
        <w:contextualSpacing w:val="0"/>
        <w:jc w:val="both"/>
        <w:rPr>
          <w:rFonts w:ascii="Times New Roman" w:hAnsi="Times New Roman"/>
        </w:rPr>
      </w:pPr>
      <w:r w:rsidRPr="00602F08">
        <w:rPr>
          <w:rFonts w:ascii="Times New Roman" w:hAnsi="Times New Roman"/>
        </w:rPr>
        <w:tab/>
        <w:t>pregnant women</w:t>
      </w:r>
    </w:p>
    <w:p w14:paraId="5F6E5B94" w14:textId="77777777" w:rsidR="00CA20F7" w:rsidRPr="00602F08" w:rsidRDefault="00CA20F7" w:rsidP="00B6212D">
      <w:pPr>
        <w:pStyle w:val="ListParagraph"/>
        <w:widowControl w:val="0"/>
        <w:tabs>
          <w:tab w:val="left" w:pos="1919"/>
          <w:tab w:val="left" w:pos="1920"/>
        </w:tabs>
        <w:autoSpaceDE w:val="0"/>
        <w:autoSpaceDN w:val="0"/>
        <w:ind w:left="1919" w:hanging="1232"/>
        <w:contextualSpacing w:val="0"/>
        <w:jc w:val="both"/>
        <w:rPr>
          <w:rFonts w:ascii="Times New Roman" w:hAnsi="Times New Roman"/>
        </w:rPr>
      </w:pPr>
      <w:r w:rsidRPr="00602F08">
        <w:rPr>
          <w:rFonts w:ascii="Times New Roman" w:hAnsi="Times New Roman"/>
        </w:rPr>
        <w:tab/>
        <w:t>persons who have been subjected to torture, rape or other serious forms of psychological, physical or sexual</w:t>
      </w:r>
      <w:r w:rsidRPr="00602F08">
        <w:rPr>
          <w:rFonts w:ascii="Times New Roman" w:hAnsi="Times New Roman"/>
          <w:spacing w:val="-2"/>
        </w:rPr>
        <w:t xml:space="preserve"> </w:t>
      </w:r>
      <w:r w:rsidRPr="00602F08">
        <w:rPr>
          <w:rFonts w:ascii="Times New Roman" w:hAnsi="Times New Roman"/>
        </w:rPr>
        <w:t>violence</w:t>
      </w:r>
    </w:p>
    <w:p w14:paraId="27BC24FE" w14:textId="77777777" w:rsidR="00CA20F7" w:rsidRPr="00602F08" w:rsidRDefault="00CA20F7" w:rsidP="00B6212D">
      <w:pPr>
        <w:pStyle w:val="ListParagraph"/>
        <w:widowControl w:val="0"/>
        <w:tabs>
          <w:tab w:val="left" w:pos="1919"/>
          <w:tab w:val="left" w:pos="1920"/>
        </w:tabs>
        <w:autoSpaceDE w:val="0"/>
        <w:autoSpaceDN w:val="0"/>
        <w:ind w:left="687"/>
        <w:contextualSpacing w:val="0"/>
        <w:jc w:val="both"/>
        <w:rPr>
          <w:rFonts w:ascii="Times New Roman" w:hAnsi="Times New Roman"/>
        </w:rPr>
      </w:pPr>
      <w:r w:rsidRPr="00602F08">
        <w:rPr>
          <w:rFonts w:ascii="Times New Roman" w:hAnsi="Times New Roman"/>
        </w:rPr>
        <w:tab/>
        <w:t>potential victims of</w:t>
      </w:r>
      <w:r w:rsidRPr="00602F08">
        <w:rPr>
          <w:rFonts w:ascii="Times New Roman" w:hAnsi="Times New Roman"/>
          <w:spacing w:val="-2"/>
        </w:rPr>
        <w:t xml:space="preserve"> </w:t>
      </w:r>
      <w:r w:rsidRPr="00602F08">
        <w:rPr>
          <w:rFonts w:ascii="Times New Roman" w:hAnsi="Times New Roman"/>
        </w:rPr>
        <w:t>trafficking”.</w:t>
      </w:r>
    </w:p>
    <w:p w14:paraId="77E3F126" w14:textId="77777777" w:rsidR="00CA20F7" w:rsidRPr="00602F08" w:rsidRDefault="00CA20F7" w:rsidP="00B6212D">
      <w:pPr>
        <w:pStyle w:val="ListParagraph"/>
        <w:widowControl w:val="0"/>
        <w:tabs>
          <w:tab w:val="left" w:pos="687"/>
          <w:tab w:val="left" w:pos="688"/>
        </w:tabs>
        <w:autoSpaceDE w:val="0"/>
        <w:autoSpaceDN w:val="0"/>
        <w:ind w:left="687"/>
        <w:contextualSpacing w:val="0"/>
        <w:jc w:val="both"/>
        <w:rPr>
          <w:rFonts w:ascii="Times New Roman" w:hAnsi="Times New Roman"/>
        </w:rPr>
      </w:pPr>
    </w:p>
    <w:p w14:paraId="7EA72694" w14:textId="5BAAC5E4" w:rsidR="00CA20F7" w:rsidRPr="00602F08" w:rsidRDefault="00CA20F7" w:rsidP="00B6212D">
      <w:pPr>
        <w:pStyle w:val="ListParagraph"/>
        <w:widowControl w:val="0"/>
        <w:numPr>
          <w:ilvl w:val="0"/>
          <w:numId w:val="10"/>
        </w:numPr>
        <w:tabs>
          <w:tab w:val="left" w:pos="687"/>
          <w:tab w:val="left" w:pos="688"/>
        </w:tabs>
        <w:autoSpaceDE w:val="0"/>
        <w:autoSpaceDN w:val="0"/>
        <w:contextualSpacing w:val="0"/>
        <w:jc w:val="both"/>
        <w:rPr>
          <w:rFonts w:ascii="Times New Roman" w:hAnsi="Times New Roman"/>
        </w:rPr>
      </w:pPr>
      <w:r w:rsidRPr="00602F08">
        <w:rPr>
          <w:rFonts w:ascii="Times New Roman" w:hAnsi="Times New Roman"/>
        </w:rPr>
        <w:t>T</w:t>
      </w:r>
      <w:r w:rsidR="00BB53F3" w:rsidRPr="00602F08">
        <w:rPr>
          <w:rFonts w:ascii="Times New Roman" w:hAnsi="Times New Roman"/>
        </w:rPr>
        <w:t>urning to Article 3, the</w:t>
      </w:r>
      <w:r w:rsidRPr="00602F08">
        <w:rPr>
          <w:rFonts w:ascii="Times New Roman" w:hAnsi="Times New Roman"/>
        </w:rPr>
        <w:t xml:space="preserve"> Policy </w:t>
      </w:r>
      <w:r w:rsidR="00652AA4" w:rsidRPr="00602F08">
        <w:rPr>
          <w:rFonts w:ascii="Times New Roman" w:hAnsi="Times New Roman"/>
        </w:rPr>
        <w:t xml:space="preserve">further </w:t>
      </w:r>
      <w:r w:rsidRPr="00602F08">
        <w:rPr>
          <w:rFonts w:ascii="Times New Roman" w:hAnsi="Times New Roman"/>
        </w:rPr>
        <w:t>provides:</w:t>
      </w:r>
    </w:p>
    <w:p w14:paraId="6D7FEBA2" w14:textId="77777777" w:rsidR="00CA20F7" w:rsidRPr="00602F08" w:rsidRDefault="00CA20F7" w:rsidP="00B6212D">
      <w:pPr>
        <w:pStyle w:val="BodyText"/>
        <w:spacing w:before="10"/>
        <w:jc w:val="both"/>
      </w:pPr>
    </w:p>
    <w:p w14:paraId="5F7F8708" w14:textId="77777777" w:rsidR="00CA20F7" w:rsidRPr="00602F08" w:rsidRDefault="00CA20F7" w:rsidP="00B6212D">
      <w:pPr>
        <w:ind w:left="1538"/>
        <w:jc w:val="both"/>
      </w:pPr>
      <w:r w:rsidRPr="00602F08">
        <w:t>“The first step in determining whether accommodation and or support may need to be provided for human rights reasons is to note that in ordinary circumstances a decision that would result in a person sleeping rough or being without food, shelter or funds, is likely to be considered inhuman or degrading treatment contrary to Article 3 of the ECHR …. The decision maker will therefore need to assess whether</w:t>
      </w:r>
      <w:r w:rsidRPr="00602F08">
        <w:rPr>
          <w:spacing w:val="-8"/>
        </w:rPr>
        <w:t xml:space="preserve"> </w:t>
      </w:r>
      <w:r w:rsidRPr="00602F08">
        <w:t>the</w:t>
      </w:r>
      <w:r w:rsidRPr="00602F08">
        <w:rPr>
          <w:spacing w:val="-7"/>
        </w:rPr>
        <w:t xml:space="preserve"> </w:t>
      </w:r>
      <w:r w:rsidRPr="00602F08">
        <w:t>consequences</w:t>
      </w:r>
      <w:r w:rsidRPr="00602F08">
        <w:rPr>
          <w:spacing w:val="-7"/>
        </w:rPr>
        <w:t xml:space="preserve"> </w:t>
      </w:r>
      <w:r w:rsidRPr="00602F08">
        <w:t>of</w:t>
      </w:r>
      <w:r w:rsidRPr="00602F08">
        <w:rPr>
          <w:spacing w:val="-7"/>
        </w:rPr>
        <w:t xml:space="preserve"> </w:t>
      </w:r>
      <w:r w:rsidRPr="00602F08">
        <w:t>a</w:t>
      </w:r>
      <w:r w:rsidRPr="00602F08">
        <w:rPr>
          <w:spacing w:val="-7"/>
        </w:rPr>
        <w:t xml:space="preserve"> </w:t>
      </w:r>
      <w:r w:rsidRPr="00602F08">
        <w:t>decision</w:t>
      </w:r>
      <w:r w:rsidRPr="00602F08">
        <w:rPr>
          <w:spacing w:val="-7"/>
        </w:rPr>
        <w:t xml:space="preserve"> </w:t>
      </w:r>
      <w:r w:rsidRPr="00602F08">
        <w:t>to</w:t>
      </w:r>
      <w:r w:rsidRPr="00602F08">
        <w:rPr>
          <w:spacing w:val="-6"/>
        </w:rPr>
        <w:t xml:space="preserve"> </w:t>
      </w:r>
      <w:r w:rsidRPr="00602F08">
        <w:t>deny</w:t>
      </w:r>
      <w:r w:rsidRPr="00602F08">
        <w:rPr>
          <w:spacing w:val="-8"/>
        </w:rPr>
        <w:t xml:space="preserve"> </w:t>
      </w:r>
      <w:r w:rsidRPr="00602F08">
        <w:t>a</w:t>
      </w:r>
      <w:r w:rsidRPr="00602F08">
        <w:rPr>
          <w:spacing w:val="-7"/>
        </w:rPr>
        <w:t xml:space="preserve"> </w:t>
      </w:r>
      <w:r w:rsidRPr="00602F08">
        <w:t>person</w:t>
      </w:r>
      <w:r w:rsidRPr="00602F08">
        <w:rPr>
          <w:spacing w:val="-7"/>
        </w:rPr>
        <w:t xml:space="preserve"> </w:t>
      </w:r>
      <w:r w:rsidRPr="00602F08">
        <w:t>accommodation</w:t>
      </w:r>
      <w:r w:rsidRPr="00602F08">
        <w:rPr>
          <w:spacing w:val="-7"/>
        </w:rPr>
        <w:t xml:space="preserve"> </w:t>
      </w:r>
      <w:r w:rsidRPr="00602F08">
        <w:rPr>
          <w:spacing w:val="-3"/>
        </w:rPr>
        <w:t xml:space="preserve">would </w:t>
      </w:r>
      <w:r w:rsidRPr="00602F08">
        <w:t>result in a person suffering such treatment. To make that assessment it may be necessary</w:t>
      </w:r>
      <w:r w:rsidRPr="00602F08">
        <w:rPr>
          <w:spacing w:val="-13"/>
        </w:rPr>
        <w:t xml:space="preserve"> </w:t>
      </w:r>
      <w:r w:rsidRPr="00602F08">
        <w:t>to</w:t>
      </w:r>
      <w:r w:rsidRPr="00602F08">
        <w:rPr>
          <w:spacing w:val="-13"/>
        </w:rPr>
        <w:t xml:space="preserve"> </w:t>
      </w:r>
      <w:r w:rsidRPr="00602F08">
        <w:t>consider</w:t>
      </w:r>
      <w:r w:rsidRPr="00602F08">
        <w:rPr>
          <w:spacing w:val="-13"/>
        </w:rPr>
        <w:t xml:space="preserve"> </w:t>
      </w:r>
      <w:r w:rsidRPr="00602F08">
        <w:t>if</w:t>
      </w:r>
      <w:r w:rsidRPr="00602F08">
        <w:rPr>
          <w:spacing w:val="-13"/>
        </w:rPr>
        <w:t xml:space="preserve"> </w:t>
      </w:r>
      <w:r w:rsidRPr="00602F08">
        <w:t>the</w:t>
      </w:r>
      <w:r w:rsidRPr="00602F08">
        <w:rPr>
          <w:spacing w:val="-13"/>
        </w:rPr>
        <w:t xml:space="preserve"> </w:t>
      </w:r>
      <w:r w:rsidRPr="00602F08">
        <w:t>person</w:t>
      </w:r>
      <w:r w:rsidRPr="00602F08">
        <w:rPr>
          <w:spacing w:val="-14"/>
        </w:rPr>
        <w:t xml:space="preserve"> </w:t>
      </w:r>
      <w:r w:rsidRPr="00602F08">
        <w:t>can</w:t>
      </w:r>
      <w:r w:rsidRPr="00602F08">
        <w:rPr>
          <w:spacing w:val="-13"/>
        </w:rPr>
        <w:t xml:space="preserve"> </w:t>
      </w:r>
      <w:r w:rsidRPr="00602F08">
        <w:t>obtain</w:t>
      </w:r>
      <w:r w:rsidRPr="00602F08">
        <w:rPr>
          <w:spacing w:val="-12"/>
        </w:rPr>
        <w:t xml:space="preserve"> </w:t>
      </w:r>
      <w:r w:rsidRPr="00602F08">
        <w:t>accommodation</w:t>
      </w:r>
      <w:r w:rsidRPr="00602F08">
        <w:rPr>
          <w:spacing w:val="-13"/>
        </w:rPr>
        <w:t xml:space="preserve"> </w:t>
      </w:r>
      <w:r w:rsidRPr="00602F08">
        <w:t>and</w:t>
      </w:r>
      <w:r w:rsidRPr="00602F08">
        <w:rPr>
          <w:spacing w:val="-13"/>
        </w:rPr>
        <w:t xml:space="preserve"> </w:t>
      </w:r>
      <w:r w:rsidRPr="00602F08">
        <w:t>support</w:t>
      </w:r>
      <w:r w:rsidRPr="00602F08">
        <w:rPr>
          <w:spacing w:val="-14"/>
        </w:rPr>
        <w:t xml:space="preserve"> </w:t>
      </w:r>
      <w:r w:rsidRPr="00602F08">
        <w:t>from charitable or community sources or through the lawful endeavours of their families or</w:t>
      </w:r>
      <w:r w:rsidRPr="00602F08">
        <w:rPr>
          <w:spacing w:val="-2"/>
        </w:rPr>
        <w:t xml:space="preserve"> </w:t>
      </w:r>
      <w:r w:rsidRPr="00602F08">
        <w:t>friends.</w:t>
      </w:r>
    </w:p>
    <w:p w14:paraId="3A6C2E60" w14:textId="77777777" w:rsidR="00CA20F7" w:rsidRPr="00602F08" w:rsidRDefault="00CA20F7" w:rsidP="00B6212D">
      <w:pPr>
        <w:pStyle w:val="BodyText"/>
        <w:jc w:val="both"/>
      </w:pPr>
    </w:p>
    <w:p w14:paraId="633BE500" w14:textId="77777777" w:rsidR="00CA20F7" w:rsidRPr="00602F08" w:rsidRDefault="00CA20F7" w:rsidP="00B6212D">
      <w:pPr>
        <w:ind w:left="1537"/>
        <w:jc w:val="both"/>
      </w:pPr>
      <w:r w:rsidRPr="00602F08">
        <w:t>Where the decision maker concludes that there is no support from any of these sources then there will be a positive obligation on the Secretary of State to accommodate</w:t>
      </w:r>
      <w:r w:rsidRPr="00602F08">
        <w:rPr>
          <w:spacing w:val="-15"/>
        </w:rPr>
        <w:t xml:space="preserve"> </w:t>
      </w:r>
      <w:r w:rsidRPr="00602F08">
        <w:t>the</w:t>
      </w:r>
      <w:r w:rsidRPr="00602F08">
        <w:rPr>
          <w:spacing w:val="-14"/>
        </w:rPr>
        <w:t xml:space="preserve"> </w:t>
      </w:r>
      <w:r w:rsidRPr="00602F08">
        <w:t>individual</w:t>
      </w:r>
      <w:r w:rsidRPr="00602F08">
        <w:rPr>
          <w:spacing w:val="-13"/>
        </w:rPr>
        <w:t xml:space="preserve"> </w:t>
      </w:r>
      <w:r w:rsidRPr="00602F08">
        <w:t>in</w:t>
      </w:r>
      <w:r w:rsidRPr="00602F08">
        <w:rPr>
          <w:spacing w:val="-13"/>
        </w:rPr>
        <w:t xml:space="preserve"> </w:t>
      </w:r>
      <w:r w:rsidRPr="00602F08">
        <w:t>order</w:t>
      </w:r>
      <w:r w:rsidRPr="00602F08">
        <w:rPr>
          <w:spacing w:val="-15"/>
        </w:rPr>
        <w:t xml:space="preserve"> </w:t>
      </w:r>
      <w:r w:rsidRPr="00602F08">
        <w:t>to</w:t>
      </w:r>
      <w:r w:rsidRPr="00602F08">
        <w:rPr>
          <w:spacing w:val="-14"/>
        </w:rPr>
        <w:t xml:space="preserve"> </w:t>
      </w:r>
      <w:r w:rsidRPr="00602F08">
        <w:t>avoid</w:t>
      </w:r>
      <w:r w:rsidRPr="00602F08">
        <w:rPr>
          <w:spacing w:val="-14"/>
        </w:rPr>
        <w:t xml:space="preserve"> </w:t>
      </w:r>
      <w:r w:rsidRPr="00602F08">
        <w:t>a</w:t>
      </w:r>
      <w:r w:rsidRPr="00602F08">
        <w:rPr>
          <w:spacing w:val="-13"/>
        </w:rPr>
        <w:t xml:space="preserve"> </w:t>
      </w:r>
      <w:r w:rsidRPr="00602F08">
        <w:t>breach</w:t>
      </w:r>
      <w:r w:rsidRPr="00602F08">
        <w:rPr>
          <w:spacing w:val="-14"/>
        </w:rPr>
        <w:t xml:space="preserve"> </w:t>
      </w:r>
      <w:r w:rsidRPr="00602F08">
        <w:t>of</w:t>
      </w:r>
      <w:r w:rsidRPr="00602F08">
        <w:rPr>
          <w:spacing w:val="-15"/>
        </w:rPr>
        <w:t xml:space="preserve"> </w:t>
      </w:r>
      <w:r w:rsidRPr="00602F08">
        <w:t>Article</w:t>
      </w:r>
      <w:r w:rsidRPr="00602F08">
        <w:rPr>
          <w:spacing w:val="-13"/>
        </w:rPr>
        <w:t xml:space="preserve"> </w:t>
      </w:r>
      <w:r w:rsidRPr="00602F08">
        <w:t>3</w:t>
      </w:r>
      <w:r w:rsidRPr="00602F08">
        <w:rPr>
          <w:spacing w:val="-14"/>
        </w:rPr>
        <w:t xml:space="preserve"> </w:t>
      </w:r>
      <w:r w:rsidRPr="00602F08">
        <w:t>of</w:t>
      </w:r>
      <w:r w:rsidRPr="00602F08">
        <w:rPr>
          <w:spacing w:val="-14"/>
        </w:rPr>
        <w:t xml:space="preserve"> </w:t>
      </w:r>
      <w:r w:rsidRPr="00602F08">
        <w:t>the</w:t>
      </w:r>
      <w:r w:rsidRPr="00602F08">
        <w:rPr>
          <w:spacing w:val="-14"/>
        </w:rPr>
        <w:t xml:space="preserve"> </w:t>
      </w:r>
      <w:r w:rsidRPr="00602F08">
        <w:t>ECHR. However,</w:t>
      </w:r>
      <w:r w:rsidRPr="00602F08">
        <w:rPr>
          <w:spacing w:val="-9"/>
        </w:rPr>
        <w:t xml:space="preserve"> </w:t>
      </w:r>
      <w:r w:rsidRPr="00602F08">
        <w:t>if</w:t>
      </w:r>
      <w:r w:rsidRPr="00602F08">
        <w:rPr>
          <w:spacing w:val="-8"/>
        </w:rPr>
        <w:t xml:space="preserve"> </w:t>
      </w:r>
      <w:r w:rsidRPr="00602F08">
        <w:t>the</w:t>
      </w:r>
      <w:r w:rsidRPr="00602F08">
        <w:rPr>
          <w:spacing w:val="-8"/>
        </w:rPr>
        <w:t xml:space="preserve"> </w:t>
      </w:r>
      <w:r w:rsidRPr="00602F08">
        <w:t>person</w:t>
      </w:r>
      <w:r w:rsidRPr="00602F08">
        <w:rPr>
          <w:spacing w:val="-8"/>
        </w:rPr>
        <w:t xml:space="preserve"> </w:t>
      </w:r>
      <w:r w:rsidRPr="00602F08">
        <w:t>is</w:t>
      </w:r>
      <w:r w:rsidRPr="00602F08">
        <w:rPr>
          <w:spacing w:val="-8"/>
        </w:rPr>
        <w:t xml:space="preserve"> </w:t>
      </w:r>
      <w:r w:rsidRPr="00602F08">
        <w:t>able</w:t>
      </w:r>
      <w:r w:rsidRPr="00602F08">
        <w:rPr>
          <w:spacing w:val="-8"/>
        </w:rPr>
        <w:t xml:space="preserve"> </w:t>
      </w:r>
      <w:r w:rsidRPr="00602F08">
        <w:t>to</w:t>
      </w:r>
      <w:r w:rsidRPr="00602F08">
        <w:rPr>
          <w:spacing w:val="-8"/>
        </w:rPr>
        <w:t xml:space="preserve"> </w:t>
      </w:r>
      <w:r w:rsidRPr="00602F08">
        <w:t>return</w:t>
      </w:r>
      <w:r w:rsidRPr="00602F08">
        <w:rPr>
          <w:spacing w:val="-8"/>
        </w:rPr>
        <w:t xml:space="preserve"> </w:t>
      </w:r>
      <w:r w:rsidRPr="00602F08">
        <w:t>to</w:t>
      </w:r>
      <w:r w:rsidRPr="00602F08">
        <w:rPr>
          <w:spacing w:val="-8"/>
        </w:rPr>
        <w:t xml:space="preserve"> </w:t>
      </w:r>
      <w:r w:rsidRPr="00602F08">
        <w:t>their</w:t>
      </w:r>
      <w:r w:rsidRPr="00602F08">
        <w:rPr>
          <w:spacing w:val="-8"/>
        </w:rPr>
        <w:t xml:space="preserve"> </w:t>
      </w:r>
      <w:r w:rsidRPr="00602F08">
        <w:t>country</w:t>
      </w:r>
      <w:r w:rsidRPr="00602F08">
        <w:rPr>
          <w:spacing w:val="-8"/>
        </w:rPr>
        <w:t xml:space="preserve"> </w:t>
      </w:r>
      <w:r w:rsidRPr="00602F08">
        <w:t>of</w:t>
      </w:r>
      <w:r w:rsidRPr="00602F08">
        <w:rPr>
          <w:spacing w:val="-9"/>
        </w:rPr>
        <w:t xml:space="preserve"> </w:t>
      </w:r>
      <w:r w:rsidRPr="00602F08">
        <w:t>origin</w:t>
      </w:r>
      <w:r w:rsidRPr="00602F08">
        <w:rPr>
          <w:spacing w:val="-8"/>
        </w:rPr>
        <w:t xml:space="preserve"> </w:t>
      </w:r>
      <w:r w:rsidRPr="00602F08">
        <w:t>and</w:t>
      </w:r>
      <w:r w:rsidRPr="00602F08">
        <w:rPr>
          <w:spacing w:val="-8"/>
        </w:rPr>
        <w:t xml:space="preserve"> </w:t>
      </w:r>
      <w:r w:rsidRPr="00602F08">
        <w:t>thus</w:t>
      </w:r>
      <w:r w:rsidRPr="00602F08">
        <w:rPr>
          <w:spacing w:val="-8"/>
        </w:rPr>
        <w:t xml:space="preserve"> </w:t>
      </w:r>
      <w:r w:rsidRPr="00602F08">
        <w:t>avoid the consequences of being left without shelter or funds, the situation outlined above is changed.</w:t>
      </w:r>
      <w:r w:rsidRPr="00602F08">
        <w:rPr>
          <w:spacing w:val="-1"/>
        </w:rPr>
        <w:t xml:space="preserve"> </w:t>
      </w:r>
      <w:r w:rsidRPr="00602F08">
        <w:t>…</w:t>
      </w:r>
    </w:p>
    <w:p w14:paraId="0BCD1FD3" w14:textId="77777777" w:rsidR="00CA20F7" w:rsidRPr="00602F08" w:rsidRDefault="00CA20F7" w:rsidP="00B6212D">
      <w:pPr>
        <w:pStyle w:val="BodyText"/>
        <w:jc w:val="both"/>
      </w:pPr>
    </w:p>
    <w:p w14:paraId="574A8791" w14:textId="5B3EC80C" w:rsidR="00CA20F7" w:rsidRPr="00602F08" w:rsidRDefault="00CA20F7" w:rsidP="00B6212D">
      <w:pPr>
        <w:ind w:left="1537"/>
        <w:jc w:val="both"/>
      </w:pPr>
      <w:r w:rsidRPr="00602F08">
        <w:t xml:space="preserve">… If there are no legal or practical obstacles preventing the person leaving </w:t>
      </w:r>
      <w:r w:rsidRPr="00602F08">
        <w:rPr>
          <w:spacing w:val="-5"/>
        </w:rPr>
        <w:t xml:space="preserve">the </w:t>
      </w:r>
      <w:r w:rsidRPr="00602F08">
        <w:t>United Kingdom, it will usually be difficult for them to establish that the Secretary of State is required to provide support in order to avoid breaching their ECHR rights.”</w:t>
      </w:r>
    </w:p>
    <w:p w14:paraId="4CFA952E" w14:textId="6F7C9EC8" w:rsidR="00636F94" w:rsidRPr="00602F08" w:rsidRDefault="00636F94" w:rsidP="00B6212D">
      <w:pPr>
        <w:jc w:val="both"/>
      </w:pPr>
    </w:p>
    <w:p w14:paraId="7243D921" w14:textId="1928DF41" w:rsidR="00275258" w:rsidRPr="00602F08" w:rsidRDefault="006B5255" w:rsidP="00B6212D">
      <w:pPr>
        <w:pStyle w:val="ListParagraph"/>
        <w:numPr>
          <w:ilvl w:val="0"/>
          <w:numId w:val="10"/>
        </w:numPr>
        <w:jc w:val="both"/>
        <w:rPr>
          <w:rFonts w:ascii="Times New Roman" w:hAnsi="Times New Roman"/>
        </w:rPr>
      </w:pPr>
      <w:r w:rsidRPr="00602F08">
        <w:rPr>
          <w:rFonts w:ascii="Times New Roman" w:hAnsi="Times New Roman"/>
        </w:rPr>
        <w:t>It is to be noted</w:t>
      </w:r>
      <w:r w:rsidR="00636F94" w:rsidRPr="00602F08">
        <w:rPr>
          <w:rFonts w:ascii="Times New Roman" w:hAnsi="Times New Roman"/>
        </w:rPr>
        <w:t xml:space="preserve"> that </w:t>
      </w:r>
      <w:r w:rsidR="00A47C8C" w:rsidRPr="00602F08">
        <w:rPr>
          <w:rFonts w:ascii="Times New Roman" w:hAnsi="Times New Roman"/>
        </w:rPr>
        <w:t xml:space="preserve">in these passages </w:t>
      </w:r>
      <w:r w:rsidR="00636F94" w:rsidRPr="00602F08">
        <w:rPr>
          <w:rFonts w:ascii="Times New Roman" w:hAnsi="Times New Roman"/>
        </w:rPr>
        <w:t>th</w:t>
      </w:r>
      <w:r w:rsidR="00EA4D63" w:rsidRPr="00602F08">
        <w:rPr>
          <w:rFonts w:ascii="Times New Roman" w:hAnsi="Times New Roman"/>
        </w:rPr>
        <w:t>e Policy</w:t>
      </w:r>
      <w:r w:rsidR="00762BCE" w:rsidRPr="00602F08">
        <w:rPr>
          <w:rFonts w:ascii="Times New Roman" w:hAnsi="Times New Roman"/>
        </w:rPr>
        <w:t xml:space="preserve"> is focused on</w:t>
      </w:r>
      <w:r w:rsidR="00EA4D63" w:rsidRPr="00602F08">
        <w:rPr>
          <w:rFonts w:ascii="Times New Roman" w:hAnsi="Times New Roman"/>
        </w:rPr>
        <w:t xml:space="preserve"> the decision</w:t>
      </w:r>
      <w:r w:rsidR="008B69AA" w:rsidRPr="00602F08">
        <w:rPr>
          <w:rFonts w:ascii="Times New Roman" w:hAnsi="Times New Roman"/>
        </w:rPr>
        <w:t xml:space="preserve"> </w:t>
      </w:r>
      <w:r w:rsidR="00170A7A" w:rsidRPr="00602F08">
        <w:rPr>
          <w:rFonts w:ascii="Times New Roman" w:hAnsi="Times New Roman"/>
        </w:rPr>
        <w:t>whethe</w:t>
      </w:r>
      <w:r w:rsidR="00A47C8C" w:rsidRPr="00602F08">
        <w:rPr>
          <w:rFonts w:ascii="Times New Roman" w:hAnsi="Times New Roman"/>
        </w:rPr>
        <w:t xml:space="preserve">r </w:t>
      </w:r>
      <w:r w:rsidR="00B60FE6" w:rsidRPr="00602F08">
        <w:rPr>
          <w:rFonts w:ascii="Times New Roman" w:hAnsi="Times New Roman"/>
        </w:rPr>
        <w:t xml:space="preserve">there is </w:t>
      </w:r>
      <w:r w:rsidR="00A47C8C" w:rsidRPr="00602F08">
        <w:rPr>
          <w:rFonts w:ascii="Times New Roman" w:hAnsi="Times New Roman"/>
        </w:rPr>
        <w:t>a duty to</w:t>
      </w:r>
      <w:r w:rsidR="00EE1BC4" w:rsidRPr="00602F08">
        <w:rPr>
          <w:rFonts w:ascii="Times New Roman" w:hAnsi="Times New Roman"/>
        </w:rPr>
        <w:t xml:space="preserve"> accommodate</w:t>
      </w:r>
      <w:r w:rsidR="00021992" w:rsidRPr="00602F08">
        <w:rPr>
          <w:rFonts w:ascii="Times New Roman" w:hAnsi="Times New Roman"/>
        </w:rPr>
        <w:t xml:space="preserve"> in the case of an individual</w:t>
      </w:r>
      <w:r w:rsidR="0036597B" w:rsidRPr="00602F08">
        <w:rPr>
          <w:rFonts w:ascii="Times New Roman" w:hAnsi="Times New Roman"/>
        </w:rPr>
        <w:t>,</w:t>
      </w:r>
      <w:r w:rsidR="00EE1BC4" w:rsidRPr="00602F08">
        <w:rPr>
          <w:rFonts w:ascii="Times New Roman" w:hAnsi="Times New Roman"/>
        </w:rPr>
        <w:t xml:space="preserve"> </w:t>
      </w:r>
      <w:r w:rsidR="00EA4D63" w:rsidRPr="00602F08">
        <w:rPr>
          <w:rFonts w:ascii="Times New Roman" w:hAnsi="Times New Roman"/>
        </w:rPr>
        <w:t xml:space="preserve">and not </w:t>
      </w:r>
      <w:r w:rsidR="00E32B02" w:rsidRPr="00602F08">
        <w:rPr>
          <w:rFonts w:ascii="Times New Roman" w:hAnsi="Times New Roman"/>
        </w:rPr>
        <w:t xml:space="preserve">on </w:t>
      </w:r>
      <w:r w:rsidR="00EA4D63" w:rsidRPr="00602F08">
        <w:rPr>
          <w:rFonts w:ascii="Times New Roman" w:hAnsi="Times New Roman"/>
        </w:rPr>
        <w:t>the provision of accommodat</w:t>
      </w:r>
      <w:r w:rsidR="00762BCE" w:rsidRPr="00602F08">
        <w:rPr>
          <w:rFonts w:ascii="Times New Roman" w:hAnsi="Times New Roman"/>
        </w:rPr>
        <w:t xml:space="preserve">ion pursuant to </w:t>
      </w:r>
      <w:r w:rsidR="00F34151" w:rsidRPr="00602F08">
        <w:rPr>
          <w:rFonts w:ascii="Times New Roman" w:hAnsi="Times New Roman"/>
        </w:rPr>
        <w:t>a</w:t>
      </w:r>
      <w:r w:rsidR="00774D25" w:rsidRPr="00602F08">
        <w:rPr>
          <w:rFonts w:ascii="Times New Roman" w:hAnsi="Times New Roman"/>
        </w:rPr>
        <w:t xml:space="preserve"> </w:t>
      </w:r>
      <w:r w:rsidR="00EE1BC4" w:rsidRPr="00602F08">
        <w:rPr>
          <w:rFonts w:ascii="Times New Roman" w:hAnsi="Times New Roman"/>
        </w:rPr>
        <w:t>decision</w:t>
      </w:r>
      <w:r w:rsidR="00F34151" w:rsidRPr="00602F08">
        <w:rPr>
          <w:rFonts w:ascii="Times New Roman" w:hAnsi="Times New Roman"/>
        </w:rPr>
        <w:t xml:space="preserve"> that there is a duty to accommodate</w:t>
      </w:r>
      <w:r w:rsidR="00D5319B" w:rsidRPr="00602F08">
        <w:rPr>
          <w:rFonts w:ascii="Times New Roman" w:hAnsi="Times New Roman"/>
        </w:rPr>
        <w:t xml:space="preserve"> that individual</w:t>
      </w:r>
      <w:r w:rsidR="00762BCE" w:rsidRPr="00602F08">
        <w:rPr>
          <w:rFonts w:ascii="Times New Roman" w:hAnsi="Times New Roman"/>
        </w:rPr>
        <w:t xml:space="preserve">. </w:t>
      </w:r>
    </w:p>
    <w:p w14:paraId="4C64BE23" w14:textId="77777777" w:rsidR="00275258" w:rsidRPr="00602F08" w:rsidRDefault="00275258" w:rsidP="00B6212D">
      <w:pPr>
        <w:pStyle w:val="ListParagraph"/>
        <w:ind w:left="687"/>
        <w:jc w:val="both"/>
        <w:rPr>
          <w:rFonts w:ascii="Times New Roman" w:hAnsi="Times New Roman"/>
        </w:rPr>
      </w:pPr>
    </w:p>
    <w:p w14:paraId="1AE44F47" w14:textId="486061D5" w:rsidR="00636F94" w:rsidRPr="00602F08" w:rsidRDefault="00AF6719" w:rsidP="00B6212D">
      <w:pPr>
        <w:pStyle w:val="ListParagraph"/>
        <w:numPr>
          <w:ilvl w:val="0"/>
          <w:numId w:val="10"/>
        </w:numPr>
        <w:jc w:val="both"/>
        <w:rPr>
          <w:rFonts w:ascii="Times New Roman" w:hAnsi="Times New Roman"/>
        </w:rPr>
      </w:pPr>
      <w:r w:rsidRPr="00602F08">
        <w:rPr>
          <w:rFonts w:ascii="Times New Roman" w:hAnsi="Times New Roman"/>
        </w:rPr>
        <w:t>It is also to be noted that u</w:t>
      </w:r>
      <w:r w:rsidR="009B68BC" w:rsidRPr="00602F08">
        <w:rPr>
          <w:rFonts w:ascii="Times New Roman" w:hAnsi="Times New Roman"/>
        </w:rPr>
        <w:t>nder the Policy</w:t>
      </w:r>
      <w:r w:rsidR="004C0C85" w:rsidRPr="00602F08">
        <w:rPr>
          <w:rFonts w:ascii="Times New Roman" w:hAnsi="Times New Roman"/>
        </w:rPr>
        <w:t>,</w:t>
      </w:r>
      <w:r w:rsidR="009B68BC" w:rsidRPr="00602F08">
        <w:rPr>
          <w:rFonts w:ascii="Times New Roman" w:hAnsi="Times New Roman"/>
        </w:rPr>
        <w:t xml:space="preserve"> </w:t>
      </w:r>
      <w:r w:rsidR="001D12C1" w:rsidRPr="00602F08">
        <w:rPr>
          <w:rFonts w:ascii="Times New Roman" w:hAnsi="Times New Roman"/>
        </w:rPr>
        <w:t xml:space="preserve">consideration </w:t>
      </w:r>
      <w:r w:rsidR="009B68BC" w:rsidRPr="00602F08">
        <w:rPr>
          <w:rFonts w:ascii="Times New Roman" w:hAnsi="Times New Roman"/>
        </w:rPr>
        <w:t xml:space="preserve">by the Secretary </w:t>
      </w:r>
      <w:r w:rsidR="001D12C1" w:rsidRPr="00602F08">
        <w:rPr>
          <w:rFonts w:ascii="Times New Roman" w:hAnsi="Times New Roman"/>
        </w:rPr>
        <w:t xml:space="preserve">of </w:t>
      </w:r>
      <w:r w:rsidR="009B68BC" w:rsidRPr="00602F08">
        <w:rPr>
          <w:rFonts w:ascii="Times New Roman" w:hAnsi="Times New Roman"/>
        </w:rPr>
        <w:t xml:space="preserve">State </w:t>
      </w:r>
      <w:r w:rsidR="002102CC" w:rsidRPr="00602F08">
        <w:rPr>
          <w:rFonts w:ascii="Times New Roman" w:hAnsi="Times New Roman"/>
        </w:rPr>
        <w:t xml:space="preserve">through her </w:t>
      </w:r>
      <w:r w:rsidR="00D21F0B" w:rsidRPr="00602F08">
        <w:rPr>
          <w:rFonts w:ascii="Times New Roman" w:hAnsi="Times New Roman"/>
        </w:rPr>
        <w:t xml:space="preserve">or his </w:t>
      </w:r>
      <w:r w:rsidR="002102CC" w:rsidRPr="00602F08">
        <w:rPr>
          <w:rFonts w:ascii="Times New Roman" w:hAnsi="Times New Roman"/>
        </w:rPr>
        <w:t xml:space="preserve">officials </w:t>
      </w:r>
      <w:r w:rsidR="00CE4C2B" w:rsidRPr="00602F08">
        <w:rPr>
          <w:rFonts w:ascii="Times New Roman" w:hAnsi="Times New Roman"/>
        </w:rPr>
        <w:t xml:space="preserve">of </w:t>
      </w:r>
      <w:r w:rsidR="001D12C1" w:rsidRPr="00602F08">
        <w:rPr>
          <w:rFonts w:ascii="Times New Roman" w:hAnsi="Times New Roman"/>
        </w:rPr>
        <w:t xml:space="preserve">whether </w:t>
      </w:r>
      <w:r w:rsidR="00624030" w:rsidRPr="00602F08">
        <w:rPr>
          <w:rFonts w:ascii="Times New Roman" w:hAnsi="Times New Roman"/>
        </w:rPr>
        <w:t xml:space="preserve">an individual </w:t>
      </w:r>
      <w:r w:rsidR="001D12C1" w:rsidRPr="00602F08">
        <w:rPr>
          <w:rFonts w:ascii="Times New Roman" w:hAnsi="Times New Roman"/>
        </w:rPr>
        <w:t xml:space="preserve">can </w:t>
      </w:r>
      <w:r w:rsidR="000835E2" w:rsidRPr="00602F08">
        <w:rPr>
          <w:rFonts w:ascii="Times New Roman" w:hAnsi="Times New Roman"/>
        </w:rPr>
        <w:t xml:space="preserve">instead </w:t>
      </w:r>
      <w:r w:rsidR="001D12C1" w:rsidRPr="00602F08">
        <w:rPr>
          <w:rFonts w:ascii="Times New Roman" w:hAnsi="Times New Roman"/>
        </w:rPr>
        <w:t>obtain accommodation and support from charitable or community sources</w:t>
      </w:r>
      <w:r w:rsidR="001F5CF1" w:rsidRPr="00602F08">
        <w:rPr>
          <w:rFonts w:ascii="Times New Roman" w:hAnsi="Times New Roman"/>
        </w:rPr>
        <w:t xml:space="preserve"> </w:t>
      </w:r>
      <w:r w:rsidR="008B69AA" w:rsidRPr="00602F08">
        <w:rPr>
          <w:rFonts w:ascii="Times New Roman" w:hAnsi="Times New Roman"/>
        </w:rPr>
        <w:t xml:space="preserve">precedes the decision </w:t>
      </w:r>
      <w:r w:rsidR="00EE2901" w:rsidRPr="00602F08">
        <w:rPr>
          <w:rFonts w:ascii="Times New Roman" w:hAnsi="Times New Roman"/>
        </w:rPr>
        <w:t xml:space="preserve">by the Secretary of State </w:t>
      </w:r>
      <w:r w:rsidR="00565BB1" w:rsidRPr="00602F08">
        <w:rPr>
          <w:rFonts w:ascii="Times New Roman" w:hAnsi="Times New Roman"/>
        </w:rPr>
        <w:t xml:space="preserve">through her </w:t>
      </w:r>
      <w:r w:rsidR="00D21F0B" w:rsidRPr="00602F08">
        <w:rPr>
          <w:rFonts w:ascii="Times New Roman" w:hAnsi="Times New Roman"/>
        </w:rPr>
        <w:t xml:space="preserve">or his </w:t>
      </w:r>
      <w:r w:rsidR="00565BB1" w:rsidRPr="00602F08">
        <w:rPr>
          <w:rFonts w:ascii="Times New Roman" w:hAnsi="Times New Roman"/>
        </w:rPr>
        <w:t xml:space="preserve">officials </w:t>
      </w:r>
      <w:r w:rsidR="002270A6" w:rsidRPr="00602F08">
        <w:rPr>
          <w:rFonts w:ascii="Times New Roman" w:hAnsi="Times New Roman"/>
        </w:rPr>
        <w:t xml:space="preserve">that </w:t>
      </w:r>
      <w:r w:rsidR="00565BB1" w:rsidRPr="00602F08">
        <w:rPr>
          <w:rFonts w:ascii="Times New Roman" w:hAnsi="Times New Roman"/>
        </w:rPr>
        <w:t>the Secretary of State</w:t>
      </w:r>
      <w:r w:rsidR="002270A6" w:rsidRPr="00602F08">
        <w:rPr>
          <w:rFonts w:ascii="Times New Roman" w:hAnsi="Times New Roman"/>
        </w:rPr>
        <w:t xml:space="preserve"> </w:t>
      </w:r>
      <w:r w:rsidR="004C3D6F" w:rsidRPr="00602F08">
        <w:rPr>
          <w:rFonts w:ascii="Times New Roman" w:hAnsi="Times New Roman"/>
        </w:rPr>
        <w:t>ha</w:t>
      </w:r>
      <w:r w:rsidR="002270A6" w:rsidRPr="00602F08">
        <w:rPr>
          <w:rFonts w:ascii="Times New Roman" w:hAnsi="Times New Roman"/>
        </w:rPr>
        <w:t xml:space="preserve">s a duty to </w:t>
      </w:r>
      <w:r w:rsidR="00CE4C2B" w:rsidRPr="00602F08">
        <w:rPr>
          <w:rFonts w:ascii="Times New Roman" w:hAnsi="Times New Roman"/>
        </w:rPr>
        <w:t xml:space="preserve">accommodate. </w:t>
      </w:r>
      <w:r w:rsidR="003B2727" w:rsidRPr="00602F08">
        <w:rPr>
          <w:rFonts w:ascii="Times New Roman" w:hAnsi="Times New Roman"/>
        </w:rPr>
        <w:t>T</w:t>
      </w:r>
      <w:r w:rsidR="004847A1" w:rsidRPr="00602F08">
        <w:rPr>
          <w:rFonts w:ascii="Times New Roman" w:hAnsi="Times New Roman"/>
        </w:rPr>
        <w:t>h</w:t>
      </w:r>
      <w:r w:rsidR="00B33446" w:rsidRPr="00602F08">
        <w:rPr>
          <w:rFonts w:ascii="Times New Roman" w:hAnsi="Times New Roman"/>
        </w:rPr>
        <w:t xml:space="preserve">e </w:t>
      </w:r>
      <w:r w:rsidR="00B42D6D" w:rsidRPr="00602F08">
        <w:rPr>
          <w:rFonts w:ascii="Times New Roman" w:hAnsi="Times New Roman"/>
        </w:rPr>
        <w:t xml:space="preserve">present </w:t>
      </w:r>
      <w:r w:rsidR="004847A1" w:rsidRPr="00602F08">
        <w:rPr>
          <w:rFonts w:ascii="Times New Roman" w:hAnsi="Times New Roman"/>
        </w:rPr>
        <w:t xml:space="preserve">proceedings concern the </w:t>
      </w:r>
      <w:r w:rsidR="00B42D6D" w:rsidRPr="00602F08">
        <w:rPr>
          <w:rFonts w:ascii="Times New Roman" w:hAnsi="Times New Roman"/>
        </w:rPr>
        <w:t xml:space="preserve">provision of accommodation </w:t>
      </w:r>
      <w:r w:rsidR="006242DA" w:rsidRPr="00602F08">
        <w:rPr>
          <w:rFonts w:ascii="Times New Roman" w:hAnsi="Times New Roman"/>
        </w:rPr>
        <w:t>following th</w:t>
      </w:r>
      <w:r w:rsidR="00EE2901" w:rsidRPr="00602F08">
        <w:rPr>
          <w:rFonts w:ascii="Times New Roman" w:hAnsi="Times New Roman"/>
        </w:rPr>
        <w:t>at</w:t>
      </w:r>
      <w:r w:rsidR="006242DA" w:rsidRPr="00602F08">
        <w:rPr>
          <w:rFonts w:ascii="Times New Roman" w:hAnsi="Times New Roman"/>
        </w:rPr>
        <w:t xml:space="preserve"> decision</w:t>
      </w:r>
      <w:r w:rsidR="006777C0" w:rsidRPr="00602F08">
        <w:rPr>
          <w:rFonts w:ascii="Times New Roman" w:hAnsi="Times New Roman"/>
        </w:rPr>
        <w:t>.</w:t>
      </w:r>
      <w:r w:rsidR="00B80497" w:rsidRPr="00602F08">
        <w:rPr>
          <w:rFonts w:ascii="Times New Roman" w:hAnsi="Times New Roman"/>
        </w:rPr>
        <w:t xml:space="preserve"> </w:t>
      </w:r>
      <w:r w:rsidR="007A57A8" w:rsidRPr="00602F08">
        <w:rPr>
          <w:rFonts w:ascii="Times New Roman" w:hAnsi="Times New Roman"/>
        </w:rPr>
        <w:t xml:space="preserve">This is important </w:t>
      </w:r>
      <w:r w:rsidR="009768B3" w:rsidRPr="00602F08">
        <w:rPr>
          <w:rFonts w:ascii="Times New Roman" w:hAnsi="Times New Roman"/>
        </w:rPr>
        <w:t>given the obvious difficulties of a</w:t>
      </w:r>
      <w:r w:rsidR="00F11FAD" w:rsidRPr="00602F08">
        <w:rPr>
          <w:rFonts w:ascii="Times New Roman" w:hAnsi="Times New Roman"/>
        </w:rPr>
        <w:t xml:space="preserve"> situation </w:t>
      </w:r>
      <w:r w:rsidR="003B2727" w:rsidRPr="00602F08">
        <w:rPr>
          <w:rFonts w:ascii="Times New Roman" w:hAnsi="Times New Roman"/>
        </w:rPr>
        <w:t>where the Secretary of State anticipates that charities and community groups will provide accommodation whilst charities and community groups look to the Secretary of State to do s</w:t>
      </w:r>
      <w:r w:rsidR="007F4533" w:rsidRPr="00602F08">
        <w:rPr>
          <w:rFonts w:ascii="Times New Roman" w:hAnsi="Times New Roman"/>
        </w:rPr>
        <w:t>o</w:t>
      </w:r>
      <w:r w:rsidR="003B2727" w:rsidRPr="00602F08">
        <w:rPr>
          <w:rFonts w:ascii="Times New Roman" w:hAnsi="Times New Roman"/>
        </w:rPr>
        <w:t>.</w:t>
      </w:r>
      <w:r w:rsidR="00F11FAD" w:rsidRPr="00602F08">
        <w:rPr>
          <w:rFonts w:ascii="Times New Roman" w:hAnsi="Times New Roman"/>
        </w:rPr>
        <w:t xml:space="preserve"> </w:t>
      </w:r>
    </w:p>
    <w:p w14:paraId="196F32A1" w14:textId="77777777" w:rsidR="000D3A8D" w:rsidRPr="00602F08" w:rsidRDefault="000D3A8D" w:rsidP="00B6212D">
      <w:pPr>
        <w:pStyle w:val="ListParagraph"/>
        <w:jc w:val="both"/>
        <w:rPr>
          <w:rFonts w:ascii="Times New Roman" w:hAnsi="Times New Roman"/>
        </w:rPr>
      </w:pPr>
    </w:p>
    <w:p w14:paraId="003C03EC" w14:textId="7C230004" w:rsidR="000D3A8D" w:rsidRPr="00602F08" w:rsidRDefault="000D3A8D" w:rsidP="00B6212D">
      <w:pPr>
        <w:pStyle w:val="ListParagraph"/>
        <w:numPr>
          <w:ilvl w:val="0"/>
          <w:numId w:val="10"/>
        </w:numPr>
        <w:jc w:val="both"/>
        <w:rPr>
          <w:rFonts w:ascii="Times New Roman" w:hAnsi="Times New Roman"/>
        </w:rPr>
      </w:pPr>
      <w:r w:rsidRPr="00602F08">
        <w:rPr>
          <w:rStyle w:val="normaltextrun"/>
          <w:rFonts w:ascii="Times New Roman" w:hAnsi="Times New Roman"/>
          <w:lang w:val="en-US"/>
        </w:rPr>
        <w:t xml:space="preserve">Ms Carol Bond </w:t>
      </w:r>
      <w:r w:rsidR="00781262" w:rsidRPr="00602F08">
        <w:rPr>
          <w:rStyle w:val="normaltextrun"/>
          <w:rFonts w:ascii="Times New Roman" w:hAnsi="Times New Roman"/>
          <w:lang w:val="en-US"/>
        </w:rPr>
        <w:t xml:space="preserve">is </w:t>
      </w:r>
      <w:r w:rsidRPr="00602F08">
        <w:rPr>
          <w:rStyle w:val="normaltextrun"/>
          <w:rFonts w:ascii="Times New Roman" w:hAnsi="Times New Roman"/>
          <w:lang w:val="en-US"/>
        </w:rPr>
        <w:t>a Senior Caseworker with the Asylum Financial Support Team at the Home Offic</w:t>
      </w:r>
      <w:r w:rsidR="00781262" w:rsidRPr="00602F08">
        <w:rPr>
          <w:rStyle w:val="normaltextrun"/>
          <w:rFonts w:ascii="Times New Roman" w:hAnsi="Times New Roman"/>
          <w:lang w:val="en-US"/>
        </w:rPr>
        <w:t>e</w:t>
      </w:r>
      <w:r w:rsidR="008007C2" w:rsidRPr="00602F08">
        <w:rPr>
          <w:rStyle w:val="normaltextrun"/>
          <w:rFonts w:ascii="Times New Roman" w:hAnsi="Times New Roman"/>
          <w:lang w:val="en-US"/>
        </w:rPr>
        <w:t>. Her role includes “offer[ing</w:t>
      </w:r>
      <w:r w:rsidR="00DB2B33" w:rsidRPr="00602F08">
        <w:rPr>
          <w:rStyle w:val="normaltextrun"/>
          <w:rFonts w:ascii="Times New Roman" w:hAnsi="Times New Roman"/>
          <w:lang w:val="en-US"/>
        </w:rPr>
        <w:t>]</w:t>
      </w:r>
      <w:r w:rsidR="008007C2" w:rsidRPr="00602F08">
        <w:rPr>
          <w:rStyle w:val="normaltextrun"/>
          <w:rFonts w:ascii="Times New Roman" w:hAnsi="Times New Roman"/>
          <w:lang w:val="en-US"/>
        </w:rPr>
        <w:t xml:space="preserve"> advice and guidance on complex queries that impact process and policy”. </w:t>
      </w:r>
      <w:r w:rsidR="00D1109E" w:rsidRPr="00602F08">
        <w:rPr>
          <w:rStyle w:val="normaltextrun"/>
          <w:rFonts w:ascii="Times New Roman" w:hAnsi="Times New Roman"/>
          <w:lang w:val="en-US"/>
        </w:rPr>
        <w:t xml:space="preserve">Having confirmed her authority to make a witness statement on behalf of the Home Office she </w:t>
      </w:r>
      <w:r w:rsidR="002274B9" w:rsidRPr="00602F08">
        <w:rPr>
          <w:rStyle w:val="normaltextrun"/>
          <w:rFonts w:ascii="Times New Roman" w:hAnsi="Times New Roman"/>
          <w:lang w:val="en-US"/>
        </w:rPr>
        <w:t xml:space="preserve">stated “… the Home Office recognises </w:t>
      </w:r>
      <w:r w:rsidR="00DB2B33" w:rsidRPr="00602F08">
        <w:rPr>
          <w:rStyle w:val="normaltextrun"/>
          <w:rFonts w:ascii="Times New Roman" w:hAnsi="Times New Roman"/>
          <w:lang w:val="en-US"/>
        </w:rPr>
        <w:t>that we</w:t>
      </w:r>
      <w:r w:rsidR="002274B9" w:rsidRPr="00602F08">
        <w:rPr>
          <w:rStyle w:val="normaltextrun"/>
          <w:rFonts w:ascii="Times New Roman" w:hAnsi="Times New Roman"/>
          <w:lang w:val="en-US"/>
        </w:rPr>
        <w:t xml:space="preserve"> are working with highly vulnerable people</w:t>
      </w:r>
      <w:r w:rsidR="00B94BF1" w:rsidRPr="00602F08">
        <w:rPr>
          <w:rStyle w:val="normaltextrun"/>
          <w:rFonts w:ascii="Times New Roman" w:hAnsi="Times New Roman"/>
          <w:lang w:val="en-US"/>
        </w:rPr>
        <w:t xml:space="preserve"> …”.</w:t>
      </w:r>
      <w:r w:rsidR="00781262" w:rsidRPr="00602F08">
        <w:rPr>
          <w:rStyle w:val="normaltextrun"/>
          <w:rFonts w:ascii="Times New Roman" w:hAnsi="Times New Roman"/>
          <w:lang w:val="en-US"/>
        </w:rPr>
        <w:t xml:space="preserve"> </w:t>
      </w:r>
    </w:p>
    <w:p w14:paraId="613F9C11" w14:textId="77777777" w:rsidR="00CA20F7" w:rsidRPr="00602F08" w:rsidRDefault="00CA20F7" w:rsidP="00B6212D">
      <w:pPr>
        <w:jc w:val="both"/>
      </w:pPr>
    </w:p>
    <w:p w14:paraId="60532293" w14:textId="4A5E684F" w:rsidR="00CA20F7" w:rsidRPr="00602F08" w:rsidRDefault="00CA20F7" w:rsidP="00B6212D">
      <w:pPr>
        <w:jc w:val="both"/>
      </w:pPr>
    </w:p>
    <w:p w14:paraId="22D48C63" w14:textId="77777777" w:rsidR="00676BCD" w:rsidRPr="00602F08" w:rsidRDefault="00676BCD" w:rsidP="00B6212D">
      <w:pPr>
        <w:jc w:val="both"/>
      </w:pPr>
    </w:p>
    <w:p w14:paraId="7062388B" w14:textId="1CBCC2A5" w:rsidR="00CA20F7" w:rsidRPr="00602F08" w:rsidRDefault="00CC4AF8" w:rsidP="00B6212D">
      <w:pPr>
        <w:jc w:val="both"/>
        <w:rPr>
          <w:b/>
          <w:bCs/>
          <w:u w:val="single"/>
        </w:rPr>
      </w:pPr>
      <w:r w:rsidRPr="00602F08">
        <w:rPr>
          <w:b/>
          <w:bCs/>
          <w:u w:val="single"/>
        </w:rPr>
        <w:t>G</w:t>
      </w:r>
      <w:r w:rsidR="00CA20F7" w:rsidRPr="00602F08">
        <w:rPr>
          <w:b/>
          <w:bCs/>
          <w:u w:val="single"/>
        </w:rPr>
        <w:t>uidance</w:t>
      </w:r>
    </w:p>
    <w:p w14:paraId="03200FDB" w14:textId="77777777" w:rsidR="00CA20F7" w:rsidRPr="00602F08" w:rsidRDefault="00CA20F7" w:rsidP="00B6212D">
      <w:pPr>
        <w:jc w:val="both"/>
      </w:pPr>
    </w:p>
    <w:p w14:paraId="000CF2A5" w14:textId="25CB5324" w:rsidR="00CA20F7" w:rsidRPr="00602F08" w:rsidRDefault="00CA20F7" w:rsidP="00B6212D">
      <w:pPr>
        <w:pStyle w:val="ListParagraph"/>
        <w:numPr>
          <w:ilvl w:val="0"/>
          <w:numId w:val="10"/>
        </w:numPr>
        <w:jc w:val="both"/>
        <w:rPr>
          <w:rFonts w:ascii="Times New Roman" w:hAnsi="Times New Roman"/>
        </w:rPr>
      </w:pPr>
      <w:r w:rsidRPr="00602F08">
        <w:rPr>
          <w:rFonts w:ascii="Times New Roman" w:hAnsi="Times New Roman"/>
        </w:rPr>
        <w:t xml:space="preserve">The Secretary of State has </w:t>
      </w:r>
      <w:r w:rsidR="000270A2" w:rsidRPr="00602F08">
        <w:rPr>
          <w:rFonts w:ascii="Times New Roman" w:hAnsi="Times New Roman"/>
        </w:rPr>
        <w:t xml:space="preserve">additionally </w:t>
      </w:r>
      <w:r w:rsidRPr="00602F08">
        <w:rPr>
          <w:rFonts w:ascii="Times New Roman" w:hAnsi="Times New Roman"/>
        </w:rPr>
        <w:t>produced a guide entitled</w:t>
      </w:r>
      <w:r w:rsidRPr="00602F08">
        <w:rPr>
          <w:rFonts w:ascii="Times New Roman" w:hAnsi="Times New Roman"/>
          <w:spacing w:val="34"/>
        </w:rPr>
        <w:t xml:space="preserve"> </w:t>
      </w:r>
      <w:r w:rsidR="00923CA5" w:rsidRPr="00602F08">
        <w:rPr>
          <w:rFonts w:ascii="Times New Roman" w:hAnsi="Times New Roman"/>
          <w:spacing w:val="34"/>
        </w:rPr>
        <w:t>“</w:t>
      </w:r>
      <w:r w:rsidRPr="00602F08">
        <w:rPr>
          <w:rFonts w:ascii="Times New Roman" w:hAnsi="Times New Roman"/>
        </w:rPr>
        <w:t>Asylum</w:t>
      </w:r>
      <w:r w:rsidRPr="00602F08">
        <w:rPr>
          <w:rFonts w:ascii="Times New Roman" w:hAnsi="Times New Roman"/>
          <w:spacing w:val="34"/>
        </w:rPr>
        <w:t xml:space="preserve"> </w:t>
      </w:r>
      <w:r w:rsidRPr="00602F08">
        <w:rPr>
          <w:rFonts w:ascii="Times New Roman" w:hAnsi="Times New Roman"/>
        </w:rPr>
        <w:t>Accommodation</w:t>
      </w:r>
      <w:r w:rsidRPr="00602F08">
        <w:rPr>
          <w:rFonts w:ascii="Times New Roman" w:hAnsi="Times New Roman"/>
          <w:spacing w:val="34"/>
        </w:rPr>
        <w:t xml:space="preserve"> </w:t>
      </w:r>
      <w:r w:rsidRPr="00602F08">
        <w:rPr>
          <w:rFonts w:ascii="Times New Roman" w:hAnsi="Times New Roman"/>
        </w:rPr>
        <w:t>and</w:t>
      </w:r>
      <w:r w:rsidRPr="00602F08">
        <w:rPr>
          <w:rFonts w:ascii="Times New Roman" w:hAnsi="Times New Roman"/>
          <w:spacing w:val="35"/>
        </w:rPr>
        <w:t xml:space="preserve"> </w:t>
      </w:r>
      <w:r w:rsidRPr="00602F08">
        <w:rPr>
          <w:rFonts w:ascii="Times New Roman" w:hAnsi="Times New Roman"/>
        </w:rPr>
        <w:t>Support Transformation Service Delivery Guide</w:t>
      </w:r>
      <w:r w:rsidR="00923CA5" w:rsidRPr="00602F08">
        <w:rPr>
          <w:rFonts w:ascii="Times New Roman" w:hAnsi="Times New Roman"/>
        </w:rPr>
        <w:t>”</w:t>
      </w:r>
      <w:r w:rsidRPr="00602F08">
        <w:rPr>
          <w:rFonts w:ascii="Times New Roman" w:hAnsi="Times New Roman"/>
        </w:rPr>
        <w:t xml:space="preserve"> (January 2019) (“the Guide”). </w:t>
      </w:r>
      <w:r w:rsidR="00B5576C" w:rsidRPr="00602F08">
        <w:rPr>
          <w:rFonts w:ascii="Times New Roman" w:hAnsi="Times New Roman"/>
        </w:rPr>
        <w:t>This addressed the provision of accommodation</w:t>
      </w:r>
      <w:r w:rsidR="00585E67" w:rsidRPr="00602F08">
        <w:rPr>
          <w:rFonts w:ascii="Times New Roman" w:hAnsi="Times New Roman"/>
        </w:rPr>
        <w:t>, referred to as “dispersal”</w:t>
      </w:r>
      <w:r w:rsidR="00D84F1F" w:rsidRPr="00602F08">
        <w:rPr>
          <w:rFonts w:ascii="Times New Roman" w:hAnsi="Times New Roman"/>
        </w:rPr>
        <w:t xml:space="preserve"> of an individual</w:t>
      </w:r>
      <w:r w:rsidR="00585E67" w:rsidRPr="00602F08">
        <w:rPr>
          <w:rFonts w:ascii="Times New Roman" w:hAnsi="Times New Roman"/>
        </w:rPr>
        <w:t>,</w:t>
      </w:r>
      <w:r w:rsidR="00B5576C" w:rsidRPr="00602F08">
        <w:rPr>
          <w:rFonts w:ascii="Times New Roman" w:hAnsi="Times New Roman"/>
        </w:rPr>
        <w:t xml:space="preserve"> pursuant to a decision that there is a duty to accommodate</w:t>
      </w:r>
      <w:r w:rsidR="00D5319B" w:rsidRPr="00602F08">
        <w:rPr>
          <w:rFonts w:ascii="Times New Roman" w:hAnsi="Times New Roman"/>
        </w:rPr>
        <w:t xml:space="preserve"> an individual</w:t>
      </w:r>
      <w:r w:rsidR="00B5576C" w:rsidRPr="00602F08">
        <w:rPr>
          <w:rFonts w:ascii="Times New Roman" w:hAnsi="Times New Roman"/>
        </w:rPr>
        <w:t xml:space="preserve">. </w:t>
      </w:r>
    </w:p>
    <w:p w14:paraId="0BC54C42" w14:textId="77777777" w:rsidR="00CA20F7" w:rsidRPr="00602F08" w:rsidRDefault="00CA20F7" w:rsidP="00B6212D">
      <w:pPr>
        <w:pStyle w:val="ListParagraph"/>
        <w:widowControl w:val="0"/>
        <w:tabs>
          <w:tab w:val="left" w:pos="688"/>
        </w:tabs>
        <w:autoSpaceDE w:val="0"/>
        <w:autoSpaceDN w:val="0"/>
        <w:ind w:left="687"/>
        <w:contextualSpacing w:val="0"/>
        <w:jc w:val="both"/>
        <w:rPr>
          <w:rFonts w:ascii="Times New Roman" w:hAnsi="Times New Roman"/>
        </w:rPr>
      </w:pPr>
    </w:p>
    <w:p w14:paraId="2B0B3FD0" w14:textId="77777777" w:rsidR="00CA20F7" w:rsidRPr="00602F08" w:rsidRDefault="00CA20F7" w:rsidP="00B6212D">
      <w:pPr>
        <w:pStyle w:val="ListParagraph"/>
        <w:widowControl w:val="0"/>
        <w:numPr>
          <w:ilvl w:val="0"/>
          <w:numId w:val="10"/>
        </w:numPr>
        <w:tabs>
          <w:tab w:val="left" w:pos="688"/>
        </w:tabs>
        <w:autoSpaceDE w:val="0"/>
        <w:autoSpaceDN w:val="0"/>
        <w:contextualSpacing w:val="0"/>
        <w:jc w:val="both"/>
        <w:rPr>
          <w:rFonts w:ascii="Times New Roman" w:hAnsi="Times New Roman"/>
        </w:rPr>
      </w:pPr>
      <w:r w:rsidRPr="00602F08">
        <w:rPr>
          <w:rFonts w:ascii="Times New Roman" w:hAnsi="Times New Roman"/>
        </w:rPr>
        <w:t>This provides:</w:t>
      </w:r>
    </w:p>
    <w:p w14:paraId="699BCE23" w14:textId="0FC9BBB2" w:rsidR="00CA20F7" w:rsidRPr="00602F08" w:rsidRDefault="00CA20F7" w:rsidP="00B6212D">
      <w:pPr>
        <w:pStyle w:val="BodyText"/>
        <w:spacing w:before="137"/>
        <w:ind w:left="1749"/>
        <w:jc w:val="both"/>
      </w:pPr>
      <w:r w:rsidRPr="00602F08">
        <w:t xml:space="preserve">“6.2 The [section 4] process is the same as for </w:t>
      </w:r>
      <w:r w:rsidR="007018EC" w:rsidRPr="00602F08">
        <w:t>[section 95 of the 1999 Act]</w:t>
      </w:r>
      <w:r w:rsidRPr="00602F08">
        <w:t xml:space="preserve"> … apart from:</w:t>
      </w:r>
    </w:p>
    <w:p w14:paraId="462A545E" w14:textId="77777777" w:rsidR="008A3012" w:rsidRPr="00602F08" w:rsidRDefault="008A3012" w:rsidP="00B6212D">
      <w:pPr>
        <w:pStyle w:val="BodyText"/>
        <w:spacing w:before="137"/>
        <w:ind w:left="1474" w:firstLine="275"/>
        <w:jc w:val="both"/>
      </w:pPr>
    </w:p>
    <w:p w14:paraId="1940066C" w14:textId="02FAFC0A" w:rsidR="00CA20F7" w:rsidRPr="00602F08" w:rsidRDefault="00CA20F7" w:rsidP="00B6212D">
      <w:pPr>
        <w:pStyle w:val="BodyText"/>
        <w:ind w:left="2268"/>
        <w:jc w:val="both"/>
      </w:pPr>
      <w:r w:rsidRPr="00602F08">
        <w:t xml:space="preserve">i. </w:t>
      </w:r>
      <w:r w:rsidRPr="00602F08">
        <w:tab/>
        <w:t xml:space="preserve">Dispersals for Section 4 should normally occur within 24 hrs, 48hrs or 9 working days of the Provider receiving the relevant accommodation request </w:t>
      </w:r>
      <w:r w:rsidR="0040370E" w:rsidRPr="00602F08">
        <w:t>…</w:t>
      </w:r>
      <w:r w:rsidRPr="00602F08">
        <w:t>. This will be in line with the different priority categories of Service Users</w:t>
      </w:r>
    </w:p>
    <w:p w14:paraId="5F07C078" w14:textId="77777777" w:rsidR="005C400B" w:rsidRPr="00602F08" w:rsidRDefault="005C400B" w:rsidP="00B6212D">
      <w:pPr>
        <w:pStyle w:val="BodyText"/>
        <w:ind w:left="2268"/>
        <w:jc w:val="both"/>
      </w:pPr>
    </w:p>
    <w:p w14:paraId="48431608" w14:textId="648938F6" w:rsidR="00CA20F7" w:rsidRPr="00602F08" w:rsidRDefault="00CA20F7" w:rsidP="00B6212D">
      <w:pPr>
        <w:pStyle w:val="ListParagraph"/>
        <w:widowControl w:val="0"/>
        <w:tabs>
          <w:tab w:val="left" w:pos="1090"/>
        </w:tabs>
        <w:autoSpaceDE w:val="0"/>
        <w:autoSpaceDN w:val="0"/>
        <w:ind w:left="2880" w:hanging="1791"/>
        <w:contextualSpacing w:val="0"/>
        <w:jc w:val="both"/>
        <w:rPr>
          <w:rFonts w:ascii="Times New Roman" w:hAnsi="Times New Roman"/>
        </w:rPr>
      </w:pPr>
      <w:r w:rsidRPr="00602F08">
        <w:rPr>
          <w:rFonts w:ascii="Times New Roman" w:hAnsi="Times New Roman"/>
        </w:rPr>
        <w:tab/>
      </w:r>
      <w:r w:rsidRPr="00602F08">
        <w:rPr>
          <w:rFonts w:ascii="Times New Roman" w:hAnsi="Times New Roman"/>
        </w:rPr>
        <w:tab/>
        <w:t>- Category A (Street Destitute: family or single parent): 24 hours to accommodate</w:t>
      </w:r>
    </w:p>
    <w:p w14:paraId="50B0FE9B" w14:textId="68094062" w:rsidR="00CA20F7" w:rsidRPr="00602F08" w:rsidRDefault="00CA20F7" w:rsidP="00B6212D">
      <w:pPr>
        <w:pStyle w:val="ListParagraph"/>
        <w:widowControl w:val="0"/>
        <w:tabs>
          <w:tab w:val="left" w:pos="1150"/>
        </w:tabs>
        <w:autoSpaceDE w:val="0"/>
        <w:autoSpaceDN w:val="0"/>
        <w:ind w:left="2880" w:hanging="2160"/>
        <w:contextualSpacing w:val="0"/>
        <w:jc w:val="both"/>
        <w:rPr>
          <w:rFonts w:ascii="Times New Roman" w:hAnsi="Times New Roman"/>
        </w:rPr>
      </w:pPr>
      <w:r w:rsidRPr="00602F08">
        <w:rPr>
          <w:rFonts w:ascii="Times New Roman" w:hAnsi="Times New Roman"/>
        </w:rPr>
        <w:tab/>
      </w:r>
      <w:r w:rsidRPr="00602F08">
        <w:rPr>
          <w:rFonts w:ascii="Times New Roman" w:hAnsi="Times New Roman"/>
        </w:rPr>
        <w:tab/>
        <w:t>-</w:t>
      </w:r>
      <w:r w:rsidR="008A3012" w:rsidRPr="00602F08">
        <w:rPr>
          <w:rFonts w:ascii="Times New Roman" w:hAnsi="Times New Roman"/>
        </w:rPr>
        <w:t xml:space="preserve"> </w:t>
      </w:r>
      <w:r w:rsidRPr="00602F08">
        <w:rPr>
          <w:rFonts w:ascii="Times New Roman" w:hAnsi="Times New Roman"/>
        </w:rPr>
        <w:t>Category B (Street Destitute: Single person): 48 hours to accommodate,</w:t>
      </w:r>
      <w:r w:rsidRPr="00602F08">
        <w:rPr>
          <w:rFonts w:ascii="Times New Roman" w:hAnsi="Times New Roman"/>
          <w:spacing w:val="-6"/>
        </w:rPr>
        <w:t xml:space="preserve"> </w:t>
      </w:r>
      <w:r w:rsidRPr="00602F08">
        <w:rPr>
          <w:rFonts w:ascii="Times New Roman" w:hAnsi="Times New Roman"/>
        </w:rPr>
        <w:t>or</w:t>
      </w:r>
    </w:p>
    <w:p w14:paraId="31246803" w14:textId="6E0656BB" w:rsidR="00CA20F7" w:rsidRPr="00602F08" w:rsidRDefault="00CA20F7" w:rsidP="00B6212D">
      <w:pPr>
        <w:pStyle w:val="ListParagraph"/>
        <w:widowControl w:val="0"/>
        <w:tabs>
          <w:tab w:val="left" w:pos="1187"/>
        </w:tabs>
        <w:autoSpaceDE w:val="0"/>
        <w:autoSpaceDN w:val="0"/>
        <w:ind w:left="2880" w:hanging="1978"/>
        <w:contextualSpacing w:val="0"/>
        <w:jc w:val="both"/>
        <w:rPr>
          <w:rFonts w:ascii="Times New Roman" w:hAnsi="Times New Roman"/>
          <w:spacing w:val="35"/>
        </w:rPr>
      </w:pPr>
      <w:r w:rsidRPr="00602F08">
        <w:rPr>
          <w:rFonts w:ascii="Times New Roman" w:hAnsi="Times New Roman"/>
        </w:rPr>
        <w:tab/>
      </w:r>
      <w:r w:rsidRPr="00602F08">
        <w:rPr>
          <w:rFonts w:ascii="Times New Roman" w:hAnsi="Times New Roman"/>
        </w:rPr>
        <w:tab/>
        <w:t>-</w:t>
      </w:r>
      <w:r w:rsidR="008A3012" w:rsidRPr="00602F08">
        <w:rPr>
          <w:rFonts w:ascii="Times New Roman" w:hAnsi="Times New Roman"/>
        </w:rPr>
        <w:t xml:space="preserve"> </w:t>
      </w:r>
      <w:r w:rsidRPr="00602F08">
        <w:rPr>
          <w:rFonts w:ascii="Times New Roman" w:hAnsi="Times New Roman"/>
        </w:rPr>
        <w:t>Category C (Staying with friends or family/change in circumstances: Singles or Families):</w:t>
      </w:r>
      <w:r w:rsidRPr="00602F08">
        <w:rPr>
          <w:rFonts w:ascii="Times New Roman" w:hAnsi="Times New Roman"/>
          <w:spacing w:val="35"/>
        </w:rPr>
        <w:t xml:space="preserve"> </w:t>
      </w:r>
      <w:r w:rsidRPr="00602F08">
        <w:rPr>
          <w:rFonts w:ascii="Times New Roman" w:hAnsi="Times New Roman"/>
        </w:rPr>
        <w:t>5-9</w:t>
      </w:r>
      <w:r w:rsidRPr="00602F08">
        <w:rPr>
          <w:rFonts w:ascii="Times New Roman" w:hAnsi="Times New Roman"/>
          <w:spacing w:val="35"/>
        </w:rPr>
        <w:t xml:space="preserve"> </w:t>
      </w:r>
      <w:r w:rsidRPr="00602F08">
        <w:rPr>
          <w:rFonts w:ascii="Times New Roman" w:hAnsi="Times New Roman"/>
        </w:rPr>
        <w:t>days</w:t>
      </w:r>
      <w:r w:rsidRPr="00602F08">
        <w:rPr>
          <w:rFonts w:ascii="Times New Roman" w:hAnsi="Times New Roman"/>
          <w:spacing w:val="35"/>
        </w:rPr>
        <w:t xml:space="preserve"> </w:t>
      </w:r>
    </w:p>
    <w:p w14:paraId="0707E41B" w14:textId="77777777" w:rsidR="005C400B" w:rsidRPr="00602F08" w:rsidRDefault="005C400B" w:rsidP="00B6212D">
      <w:pPr>
        <w:pStyle w:val="ListParagraph"/>
        <w:widowControl w:val="0"/>
        <w:tabs>
          <w:tab w:val="left" w:pos="1187"/>
        </w:tabs>
        <w:autoSpaceDE w:val="0"/>
        <w:autoSpaceDN w:val="0"/>
        <w:ind w:left="2268" w:hanging="1366"/>
        <w:contextualSpacing w:val="0"/>
        <w:jc w:val="both"/>
        <w:rPr>
          <w:rFonts w:ascii="Times New Roman" w:hAnsi="Times New Roman"/>
          <w:spacing w:val="35"/>
        </w:rPr>
      </w:pPr>
    </w:p>
    <w:p w14:paraId="5CB6FD8D" w14:textId="25D8E1DE" w:rsidR="00CA20F7" w:rsidRPr="00602F08" w:rsidRDefault="00CA20F7" w:rsidP="00B6212D">
      <w:pPr>
        <w:pStyle w:val="ListParagraph"/>
        <w:widowControl w:val="0"/>
        <w:tabs>
          <w:tab w:val="left" w:pos="1187"/>
        </w:tabs>
        <w:autoSpaceDE w:val="0"/>
        <w:autoSpaceDN w:val="0"/>
        <w:ind w:left="2268" w:hanging="1366"/>
        <w:contextualSpacing w:val="0"/>
        <w:jc w:val="both"/>
        <w:rPr>
          <w:rFonts w:ascii="Times New Roman" w:hAnsi="Times New Roman"/>
        </w:rPr>
      </w:pPr>
      <w:r w:rsidRPr="00602F08">
        <w:rPr>
          <w:rFonts w:ascii="Times New Roman" w:hAnsi="Times New Roman"/>
          <w:spacing w:val="35"/>
        </w:rPr>
        <w:tab/>
      </w:r>
      <w:r w:rsidRPr="00602F08">
        <w:rPr>
          <w:rFonts w:ascii="Times New Roman" w:hAnsi="Times New Roman"/>
          <w:spacing w:val="35"/>
        </w:rPr>
        <w:tab/>
      </w:r>
      <w:r w:rsidRPr="00602F08">
        <w:rPr>
          <w:rFonts w:ascii="Times New Roman" w:hAnsi="Times New Roman"/>
        </w:rPr>
        <w:t>Providers</w:t>
      </w:r>
      <w:r w:rsidRPr="00602F08">
        <w:rPr>
          <w:rFonts w:ascii="Times New Roman" w:hAnsi="Times New Roman"/>
          <w:spacing w:val="35"/>
        </w:rPr>
        <w:t xml:space="preserve"> </w:t>
      </w:r>
      <w:r w:rsidRPr="00602F08">
        <w:rPr>
          <w:rFonts w:ascii="Times New Roman" w:hAnsi="Times New Roman"/>
        </w:rPr>
        <w:t>will</w:t>
      </w:r>
      <w:r w:rsidRPr="00602F08">
        <w:rPr>
          <w:rFonts w:ascii="Times New Roman" w:hAnsi="Times New Roman"/>
          <w:spacing w:val="36"/>
        </w:rPr>
        <w:t xml:space="preserve"> </w:t>
      </w:r>
      <w:r w:rsidRPr="00602F08">
        <w:rPr>
          <w:rFonts w:ascii="Times New Roman" w:hAnsi="Times New Roman"/>
        </w:rPr>
        <w:t>be</w:t>
      </w:r>
      <w:r w:rsidRPr="00602F08">
        <w:rPr>
          <w:rFonts w:ascii="Times New Roman" w:hAnsi="Times New Roman"/>
          <w:spacing w:val="35"/>
        </w:rPr>
        <w:t xml:space="preserve"> </w:t>
      </w:r>
      <w:r w:rsidRPr="00602F08">
        <w:rPr>
          <w:rFonts w:ascii="Times New Roman" w:hAnsi="Times New Roman"/>
        </w:rPr>
        <w:t>advised</w:t>
      </w:r>
      <w:r w:rsidRPr="00602F08">
        <w:rPr>
          <w:rFonts w:ascii="Times New Roman" w:hAnsi="Times New Roman"/>
          <w:spacing w:val="35"/>
        </w:rPr>
        <w:t xml:space="preserve"> </w:t>
      </w:r>
      <w:r w:rsidRPr="00602F08">
        <w:rPr>
          <w:rFonts w:ascii="Times New Roman" w:hAnsi="Times New Roman"/>
        </w:rPr>
        <w:t>if</w:t>
      </w:r>
      <w:r w:rsidRPr="00602F08">
        <w:rPr>
          <w:rFonts w:ascii="Times New Roman" w:hAnsi="Times New Roman"/>
          <w:spacing w:val="35"/>
        </w:rPr>
        <w:t xml:space="preserve"> </w:t>
      </w:r>
      <w:r w:rsidRPr="00602F08">
        <w:rPr>
          <w:rFonts w:ascii="Times New Roman" w:hAnsi="Times New Roman"/>
        </w:rPr>
        <w:t>dispersal</w:t>
      </w:r>
      <w:r w:rsidRPr="00602F08">
        <w:rPr>
          <w:rFonts w:ascii="Times New Roman" w:hAnsi="Times New Roman"/>
          <w:spacing w:val="35"/>
        </w:rPr>
        <w:t xml:space="preserve"> </w:t>
      </w:r>
      <w:r w:rsidRPr="00602F08">
        <w:rPr>
          <w:rFonts w:ascii="Times New Roman" w:hAnsi="Times New Roman"/>
        </w:rPr>
        <w:t>is</w:t>
      </w:r>
      <w:r w:rsidRPr="00602F08">
        <w:rPr>
          <w:rFonts w:ascii="Times New Roman" w:hAnsi="Times New Roman"/>
          <w:spacing w:val="35"/>
        </w:rPr>
        <w:t xml:space="preserve"> </w:t>
      </w:r>
      <w:r w:rsidRPr="00602F08">
        <w:rPr>
          <w:rFonts w:ascii="Times New Roman" w:hAnsi="Times New Roman"/>
        </w:rPr>
        <w:t>required</w:t>
      </w:r>
      <w:r w:rsidRPr="00602F08">
        <w:rPr>
          <w:rFonts w:ascii="Times New Roman" w:hAnsi="Times New Roman"/>
          <w:spacing w:val="34"/>
        </w:rPr>
        <w:t xml:space="preserve"> </w:t>
      </w:r>
      <w:r w:rsidRPr="00602F08">
        <w:rPr>
          <w:rFonts w:ascii="Times New Roman" w:hAnsi="Times New Roman"/>
        </w:rPr>
        <w:t>to</w:t>
      </w:r>
      <w:r w:rsidRPr="00602F08">
        <w:rPr>
          <w:rFonts w:ascii="Times New Roman" w:hAnsi="Times New Roman"/>
          <w:spacing w:val="35"/>
        </w:rPr>
        <w:t xml:space="preserve"> </w:t>
      </w:r>
      <w:r w:rsidRPr="00602F08">
        <w:rPr>
          <w:rFonts w:ascii="Times New Roman" w:hAnsi="Times New Roman"/>
        </w:rPr>
        <w:t>occur</w:t>
      </w:r>
      <w:r w:rsidRPr="00602F08">
        <w:rPr>
          <w:rFonts w:ascii="Times New Roman" w:hAnsi="Times New Roman"/>
          <w:spacing w:val="35"/>
        </w:rPr>
        <w:t xml:space="preserve"> </w:t>
      </w:r>
      <w:r w:rsidRPr="00602F08">
        <w:rPr>
          <w:rFonts w:ascii="Times New Roman" w:hAnsi="Times New Roman"/>
        </w:rPr>
        <w:t>in a different timeframe.”</w:t>
      </w:r>
    </w:p>
    <w:p w14:paraId="7329E87B" w14:textId="39C9EE3C" w:rsidR="00CA20F7" w:rsidRPr="00602F08" w:rsidRDefault="00CA20F7" w:rsidP="00B6212D">
      <w:pPr>
        <w:jc w:val="both"/>
      </w:pPr>
    </w:p>
    <w:p w14:paraId="6309B1FC" w14:textId="77777777" w:rsidR="00387FAB" w:rsidRPr="00602F08" w:rsidRDefault="00DB5E9A" w:rsidP="00B6212D">
      <w:pPr>
        <w:pStyle w:val="ListParagraph"/>
        <w:numPr>
          <w:ilvl w:val="0"/>
          <w:numId w:val="10"/>
        </w:numPr>
        <w:jc w:val="both"/>
        <w:rPr>
          <w:rFonts w:ascii="Times New Roman" w:hAnsi="Times New Roman"/>
        </w:rPr>
      </w:pPr>
      <w:r w:rsidRPr="00602F08">
        <w:rPr>
          <w:rFonts w:ascii="Times New Roman" w:hAnsi="Times New Roman"/>
        </w:rPr>
        <w:t xml:space="preserve">The Secretary of State has also drawn attention to </w:t>
      </w:r>
      <w:r w:rsidR="001071E0" w:rsidRPr="00602F08">
        <w:rPr>
          <w:rFonts w:ascii="Times New Roman" w:hAnsi="Times New Roman"/>
        </w:rPr>
        <w:t>two other documents</w:t>
      </w:r>
      <w:r w:rsidR="00C37894" w:rsidRPr="00602F08">
        <w:rPr>
          <w:rFonts w:ascii="Times New Roman" w:hAnsi="Times New Roman"/>
        </w:rPr>
        <w:t xml:space="preserve"> produced by the Home Office or the Secretary of State</w:t>
      </w:r>
      <w:r w:rsidR="001071E0" w:rsidRPr="00602F08">
        <w:rPr>
          <w:rFonts w:ascii="Times New Roman" w:hAnsi="Times New Roman"/>
        </w:rPr>
        <w:t xml:space="preserve">. </w:t>
      </w:r>
      <w:r w:rsidR="00D84F1F" w:rsidRPr="00602F08">
        <w:rPr>
          <w:rFonts w:ascii="Times New Roman" w:hAnsi="Times New Roman"/>
        </w:rPr>
        <w:t>The first is titled</w:t>
      </w:r>
      <w:r w:rsidR="001071E0" w:rsidRPr="00602F08">
        <w:rPr>
          <w:rFonts w:ascii="Times New Roman" w:hAnsi="Times New Roman"/>
        </w:rPr>
        <w:t xml:space="preserve"> “Asylum Seekers with Care Needs</w:t>
      </w:r>
      <w:r w:rsidR="00D6274C" w:rsidRPr="00602F08">
        <w:rPr>
          <w:rFonts w:ascii="Times New Roman" w:hAnsi="Times New Roman"/>
        </w:rPr>
        <w:t xml:space="preserve">” (version 2, 3 August 2018), and </w:t>
      </w:r>
      <w:r w:rsidR="00D84F1F" w:rsidRPr="00602F08">
        <w:rPr>
          <w:rFonts w:ascii="Times New Roman" w:hAnsi="Times New Roman"/>
        </w:rPr>
        <w:t xml:space="preserve">the </w:t>
      </w:r>
      <w:r w:rsidR="00D6274C" w:rsidRPr="00602F08">
        <w:rPr>
          <w:rFonts w:ascii="Times New Roman" w:hAnsi="Times New Roman"/>
        </w:rPr>
        <w:t xml:space="preserve">second </w:t>
      </w:r>
      <w:r w:rsidR="00C37894" w:rsidRPr="00602F08">
        <w:rPr>
          <w:rFonts w:ascii="Times New Roman" w:hAnsi="Times New Roman"/>
        </w:rPr>
        <w:t>“</w:t>
      </w:r>
      <w:r w:rsidR="00004FE1" w:rsidRPr="00602F08">
        <w:rPr>
          <w:rFonts w:ascii="Times New Roman" w:hAnsi="Times New Roman"/>
        </w:rPr>
        <w:t xml:space="preserve">Healthcare Needs and Pregnancy Dispersal Guidance” (version 3, 1 February 2016). </w:t>
      </w:r>
    </w:p>
    <w:p w14:paraId="7A82B936" w14:textId="77777777" w:rsidR="00387FAB" w:rsidRPr="00602F08" w:rsidRDefault="00387FAB" w:rsidP="00B6212D">
      <w:pPr>
        <w:pStyle w:val="ListParagraph"/>
        <w:ind w:left="687"/>
        <w:jc w:val="both"/>
        <w:rPr>
          <w:rFonts w:ascii="Times New Roman" w:hAnsi="Times New Roman"/>
        </w:rPr>
      </w:pPr>
    </w:p>
    <w:p w14:paraId="209BD07F" w14:textId="0774C999" w:rsidR="00CC4AF8" w:rsidRPr="00602F08" w:rsidRDefault="00FE4FC1" w:rsidP="00B6212D">
      <w:pPr>
        <w:pStyle w:val="ListParagraph"/>
        <w:numPr>
          <w:ilvl w:val="0"/>
          <w:numId w:val="10"/>
        </w:numPr>
        <w:jc w:val="both"/>
        <w:rPr>
          <w:rStyle w:val="eop"/>
          <w:rFonts w:ascii="Times New Roman" w:hAnsi="Times New Roman"/>
        </w:rPr>
      </w:pPr>
      <w:r w:rsidRPr="00602F08">
        <w:rPr>
          <w:rFonts w:ascii="Times New Roman" w:hAnsi="Times New Roman"/>
        </w:rPr>
        <w:t>T</w:t>
      </w:r>
      <w:r w:rsidR="00455F0E" w:rsidRPr="00602F08">
        <w:rPr>
          <w:rFonts w:ascii="Times New Roman" w:hAnsi="Times New Roman"/>
        </w:rPr>
        <w:t xml:space="preserve">he former </w:t>
      </w:r>
      <w:r w:rsidRPr="00602F08">
        <w:rPr>
          <w:rFonts w:ascii="Times New Roman" w:hAnsi="Times New Roman"/>
        </w:rPr>
        <w:t xml:space="preserve">was described on behalf of the Secretary of State </w:t>
      </w:r>
      <w:r w:rsidR="00455F0E" w:rsidRPr="00602F08">
        <w:rPr>
          <w:rFonts w:ascii="Times New Roman" w:hAnsi="Times New Roman"/>
        </w:rPr>
        <w:t>as “outlin[ing] the approach taken by the Home Office to the duties and obligations owed to asylum seek</w:t>
      </w:r>
      <w:r w:rsidR="00910A10" w:rsidRPr="00602F08">
        <w:rPr>
          <w:rFonts w:ascii="Times New Roman" w:hAnsi="Times New Roman"/>
        </w:rPr>
        <w:t>er</w:t>
      </w:r>
      <w:r w:rsidR="00455F0E" w:rsidRPr="00602F08">
        <w:rPr>
          <w:rFonts w:ascii="Times New Roman" w:hAnsi="Times New Roman"/>
        </w:rPr>
        <w:t>s who have dis</w:t>
      </w:r>
      <w:r w:rsidR="006364AF" w:rsidRPr="00602F08">
        <w:rPr>
          <w:rFonts w:ascii="Times New Roman" w:hAnsi="Times New Roman"/>
        </w:rPr>
        <w:t>abilities, care needs or both”</w:t>
      </w:r>
      <w:r w:rsidR="00F1699D" w:rsidRPr="00602F08">
        <w:rPr>
          <w:rFonts w:ascii="Times New Roman" w:hAnsi="Times New Roman"/>
        </w:rPr>
        <w:t>; t</w:t>
      </w:r>
      <w:r w:rsidRPr="00602F08">
        <w:rPr>
          <w:rFonts w:ascii="Times New Roman" w:hAnsi="Times New Roman"/>
        </w:rPr>
        <w:t xml:space="preserve">he </w:t>
      </w:r>
      <w:r w:rsidR="006364AF" w:rsidRPr="00602F08">
        <w:rPr>
          <w:rFonts w:ascii="Times New Roman" w:hAnsi="Times New Roman"/>
        </w:rPr>
        <w:t xml:space="preserve">latter as “set[ting] out extensive and </w:t>
      </w:r>
      <w:r w:rsidR="00875339" w:rsidRPr="00602F08">
        <w:rPr>
          <w:rFonts w:ascii="Times New Roman" w:hAnsi="Times New Roman"/>
        </w:rPr>
        <w:t>detailed</w:t>
      </w:r>
      <w:r w:rsidR="006364AF" w:rsidRPr="00602F08">
        <w:rPr>
          <w:rFonts w:ascii="Times New Roman" w:hAnsi="Times New Roman"/>
        </w:rPr>
        <w:t xml:space="preserve"> guidance dealing with </w:t>
      </w:r>
      <w:r w:rsidR="00225EA6" w:rsidRPr="00602F08">
        <w:rPr>
          <w:rFonts w:ascii="Times New Roman" w:hAnsi="Times New Roman"/>
        </w:rPr>
        <w:t>the identification of suitable accommodation for those with healthcare needs.”</w:t>
      </w:r>
      <w:r w:rsidR="00004FE1" w:rsidRPr="00602F08">
        <w:rPr>
          <w:rFonts w:ascii="Times New Roman" w:hAnsi="Times New Roman"/>
        </w:rPr>
        <w:t xml:space="preserve"> </w:t>
      </w:r>
      <w:r w:rsidR="00964B8F" w:rsidRPr="00602F08">
        <w:rPr>
          <w:rFonts w:ascii="Times New Roman" w:hAnsi="Times New Roman"/>
        </w:rPr>
        <w:t xml:space="preserve">AA accepts </w:t>
      </w:r>
      <w:r w:rsidR="00F11EA0" w:rsidRPr="00602F08">
        <w:rPr>
          <w:rFonts w:ascii="Times New Roman" w:hAnsi="Times New Roman"/>
        </w:rPr>
        <w:t xml:space="preserve">that in </w:t>
      </w:r>
      <w:r w:rsidR="00964B8F" w:rsidRPr="00602F08">
        <w:rPr>
          <w:rFonts w:ascii="Times New Roman" w:hAnsi="Times New Roman"/>
        </w:rPr>
        <w:t xml:space="preserve">the </w:t>
      </w:r>
      <w:r w:rsidR="0084764F" w:rsidRPr="00602F08">
        <w:rPr>
          <w:rFonts w:ascii="Times New Roman" w:hAnsi="Times New Roman"/>
        </w:rPr>
        <w:t xml:space="preserve">latter </w:t>
      </w:r>
      <w:r w:rsidR="0084764F" w:rsidRPr="00602F08">
        <w:rPr>
          <w:rStyle w:val="normaltextrun"/>
          <w:rFonts w:ascii="Times New Roman" w:hAnsi="Times New Roman"/>
          <w:lang w:val="en-US"/>
        </w:rPr>
        <w:t>and in the Policy those acting for the Secretary of State are permitted to consider providing accommodation in a particular location or of a particular type where medical or healthcare needs are identified and to prioritise those needs.</w:t>
      </w:r>
    </w:p>
    <w:p w14:paraId="047CFF65" w14:textId="77777777" w:rsidR="00676BCD" w:rsidRPr="00602F08" w:rsidRDefault="00676BCD" w:rsidP="00B6212D">
      <w:pPr>
        <w:widowControl w:val="0"/>
        <w:tabs>
          <w:tab w:val="left" w:pos="688"/>
        </w:tabs>
        <w:autoSpaceDE w:val="0"/>
        <w:autoSpaceDN w:val="0"/>
        <w:spacing w:before="11"/>
        <w:jc w:val="both"/>
        <w:rPr>
          <w:rStyle w:val="eop"/>
          <w:b/>
          <w:bCs/>
          <w:u w:val="single"/>
        </w:rPr>
      </w:pPr>
    </w:p>
    <w:p w14:paraId="7E22B9E7" w14:textId="500A4515" w:rsidR="00CC4AF8" w:rsidRPr="00602F08" w:rsidRDefault="00CC4AF8" w:rsidP="00B6212D">
      <w:pPr>
        <w:widowControl w:val="0"/>
        <w:tabs>
          <w:tab w:val="left" w:pos="688"/>
        </w:tabs>
        <w:autoSpaceDE w:val="0"/>
        <w:autoSpaceDN w:val="0"/>
        <w:spacing w:before="11"/>
        <w:jc w:val="both"/>
        <w:rPr>
          <w:rStyle w:val="eop"/>
          <w:b/>
          <w:bCs/>
          <w:u w:val="single"/>
        </w:rPr>
      </w:pPr>
    </w:p>
    <w:p w14:paraId="35092599" w14:textId="77777777" w:rsidR="006D4FD8" w:rsidRPr="00602F08" w:rsidRDefault="006D4FD8" w:rsidP="00B6212D">
      <w:pPr>
        <w:widowControl w:val="0"/>
        <w:tabs>
          <w:tab w:val="left" w:pos="688"/>
        </w:tabs>
        <w:autoSpaceDE w:val="0"/>
        <w:autoSpaceDN w:val="0"/>
        <w:spacing w:before="11"/>
        <w:jc w:val="both"/>
        <w:rPr>
          <w:rStyle w:val="eop"/>
          <w:b/>
          <w:bCs/>
          <w:u w:val="single"/>
        </w:rPr>
      </w:pPr>
    </w:p>
    <w:p w14:paraId="52C18CAD" w14:textId="149A4A57" w:rsidR="00CC4AF8" w:rsidRPr="00602F08" w:rsidRDefault="00CC4AF8" w:rsidP="00B6212D">
      <w:pPr>
        <w:widowControl w:val="0"/>
        <w:tabs>
          <w:tab w:val="left" w:pos="688"/>
        </w:tabs>
        <w:autoSpaceDE w:val="0"/>
        <w:autoSpaceDN w:val="0"/>
        <w:spacing w:before="11"/>
        <w:jc w:val="both"/>
        <w:rPr>
          <w:rStyle w:val="eop"/>
          <w:b/>
          <w:bCs/>
          <w:u w:val="single"/>
        </w:rPr>
      </w:pPr>
      <w:r w:rsidRPr="00602F08">
        <w:rPr>
          <w:rStyle w:val="eop"/>
          <w:b/>
          <w:bCs/>
          <w:u w:val="single"/>
        </w:rPr>
        <w:t>Reports</w:t>
      </w:r>
    </w:p>
    <w:p w14:paraId="663EA83B" w14:textId="77777777" w:rsidR="00CC4AF8" w:rsidRPr="00602F08" w:rsidRDefault="00CC4AF8" w:rsidP="00B6212D">
      <w:pPr>
        <w:widowControl w:val="0"/>
        <w:tabs>
          <w:tab w:val="left" w:pos="688"/>
        </w:tabs>
        <w:autoSpaceDE w:val="0"/>
        <w:autoSpaceDN w:val="0"/>
        <w:spacing w:before="11"/>
        <w:jc w:val="both"/>
        <w:rPr>
          <w:rStyle w:val="eop"/>
        </w:rPr>
      </w:pPr>
    </w:p>
    <w:p w14:paraId="10F9B5AA" w14:textId="50232715" w:rsidR="0051374D" w:rsidRPr="00602F08" w:rsidRDefault="00CC4AF8" w:rsidP="00B6212D">
      <w:pPr>
        <w:pStyle w:val="ListParagraph"/>
        <w:widowControl w:val="0"/>
        <w:numPr>
          <w:ilvl w:val="0"/>
          <w:numId w:val="10"/>
        </w:numPr>
        <w:tabs>
          <w:tab w:val="left" w:pos="688"/>
        </w:tabs>
        <w:autoSpaceDE w:val="0"/>
        <w:autoSpaceDN w:val="0"/>
        <w:spacing w:before="11"/>
        <w:jc w:val="both"/>
        <w:rPr>
          <w:rStyle w:val="eop"/>
          <w:rFonts w:ascii="Times New Roman" w:hAnsi="Times New Roman"/>
        </w:rPr>
      </w:pPr>
      <w:r w:rsidRPr="00602F08">
        <w:rPr>
          <w:rStyle w:val="eop"/>
          <w:rFonts w:ascii="Times New Roman" w:hAnsi="Times New Roman"/>
        </w:rPr>
        <w:t xml:space="preserve">The claimants’ </w:t>
      </w:r>
      <w:r w:rsidR="00F36DC4" w:rsidRPr="00602F08">
        <w:rPr>
          <w:rStyle w:val="eop"/>
          <w:rFonts w:ascii="Times New Roman" w:hAnsi="Times New Roman"/>
        </w:rPr>
        <w:t xml:space="preserve">legal </w:t>
      </w:r>
      <w:r w:rsidRPr="00602F08">
        <w:rPr>
          <w:rStyle w:val="eop"/>
          <w:rFonts w:ascii="Times New Roman" w:hAnsi="Times New Roman"/>
        </w:rPr>
        <w:t xml:space="preserve">representatives </w:t>
      </w:r>
      <w:r w:rsidR="0051374D" w:rsidRPr="00602F08">
        <w:rPr>
          <w:rStyle w:val="eop"/>
          <w:rFonts w:ascii="Times New Roman" w:hAnsi="Times New Roman"/>
        </w:rPr>
        <w:t xml:space="preserve">also </w:t>
      </w:r>
      <w:r w:rsidRPr="00602F08">
        <w:rPr>
          <w:rStyle w:val="eop"/>
          <w:rFonts w:ascii="Times New Roman" w:hAnsi="Times New Roman"/>
        </w:rPr>
        <w:t>drew attention to a number of reports. These included National Audit Office</w:t>
      </w:r>
      <w:r w:rsidR="00460F3C">
        <w:rPr>
          <w:rStyle w:val="eop"/>
          <w:rFonts w:ascii="Times New Roman" w:hAnsi="Times New Roman"/>
        </w:rPr>
        <w:t xml:space="preserve"> reports</w:t>
      </w:r>
      <w:r w:rsidRPr="00602F08">
        <w:rPr>
          <w:rStyle w:val="eop"/>
          <w:rFonts w:ascii="Times New Roman" w:hAnsi="Times New Roman"/>
        </w:rPr>
        <w:t>, a report of the House of Commons Home Affairs Committee of 2017 and the Government’s response of November 2017, a report of the Independent Chief</w:t>
      </w:r>
      <w:r w:rsidR="00B834A8" w:rsidRPr="00602F08">
        <w:rPr>
          <w:rStyle w:val="eop"/>
          <w:rFonts w:ascii="Times New Roman" w:hAnsi="Times New Roman"/>
        </w:rPr>
        <w:t xml:space="preserve"> </w:t>
      </w:r>
      <w:r w:rsidRPr="00602F08">
        <w:rPr>
          <w:rStyle w:val="eop"/>
          <w:rFonts w:ascii="Times New Roman" w:hAnsi="Times New Roman"/>
        </w:rPr>
        <w:t>Inspector of Borders and Immigration of 2018, as well as reports by NGOs between 2018 and 2019.</w:t>
      </w:r>
      <w:r w:rsidR="007503B6" w:rsidRPr="00602F08">
        <w:rPr>
          <w:rStyle w:val="eop"/>
          <w:rFonts w:ascii="Times New Roman" w:hAnsi="Times New Roman"/>
        </w:rPr>
        <w:t xml:space="preserve"> </w:t>
      </w:r>
    </w:p>
    <w:p w14:paraId="5BC56BCE" w14:textId="77777777" w:rsidR="0051374D" w:rsidRPr="00602F08" w:rsidRDefault="0051374D" w:rsidP="00B6212D">
      <w:pPr>
        <w:pStyle w:val="ListParagraph"/>
        <w:widowControl w:val="0"/>
        <w:tabs>
          <w:tab w:val="left" w:pos="688"/>
        </w:tabs>
        <w:autoSpaceDE w:val="0"/>
        <w:autoSpaceDN w:val="0"/>
        <w:spacing w:before="11"/>
        <w:ind w:left="687"/>
        <w:jc w:val="both"/>
        <w:rPr>
          <w:rStyle w:val="eop"/>
          <w:rFonts w:ascii="Times New Roman" w:hAnsi="Times New Roman"/>
        </w:rPr>
      </w:pPr>
    </w:p>
    <w:p w14:paraId="77B46150" w14:textId="6581B899" w:rsidR="00CC4AF8" w:rsidRPr="00602F08" w:rsidRDefault="00F7429B" w:rsidP="00B6212D">
      <w:pPr>
        <w:pStyle w:val="ListParagraph"/>
        <w:widowControl w:val="0"/>
        <w:numPr>
          <w:ilvl w:val="0"/>
          <w:numId w:val="10"/>
        </w:numPr>
        <w:tabs>
          <w:tab w:val="left" w:pos="688"/>
        </w:tabs>
        <w:autoSpaceDE w:val="0"/>
        <w:autoSpaceDN w:val="0"/>
        <w:spacing w:before="11"/>
        <w:jc w:val="both"/>
        <w:rPr>
          <w:rStyle w:val="eop"/>
          <w:rFonts w:ascii="Times New Roman" w:hAnsi="Times New Roman"/>
        </w:rPr>
      </w:pPr>
      <w:r w:rsidRPr="00602F08">
        <w:rPr>
          <w:rStyle w:val="eop"/>
          <w:rFonts w:ascii="Times New Roman" w:hAnsi="Times New Roman"/>
        </w:rPr>
        <w:t xml:space="preserve">For the Secretary of State, </w:t>
      </w:r>
      <w:r w:rsidR="00E47B5E" w:rsidRPr="00602F08">
        <w:rPr>
          <w:rFonts w:ascii="Times New Roman" w:hAnsi="Times New Roman"/>
          <w:bCs/>
          <w:spacing w:val="-3"/>
        </w:rPr>
        <w:t>Mr Robin Tam QC, Mr Shakil Najib and Ms Emily Wilsdon</w:t>
      </w:r>
      <w:r w:rsidR="0051374D" w:rsidRPr="00602F08">
        <w:rPr>
          <w:rFonts w:ascii="Times New Roman" w:hAnsi="Times New Roman"/>
          <w:bCs/>
          <w:spacing w:val="-3"/>
        </w:rPr>
        <w:t>,</w:t>
      </w:r>
      <w:r w:rsidR="00E47B5E" w:rsidRPr="00602F08">
        <w:rPr>
          <w:rFonts w:ascii="Times New Roman" w:hAnsi="Times New Roman"/>
          <w:bCs/>
          <w:spacing w:val="-3"/>
        </w:rPr>
        <w:t xml:space="preserve"> </w:t>
      </w:r>
      <w:r w:rsidR="00F17F56" w:rsidRPr="00602F08">
        <w:rPr>
          <w:rStyle w:val="eop"/>
          <w:rFonts w:ascii="Times New Roman" w:hAnsi="Times New Roman"/>
        </w:rPr>
        <w:t xml:space="preserve">referring </w:t>
      </w:r>
      <w:r w:rsidR="00C83149" w:rsidRPr="00602F08">
        <w:rPr>
          <w:rStyle w:val="eop"/>
          <w:rFonts w:ascii="Times New Roman" w:hAnsi="Times New Roman"/>
        </w:rPr>
        <w:t>to Article 9 of the Bill of Rights 1688/9</w:t>
      </w:r>
      <w:r w:rsidR="0051374D" w:rsidRPr="00602F08">
        <w:rPr>
          <w:rStyle w:val="eop"/>
          <w:rFonts w:ascii="Times New Roman" w:hAnsi="Times New Roman"/>
        </w:rPr>
        <w:t>,</w:t>
      </w:r>
      <w:r w:rsidR="00CC4AF8" w:rsidRPr="00602F08">
        <w:rPr>
          <w:rStyle w:val="eop"/>
          <w:rFonts w:ascii="Times New Roman" w:hAnsi="Times New Roman"/>
        </w:rPr>
        <w:t xml:space="preserve"> </w:t>
      </w:r>
      <w:r w:rsidR="009F3FD1" w:rsidRPr="00602F08">
        <w:rPr>
          <w:rStyle w:val="eop"/>
          <w:rFonts w:ascii="Times New Roman" w:hAnsi="Times New Roman"/>
        </w:rPr>
        <w:t>argued that it was better for the Court to “leave aside” all</w:t>
      </w:r>
      <w:r w:rsidRPr="00602F08">
        <w:rPr>
          <w:rStyle w:val="eop"/>
          <w:rFonts w:ascii="Times New Roman" w:hAnsi="Times New Roman"/>
        </w:rPr>
        <w:t xml:space="preserve"> </w:t>
      </w:r>
      <w:r w:rsidR="008613BA" w:rsidRPr="00602F08">
        <w:rPr>
          <w:rStyle w:val="eop"/>
          <w:rFonts w:ascii="Times New Roman" w:hAnsi="Times New Roman"/>
        </w:rPr>
        <w:t>Parliamentary material</w:t>
      </w:r>
      <w:r w:rsidRPr="00602F08">
        <w:rPr>
          <w:rStyle w:val="eop"/>
          <w:rFonts w:ascii="Times New Roman" w:hAnsi="Times New Roman"/>
        </w:rPr>
        <w:t>s</w:t>
      </w:r>
      <w:r w:rsidR="008613BA" w:rsidRPr="00602F08">
        <w:rPr>
          <w:rStyle w:val="eop"/>
          <w:rFonts w:ascii="Times New Roman" w:hAnsi="Times New Roman"/>
        </w:rPr>
        <w:t>.</w:t>
      </w:r>
    </w:p>
    <w:p w14:paraId="17271D60" w14:textId="77777777" w:rsidR="00B10AC5" w:rsidRPr="00602F08" w:rsidRDefault="00B10AC5" w:rsidP="00B6212D">
      <w:pPr>
        <w:pStyle w:val="BodyText"/>
        <w:spacing w:before="62"/>
        <w:jc w:val="both"/>
        <w:rPr>
          <w:b/>
          <w:bCs/>
          <w:u w:val="single"/>
        </w:rPr>
      </w:pPr>
    </w:p>
    <w:p w14:paraId="2E000714" w14:textId="03430B3F" w:rsidR="00B10AC5" w:rsidRPr="00602F08" w:rsidRDefault="00B10AC5" w:rsidP="00B6212D">
      <w:pPr>
        <w:pStyle w:val="BodyText"/>
        <w:spacing w:before="62"/>
        <w:jc w:val="both"/>
        <w:rPr>
          <w:b/>
          <w:bCs/>
          <w:u w:val="single"/>
        </w:rPr>
      </w:pPr>
    </w:p>
    <w:p w14:paraId="3E133379" w14:textId="77777777" w:rsidR="00676BCD" w:rsidRPr="00602F08" w:rsidRDefault="00676BCD" w:rsidP="00B6212D">
      <w:pPr>
        <w:pStyle w:val="BodyText"/>
        <w:spacing w:before="62"/>
        <w:jc w:val="both"/>
        <w:rPr>
          <w:b/>
          <w:bCs/>
          <w:u w:val="single"/>
        </w:rPr>
      </w:pPr>
    </w:p>
    <w:p w14:paraId="78D6B29A" w14:textId="65E60084" w:rsidR="005E474E" w:rsidRPr="00602F08" w:rsidRDefault="002F443F" w:rsidP="00B6212D">
      <w:pPr>
        <w:pStyle w:val="BodyText"/>
        <w:spacing w:before="62"/>
        <w:jc w:val="both"/>
        <w:rPr>
          <w:b/>
          <w:bCs/>
          <w:u w:val="single"/>
        </w:rPr>
      </w:pPr>
      <w:r w:rsidRPr="00602F08">
        <w:rPr>
          <w:b/>
          <w:bCs/>
          <w:u w:val="single"/>
        </w:rPr>
        <w:t>DMA, AHK, BK and ELN</w:t>
      </w:r>
      <w:r w:rsidR="005E474E" w:rsidRPr="00602F08">
        <w:rPr>
          <w:b/>
          <w:bCs/>
          <w:u w:val="single"/>
        </w:rPr>
        <w:t xml:space="preserve"> </w:t>
      </w:r>
    </w:p>
    <w:p w14:paraId="5F8EC4F7" w14:textId="77777777" w:rsidR="005E474E" w:rsidRPr="00602F08" w:rsidRDefault="005E474E" w:rsidP="00B6212D">
      <w:pPr>
        <w:widowControl w:val="0"/>
        <w:tabs>
          <w:tab w:val="left" w:pos="688"/>
        </w:tabs>
        <w:autoSpaceDE w:val="0"/>
        <w:autoSpaceDN w:val="0"/>
        <w:spacing w:before="11"/>
        <w:jc w:val="both"/>
      </w:pPr>
    </w:p>
    <w:p w14:paraId="03271DDD" w14:textId="7D0BB481" w:rsidR="005E474E" w:rsidRPr="00602F08" w:rsidRDefault="005E474E"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 xml:space="preserve">The decisions of the Secretary of State </w:t>
      </w:r>
      <w:r w:rsidR="00654673" w:rsidRPr="00602F08">
        <w:rPr>
          <w:rFonts w:ascii="Times New Roman" w:hAnsi="Times New Roman"/>
        </w:rPr>
        <w:t xml:space="preserve">acting by her officials </w:t>
      </w:r>
      <w:r w:rsidRPr="00602F08">
        <w:rPr>
          <w:rFonts w:ascii="Times New Roman" w:hAnsi="Times New Roman"/>
        </w:rPr>
        <w:t xml:space="preserve">to accept that she had a duty to provide accommodation to DMA, AHK, BK and ELN under section 4(2) of the </w:t>
      </w:r>
      <w:r w:rsidR="00DB2B33" w:rsidRPr="00602F08">
        <w:rPr>
          <w:rFonts w:ascii="Times New Roman" w:hAnsi="Times New Roman"/>
        </w:rPr>
        <w:t>201</w:t>
      </w:r>
      <w:r w:rsidRPr="00602F08">
        <w:rPr>
          <w:rFonts w:ascii="Times New Roman" w:hAnsi="Times New Roman"/>
        </w:rPr>
        <w:t xml:space="preserve">9 Act were reached as follows: </w:t>
      </w:r>
      <w:r w:rsidR="002F443F" w:rsidRPr="00602F08">
        <w:rPr>
          <w:rFonts w:ascii="Times New Roman" w:hAnsi="Times New Roman"/>
        </w:rPr>
        <w:t xml:space="preserve">in </w:t>
      </w:r>
      <w:r w:rsidRPr="00602F08">
        <w:rPr>
          <w:rFonts w:ascii="Times New Roman" w:hAnsi="Times New Roman"/>
        </w:rPr>
        <w:t>DMA</w:t>
      </w:r>
      <w:r w:rsidR="002F443F" w:rsidRPr="00602F08">
        <w:rPr>
          <w:rFonts w:ascii="Times New Roman" w:hAnsi="Times New Roman"/>
        </w:rPr>
        <w:t>’s case</w:t>
      </w:r>
      <w:r w:rsidRPr="00602F08">
        <w:rPr>
          <w:rFonts w:ascii="Times New Roman" w:hAnsi="Times New Roman"/>
        </w:rPr>
        <w:t xml:space="preserve"> on 9 September 2019, </w:t>
      </w:r>
      <w:r w:rsidR="002F443F" w:rsidRPr="00602F08">
        <w:rPr>
          <w:rFonts w:ascii="Times New Roman" w:hAnsi="Times New Roman"/>
        </w:rPr>
        <w:t xml:space="preserve">in </w:t>
      </w:r>
      <w:r w:rsidRPr="00602F08">
        <w:rPr>
          <w:rFonts w:ascii="Times New Roman" w:hAnsi="Times New Roman"/>
        </w:rPr>
        <w:t>AHK</w:t>
      </w:r>
      <w:r w:rsidR="002F443F" w:rsidRPr="00602F08">
        <w:rPr>
          <w:rFonts w:ascii="Times New Roman" w:hAnsi="Times New Roman"/>
        </w:rPr>
        <w:t>’s case</w:t>
      </w:r>
      <w:r w:rsidRPr="00602F08">
        <w:rPr>
          <w:rFonts w:ascii="Times New Roman" w:hAnsi="Times New Roman"/>
        </w:rPr>
        <w:t xml:space="preserve"> on 13 September 1999, </w:t>
      </w:r>
      <w:r w:rsidR="002F443F" w:rsidRPr="00602F08">
        <w:rPr>
          <w:rFonts w:ascii="Times New Roman" w:hAnsi="Times New Roman"/>
        </w:rPr>
        <w:t xml:space="preserve">in </w:t>
      </w:r>
      <w:r w:rsidRPr="00602F08">
        <w:rPr>
          <w:rFonts w:ascii="Times New Roman" w:hAnsi="Times New Roman"/>
        </w:rPr>
        <w:t>BK</w:t>
      </w:r>
      <w:r w:rsidR="002F443F" w:rsidRPr="00602F08">
        <w:rPr>
          <w:rFonts w:ascii="Times New Roman" w:hAnsi="Times New Roman"/>
        </w:rPr>
        <w:t>’s case</w:t>
      </w:r>
      <w:r w:rsidRPr="00602F08">
        <w:rPr>
          <w:rFonts w:ascii="Times New Roman" w:hAnsi="Times New Roman"/>
        </w:rPr>
        <w:t xml:space="preserve"> on 12 August </w:t>
      </w:r>
      <w:r w:rsidR="00DB2B33" w:rsidRPr="00602F08">
        <w:rPr>
          <w:rFonts w:ascii="Times New Roman" w:hAnsi="Times New Roman"/>
        </w:rPr>
        <w:t>201</w:t>
      </w:r>
      <w:r w:rsidRPr="00602F08">
        <w:rPr>
          <w:rFonts w:ascii="Times New Roman" w:hAnsi="Times New Roman"/>
        </w:rPr>
        <w:t>9</w:t>
      </w:r>
      <w:r w:rsidR="00EA1428" w:rsidRPr="00602F08">
        <w:rPr>
          <w:rFonts w:ascii="Times New Roman" w:hAnsi="Times New Roman"/>
        </w:rPr>
        <w:t>, and i</w:t>
      </w:r>
      <w:r w:rsidR="002F443F" w:rsidRPr="00602F08">
        <w:rPr>
          <w:rFonts w:ascii="Times New Roman" w:hAnsi="Times New Roman"/>
        </w:rPr>
        <w:t xml:space="preserve">n </w:t>
      </w:r>
      <w:r w:rsidRPr="00602F08">
        <w:rPr>
          <w:rFonts w:ascii="Times New Roman" w:hAnsi="Times New Roman"/>
        </w:rPr>
        <w:t>ELN</w:t>
      </w:r>
      <w:r w:rsidR="002F443F" w:rsidRPr="00602F08">
        <w:rPr>
          <w:rFonts w:ascii="Times New Roman" w:hAnsi="Times New Roman"/>
        </w:rPr>
        <w:t>’s case</w:t>
      </w:r>
      <w:r w:rsidRPr="00602F08">
        <w:rPr>
          <w:rFonts w:ascii="Times New Roman" w:hAnsi="Times New Roman"/>
        </w:rPr>
        <w:t xml:space="preserve"> on 28 June 2019 </w:t>
      </w:r>
      <w:r w:rsidR="00147ACE" w:rsidRPr="00602F08">
        <w:rPr>
          <w:rFonts w:ascii="Times New Roman" w:hAnsi="Times New Roman"/>
        </w:rPr>
        <w:t>(strictly, a decision of her predecessor</w:t>
      </w:r>
      <w:r w:rsidR="00D33D5D" w:rsidRPr="00602F08">
        <w:rPr>
          <w:rFonts w:ascii="Times New Roman" w:hAnsi="Times New Roman"/>
        </w:rPr>
        <w:t xml:space="preserve"> as Secretary of State</w:t>
      </w:r>
      <w:r w:rsidR="00147ACE" w:rsidRPr="00602F08">
        <w:rPr>
          <w:rFonts w:ascii="Times New Roman" w:hAnsi="Times New Roman"/>
        </w:rPr>
        <w:t xml:space="preserve">) </w:t>
      </w:r>
      <w:r w:rsidRPr="00602F08">
        <w:rPr>
          <w:rFonts w:ascii="Times New Roman" w:hAnsi="Times New Roman"/>
        </w:rPr>
        <w:t xml:space="preserve">and again on 10 September 2019. I will refer to </w:t>
      </w:r>
      <w:r w:rsidR="001F0366" w:rsidRPr="00602F08">
        <w:rPr>
          <w:rFonts w:ascii="Times New Roman" w:hAnsi="Times New Roman"/>
        </w:rPr>
        <w:t>each decision</w:t>
      </w:r>
      <w:r w:rsidRPr="00602F08">
        <w:rPr>
          <w:rFonts w:ascii="Times New Roman" w:hAnsi="Times New Roman"/>
        </w:rPr>
        <w:t xml:space="preserve"> as </w:t>
      </w:r>
      <w:r w:rsidR="001F0366" w:rsidRPr="00602F08">
        <w:rPr>
          <w:rFonts w:ascii="Times New Roman" w:hAnsi="Times New Roman"/>
        </w:rPr>
        <w:t xml:space="preserve">a </w:t>
      </w:r>
      <w:r w:rsidRPr="00602F08">
        <w:rPr>
          <w:rFonts w:ascii="Times New Roman" w:hAnsi="Times New Roman"/>
        </w:rPr>
        <w:t>“section 4(2) decision”.</w:t>
      </w:r>
    </w:p>
    <w:p w14:paraId="0EB14A81" w14:textId="77777777" w:rsidR="005E474E" w:rsidRPr="00602F08" w:rsidRDefault="005E474E" w:rsidP="00B6212D">
      <w:pPr>
        <w:pStyle w:val="ListParagraph"/>
        <w:jc w:val="both"/>
        <w:rPr>
          <w:rFonts w:ascii="Times New Roman" w:hAnsi="Times New Roman"/>
        </w:rPr>
      </w:pPr>
    </w:p>
    <w:p w14:paraId="72D012DD" w14:textId="54F6F4C5" w:rsidR="00B77DF5" w:rsidRPr="00602F08" w:rsidRDefault="005E474E"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By 17 October 2019 (45 days after the section 4(2) decision</w:t>
      </w:r>
      <w:r w:rsidR="006D0363" w:rsidRPr="00602F08">
        <w:rPr>
          <w:rFonts w:ascii="Times New Roman" w:hAnsi="Times New Roman"/>
        </w:rPr>
        <w:t xml:space="preserve"> in his case</w:t>
      </w:r>
      <w:r w:rsidRPr="00602F08">
        <w:rPr>
          <w:rFonts w:ascii="Times New Roman" w:hAnsi="Times New Roman"/>
        </w:rPr>
        <w:t xml:space="preserve">) no accommodation had been provided to DMA. The decision then ceased to apply as he was informed on that date that he was granted asylum. </w:t>
      </w:r>
      <w:r w:rsidR="008A5B2E" w:rsidRPr="00602F08">
        <w:rPr>
          <w:rFonts w:ascii="Times New Roman" w:hAnsi="Times New Roman"/>
        </w:rPr>
        <w:t xml:space="preserve">Accommodation was provided to </w:t>
      </w:r>
      <w:r w:rsidRPr="00602F08">
        <w:rPr>
          <w:rFonts w:ascii="Times New Roman" w:hAnsi="Times New Roman"/>
        </w:rPr>
        <w:t>AHK on 13 November 2019 (60 days after the section 4(2) decision)</w:t>
      </w:r>
      <w:r w:rsidR="002F67F7" w:rsidRPr="00602F08">
        <w:rPr>
          <w:rFonts w:ascii="Times New Roman" w:hAnsi="Times New Roman"/>
        </w:rPr>
        <w:t xml:space="preserve">. </w:t>
      </w:r>
      <w:r w:rsidRPr="00602F08">
        <w:rPr>
          <w:rFonts w:ascii="Times New Roman" w:hAnsi="Times New Roman"/>
        </w:rPr>
        <w:t xml:space="preserve">BK </w:t>
      </w:r>
      <w:r w:rsidR="002F67F7" w:rsidRPr="00602F08">
        <w:rPr>
          <w:rFonts w:ascii="Times New Roman" w:hAnsi="Times New Roman"/>
        </w:rPr>
        <w:t xml:space="preserve">was provided with accommodation </w:t>
      </w:r>
      <w:r w:rsidRPr="00602F08">
        <w:rPr>
          <w:rFonts w:ascii="Times New Roman" w:hAnsi="Times New Roman"/>
        </w:rPr>
        <w:t>on 26 November 2019 (105 days after the section 4(2) decision)</w:t>
      </w:r>
      <w:r w:rsidR="00F03D0C" w:rsidRPr="00602F08">
        <w:rPr>
          <w:rFonts w:ascii="Times New Roman" w:hAnsi="Times New Roman"/>
        </w:rPr>
        <w:t>. A</w:t>
      </w:r>
      <w:r w:rsidR="002F67F7" w:rsidRPr="00602F08">
        <w:rPr>
          <w:rFonts w:ascii="Times New Roman" w:hAnsi="Times New Roman"/>
        </w:rPr>
        <w:t>s a matter of record on 2 December 2019 he was granted leave to remain in the UK</w:t>
      </w:r>
      <w:r w:rsidR="00ED105D" w:rsidRPr="00602F08">
        <w:rPr>
          <w:rFonts w:ascii="Times New Roman" w:hAnsi="Times New Roman"/>
        </w:rPr>
        <w:t xml:space="preserve">. In </w:t>
      </w:r>
      <w:r w:rsidRPr="00602F08">
        <w:rPr>
          <w:rFonts w:ascii="Times New Roman" w:hAnsi="Times New Roman"/>
        </w:rPr>
        <w:t>ELN</w:t>
      </w:r>
      <w:r w:rsidR="00ED105D" w:rsidRPr="00602F08">
        <w:rPr>
          <w:rFonts w:ascii="Times New Roman" w:hAnsi="Times New Roman"/>
        </w:rPr>
        <w:t>’s case accommodation was provided</w:t>
      </w:r>
      <w:r w:rsidRPr="00602F08">
        <w:rPr>
          <w:rFonts w:ascii="Times New Roman" w:hAnsi="Times New Roman"/>
        </w:rPr>
        <w:t xml:space="preserve"> on 25 November 2019 (151 days after the first section 4(2) decision or 75 days after the </w:t>
      </w:r>
      <w:r w:rsidR="004A1ECF" w:rsidRPr="00602F08">
        <w:rPr>
          <w:rFonts w:ascii="Times New Roman" w:hAnsi="Times New Roman"/>
        </w:rPr>
        <w:t xml:space="preserve">second </w:t>
      </w:r>
      <w:r w:rsidRPr="00602F08">
        <w:rPr>
          <w:rFonts w:ascii="Times New Roman" w:hAnsi="Times New Roman"/>
        </w:rPr>
        <w:t>section 4(2) decision). Orders of the High Court were required before accommodation was provided in the cases of BK and ELN.</w:t>
      </w:r>
    </w:p>
    <w:p w14:paraId="3370AB90" w14:textId="77777777" w:rsidR="00B77DF5" w:rsidRPr="00602F08" w:rsidRDefault="00B77DF5" w:rsidP="00B6212D">
      <w:pPr>
        <w:pStyle w:val="ListParagraph"/>
        <w:jc w:val="both"/>
        <w:rPr>
          <w:rFonts w:ascii="Times New Roman" w:hAnsi="Times New Roman"/>
        </w:rPr>
      </w:pPr>
    </w:p>
    <w:p w14:paraId="4283F894" w14:textId="4910BE99" w:rsidR="005E474E" w:rsidRPr="00602F08" w:rsidRDefault="00AA107C"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Charities, or sometimes friends or church</w:t>
      </w:r>
      <w:r w:rsidR="0097392F" w:rsidRPr="00602F08">
        <w:rPr>
          <w:rFonts w:ascii="Times New Roman" w:hAnsi="Times New Roman"/>
        </w:rPr>
        <w:t>es</w:t>
      </w:r>
      <w:r w:rsidRPr="00602F08">
        <w:rPr>
          <w:rFonts w:ascii="Times New Roman" w:hAnsi="Times New Roman"/>
        </w:rPr>
        <w:t>,</w:t>
      </w:r>
      <w:r w:rsidR="00545078" w:rsidRPr="00602F08">
        <w:rPr>
          <w:rFonts w:ascii="Times New Roman" w:hAnsi="Times New Roman"/>
        </w:rPr>
        <w:t xml:space="preserve"> </w:t>
      </w:r>
      <w:r w:rsidRPr="00602F08">
        <w:rPr>
          <w:rFonts w:ascii="Times New Roman" w:hAnsi="Times New Roman"/>
        </w:rPr>
        <w:t>helped in meantime. The help</w:t>
      </w:r>
      <w:r w:rsidR="00545078" w:rsidRPr="00602F08">
        <w:rPr>
          <w:rFonts w:ascii="Times New Roman" w:hAnsi="Times New Roman"/>
        </w:rPr>
        <w:t xml:space="preserve"> took</w:t>
      </w:r>
      <w:r w:rsidRPr="00602F08">
        <w:rPr>
          <w:rFonts w:ascii="Times New Roman" w:hAnsi="Times New Roman"/>
        </w:rPr>
        <w:t xml:space="preserve"> the form of somewhere to sleep (even a hallway), or modest payments, or some food. The charities</w:t>
      </w:r>
      <w:r w:rsidR="00C71F4C" w:rsidRPr="00602F08">
        <w:rPr>
          <w:rFonts w:ascii="Times New Roman" w:hAnsi="Times New Roman"/>
        </w:rPr>
        <w:t xml:space="preserve"> </w:t>
      </w:r>
      <w:r w:rsidRPr="00602F08">
        <w:rPr>
          <w:rFonts w:ascii="Times New Roman" w:hAnsi="Times New Roman"/>
        </w:rPr>
        <w:t xml:space="preserve">included Refugee Action, ASHA, </w:t>
      </w:r>
      <w:r w:rsidR="00AE6AC8" w:rsidRPr="00602F08">
        <w:rPr>
          <w:rFonts w:ascii="Times New Roman" w:hAnsi="Times New Roman"/>
        </w:rPr>
        <w:t xml:space="preserve">the </w:t>
      </w:r>
      <w:r w:rsidRPr="00602F08">
        <w:rPr>
          <w:rFonts w:ascii="Times New Roman" w:hAnsi="Times New Roman"/>
        </w:rPr>
        <w:t>Red Cross, Coventry Peace House and Hope House.</w:t>
      </w:r>
    </w:p>
    <w:p w14:paraId="5BE41BB5" w14:textId="77777777" w:rsidR="005E474E" w:rsidRPr="00602F08" w:rsidRDefault="005E474E" w:rsidP="00B6212D">
      <w:pPr>
        <w:pStyle w:val="ListParagraph"/>
        <w:jc w:val="both"/>
        <w:rPr>
          <w:rFonts w:ascii="Times New Roman" w:hAnsi="Times New Roman"/>
        </w:rPr>
      </w:pPr>
    </w:p>
    <w:p w14:paraId="5907D5B4" w14:textId="6D46389B" w:rsidR="005E474E" w:rsidRPr="00602F08" w:rsidRDefault="005E474E"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DMA</w:t>
      </w:r>
      <w:r w:rsidRPr="00602F08">
        <w:rPr>
          <w:rFonts w:ascii="Times New Roman" w:hAnsi="Times New Roman"/>
          <w:spacing w:val="-5"/>
        </w:rPr>
        <w:t xml:space="preserve"> </w:t>
      </w:r>
      <w:r w:rsidRPr="00602F08">
        <w:rPr>
          <w:rFonts w:ascii="Times New Roman" w:hAnsi="Times New Roman"/>
        </w:rPr>
        <w:t>suffers</w:t>
      </w:r>
      <w:r w:rsidRPr="00602F08">
        <w:rPr>
          <w:rFonts w:ascii="Times New Roman" w:hAnsi="Times New Roman"/>
          <w:spacing w:val="-5"/>
        </w:rPr>
        <w:t xml:space="preserve"> </w:t>
      </w:r>
      <w:r w:rsidRPr="00602F08">
        <w:rPr>
          <w:rFonts w:ascii="Times New Roman" w:hAnsi="Times New Roman"/>
        </w:rPr>
        <w:t>from</w:t>
      </w:r>
      <w:r w:rsidRPr="00602F08">
        <w:rPr>
          <w:rFonts w:ascii="Times New Roman" w:hAnsi="Times New Roman"/>
          <w:spacing w:val="-5"/>
        </w:rPr>
        <w:t xml:space="preserve"> </w:t>
      </w:r>
      <w:r w:rsidRPr="00602F08">
        <w:rPr>
          <w:rFonts w:ascii="Times New Roman" w:hAnsi="Times New Roman"/>
        </w:rPr>
        <w:t>rheumatism</w:t>
      </w:r>
      <w:r w:rsidRPr="00602F08">
        <w:rPr>
          <w:rFonts w:ascii="Times New Roman" w:hAnsi="Times New Roman"/>
          <w:spacing w:val="-5"/>
        </w:rPr>
        <w:t xml:space="preserve"> </w:t>
      </w:r>
      <w:r w:rsidRPr="00602F08">
        <w:rPr>
          <w:rFonts w:ascii="Times New Roman" w:hAnsi="Times New Roman"/>
        </w:rPr>
        <w:t>and</w:t>
      </w:r>
      <w:r w:rsidRPr="00602F08">
        <w:rPr>
          <w:rFonts w:ascii="Times New Roman" w:hAnsi="Times New Roman"/>
          <w:spacing w:val="-4"/>
        </w:rPr>
        <w:t xml:space="preserve"> </w:t>
      </w:r>
      <w:r w:rsidRPr="00602F08">
        <w:rPr>
          <w:rFonts w:ascii="Times New Roman" w:hAnsi="Times New Roman"/>
        </w:rPr>
        <w:t>has</w:t>
      </w:r>
      <w:r w:rsidRPr="00602F08">
        <w:rPr>
          <w:rFonts w:ascii="Times New Roman" w:hAnsi="Times New Roman"/>
          <w:spacing w:val="-5"/>
        </w:rPr>
        <w:t xml:space="preserve"> </w:t>
      </w:r>
      <w:r w:rsidRPr="00602F08">
        <w:rPr>
          <w:rFonts w:ascii="Times New Roman" w:hAnsi="Times New Roman"/>
        </w:rPr>
        <w:t>had</w:t>
      </w:r>
      <w:r w:rsidRPr="00602F08">
        <w:rPr>
          <w:rFonts w:ascii="Times New Roman" w:hAnsi="Times New Roman"/>
          <w:spacing w:val="-5"/>
        </w:rPr>
        <w:t xml:space="preserve"> </w:t>
      </w:r>
      <w:r w:rsidRPr="00602F08">
        <w:rPr>
          <w:rFonts w:ascii="Times New Roman" w:hAnsi="Times New Roman"/>
        </w:rPr>
        <w:t>three</w:t>
      </w:r>
      <w:r w:rsidRPr="00602F08">
        <w:rPr>
          <w:rFonts w:ascii="Times New Roman" w:hAnsi="Times New Roman"/>
          <w:spacing w:val="-5"/>
        </w:rPr>
        <w:t xml:space="preserve"> </w:t>
      </w:r>
      <w:r w:rsidRPr="00602F08">
        <w:rPr>
          <w:rFonts w:ascii="Times New Roman" w:hAnsi="Times New Roman"/>
        </w:rPr>
        <w:t>operations</w:t>
      </w:r>
      <w:r w:rsidRPr="00602F08">
        <w:rPr>
          <w:rFonts w:ascii="Times New Roman" w:hAnsi="Times New Roman"/>
          <w:spacing w:val="-4"/>
        </w:rPr>
        <w:t xml:space="preserve"> </w:t>
      </w:r>
      <w:r w:rsidRPr="00602F08">
        <w:rPr>
          <w:rFonts w:ascii="Times New Roman" w:hAnsi="Times New Roman"/>
        </w:rPr>
        <w:t>on</w:t>
      </w:r>
      <w:r w:rsidRPr="00602F08">
        <w:rPr>
          <w:rFonts w:ascii="Times New Roman" w:hAnsi="Times New Roman"/>
          <w:spacing w:val="-5"/>
        </w:rPr>
        <w:t xml:space="preserve"> </w:t>
      </w:r>
      <w:r w:rsidRPr="00602F08">
        <w:rPr>
          <w:rFonts w:ascii="Times New Roman" w:hAnsi="Times New Roman"/>
        </w:rPr>
        <w:t>a damaged</w:t>
      </w:r>
      <w:r w:rsidRPr="00602F08">
        <w:rPr>
          <w:rFonts w:ascii="Times New Roman" w:hAnsi="Times New Roman"/>
          <w:spacing w:val="-5"/>
        </w:rPr>
        <w:t xml:space="preserve"> </w:t>
      </w:r>
      <w:r w:rsidRPr="00602F08">
        <w:rPr>
          <w:rFonts w:ascii="Times New Roman" w:hAnsi="Times New Roman"/>
        </w:rPr>
        <w:t>left</w:t>
      </w:r>
      <w:r w:rsidRPr="00602F08">
        <w:rPr>
          <w:rFonts w:ascii="Times New Roman" w:hAnsi="Times New Roman"/>
          <w:spacing w:val="-5"/>
        </w:rPr>
        <w:t xml:space="preserve"> </w:t>
      </w:r>
      <w:r w:rsidRPr="00602F08">
        <w:rPr>
          <w:rFonts w:ascii="Times New Roman" w:hAnsi="Times New Roman"/>
        </w:rPr>
        <w:t xml:space="preserve">knee. He also suffers from back and neck pain. It is difficult for him to stand and walk for long periods. He has bad nightmares and cannot sleep properly. BK has been addicted to heroin and the lack of stability he has experienced </w:t>
      </w:r>
      <w:r w:rsidR="001A5136" w:rsidRPr="00602F08">
        <w:rPr>
          <w:rFonts w:ascii="Times New Roman" w:hAnsi="Times New Roman"/>
        </w:rPr>
        <w:t xml:space="preserve">over the period under discussion </w:t>
      </w:r>
      <w:r w:rsidRPr="00602F08">
        <w:rPr>
          <w:rFonts w:ascii="Times New Roman" w:hAnsi="Times New Roman"/>
        </w:rPr>
        <w:t xml:space="preserve">has increased the risk with this addiction. ELN has mental health difficulties which have affected her ability to cope with the stress of her situation. </w:t>
      </w:r>
      <w:r w:rsidR="00BC7EE1" w:rsidRPr="00602F08">
        <w:rPr>
          <w:rFonts w:ascii="Times New Roman" w:hAnsi="Times New Roman"/>
        </w:rPr>
        <w:t xml:space="preserve">She is a patient of </w:t>
      </w:r>
      <w:r w:rsidRPr="00602F08">
        <w:rPr>
          <w:rFonts w:ascii="Times New Roman" w:hAnsi="Times New Roman"/>
        </w:rPr>
        <w:t xml:space="preserve">Dr Sanjey Rai of Stockland Green NHS Health Centre </w:t>
      </w:r>
      <w:r w:rsidR="00BC7EE1" w:rsidRPr="00602F08">
        <w:rPr>
          <w:rFonts w:ascii="Times New Roman" w:hAnsi="Times New Roman"/>
        </w:rPr>
        <w:t xml:space="preserve">who </w:t>
      </w:r>
      <w:r w:rsidRPr="00602F08">
        <w:rPr>
          <w:rFonts w:ascii="Times New Roman" w:hAnsi="Times New Roman"/>
        </w:rPr>
        <w:t>wrote on 25 September 2019 that she “has developed a small support network in Birmingham … has been suffering with sever</w:t>
      </w:r>
      <w:r w:rsidR="00BC7EE1" w:rsidRPr="00602F08">
        <w:rPr>
          <w:rFonts w:ascii="Times New Roman" w:hAnsi="Times New Roman"/>
        </w:rPr>
        <w:t>e</w:t>
      </w:r>
      <w:r w:rsidRPr="00602F08">
        <w:rPr>
          <w:rFonts w:ascii="Times New Roman" w:hAnsi="Times New Roman"/>
        </w:rPr>
        <w:t xml:space="preserve"> stress and depression and it is essential she remain in Birmingham to reduce the risk of further deterioration in her mental health”</w:t>
      </w:r>
      <w:r w:rsidR="00AA107C" w:rsidRPr="00602F08">
        <w:rPr>
          <w:rFonts w:ascii="Times New Roman" w:hAnsi="Times New Roman"/>
        </w:rPr>
        <w:t>.</w:t>
      </w:r>
    </w:p>
    <w:p w14:paraId="6008DB8A" w14:textId="77777777" w:rsidR="004B0402" w:rsidRPr="00602F08" w:rsidRDefault="004B0402" w:rsidP="00B6212D">
      <w:pPr>
        <w:pStyle w:val="ListParagraph"/>
        <w:jc w:val="both"/>
        <w:rPr>
          <w:rFonts w:ascii="Times New Roman" w:hAnsi="Times New Roman"/>
        </w:rPr>
      </w:pPr>
    </w:p>
    <w:p w14:paraId="1CA822BD" w14:textId="7D26D750" w:rsidR="002F443F" w:rsidRPr="00602F08" w:rsidRDefault="002F443F" w:rsidP="00B6212D">
      <w:pPr>
        <w:jc w:val="both"/>
        <w:rPr>
          <w:rStyle w:val="normaltextrun"/>
          <w:lang w:val="en-US"/>
        </w:rPr>
      </w:pPr>
    </w:p>
    <w:p w14:paraId="561F2108" w14:textId="77777777" w:rsidR="00676BCD" w:rsidRPr="00602F08" w:rsidRDefault="00676BCD" w:rsidP="00B6212D">
      <w:pPr>
        <w:jc w:val="both"/>
        <w:rPr>
          <w:rStyle w:val="normaltextrun"/>
          <w:lang w:val="en-US"/>
        </w:rPr>
      </w:pPr>
    </w:p>
    <w:p w14:paraId="0FEE4566" w14:textId="2337EB2C" w:rsidR="002F443F" w:rsidRPr="00602F08" w:rsidRDefault="002F443F" w:rsidP="00B6212D">
      <w:pPr>
        <w:jc w:val="both"/>
        <w:rPr>
          <w:rStyle w:val="normaltextrun"/>
          <w:b/>
          <w:bCs/>
          <w:u w:val="single"/>
          <w:lang w:val="en-US"/>
        </w:rPr>
      </w:pPr>
      <w:r w:rsidRPr="00602F08">
        <w:rPr>
          <w:rStyle w:val="normaltextrun"/>
          <w:b/>
          <w:bCs/>
          <w:u w:val="single"/>
          <w:lang w:val="en-US"/>
        </w:rPr>
        <w:t>AA</w:t>
      </w:r>
    </w:p>
    <w:p w14:paraId="3345B0C1" w14:textId="77777777" w:rsidR="002F443F" w:rsidRPr="00602F08" w:rsidRDefault="002F443F" w:rsidP="00B6212D">
      <w:pPr>
        <w:jc w:val="both"/>
        <w:rPr>
          <w:rStyle w:val="normaltextrun"/>
          <w:b/>
          <w:bCs/>
          <w:u w:val="single"/>
          <w:lang w:val="en-US"/>
        </w:rPr>
      </w:pPr>
    </w:p>
    <w:p w14:paraId="47653EA5" w14:textId="67CADC88" w:rsidR="004B0402" w:rsidRPr="00602F08" w:rsidRDefault="004B0402" w:rsidP="00B6212D">
      <w:pPr>
        <w:pStyle w:val="ListParagraph"/>
        <w:widowControl w:val="0"/>
        <w:numPr>
          <w:ilvl w:val="0"/>
          <w:numId w:val="10"/>
        </w:numPr>
        <w:tabs>
          <w:tab w:val="left" w:pos="688"/>
        </w:tabs>
        <w:autoSpaceDE w:val="0"/>
        <w:autoSpaceDN w:val="0"/>
        <w:spacing w:before="11"/>
        <w:contextualSpacing w:val="0"/>
        <w:jc w:val="both"/>
        <w:rPr>
          <w:rStyle w:val="normaltextrun"/>
          <w:rFonts w:ascii="Times New Roman" w:hAnsi="Times New Roman"/>
        </w:rPr>
      </w:pPr>
      <w:r w:rsidRPr="00602F08">
        <w:rPr>
          <w:rStyle w:val="normaltextrun"/>
          <w:rFonts w:ascii="Times New Roman" w:hAnsi="Times New Roman"/>
          <w:lang w:val="en-US"/>
        </w:rPr>
        <w:t xml:space="preserve">AA has chronic kidney disease at stage 5 (end stage), hypertension, cardiomyopathy, hypotensive nephropathy, atrial fibrillation and chronic hepatitis C. </w:t>
      </w:r>
    </w:p>
    <w:p w14:paraId="122112BE" w14:textId="77777777" w:rsidR="004B0402" w:rsidRPr="00602F08" w:rsidRDefault="004B0402" w:rsidP="00B6212D">
      <w:pPr>
        <w:pStyle w:val="ListParagraph"/>
        <w:jc w:val="both"/>
        <w:rPr>
          <w:rStyle w:val="normaltextrun"/>
          <w:rFonts w:ascii="Times New Roman" w:hAnsi="Times New Roman"/>
          <w:lang w:val="en-US"/>
        </w:rPr>
      </w:pPr>
    </w:p>
    <w:p w14:paraId="19D8AB7D" w14:textId="11443BE8" w:rsidR="004B0402" w:rsidRPr="00602F08" w:rsidRDefault="004B0402" w:rsidP="00B6212D">
      <w:pPr>
        <w:pStyle w:val="ListParagraph"/>
        <w:widowControl w:val="0"/>
        <w:numPr>
          <w:ilvl w:val="0"/>
          <w:numId w:val="10"/>
        </w:numPr>
        <w:tabs>
          <w:tab w:val="left" w:pos="688"/>
        </w:tabs>
        <w:autoSpaceDE w:val="0"/>
        <w:autoSpaceDN w:val="0"/>
        <w:spacing w:before="11"/>
        <w:contextualSpacing w:val="0"/>
        <w:jc w:val="both"/>
        <w:rPr>
          <w:rStyle w:val="eop"/>
          <w:rFonts w:ascii="Times New Roman" w:hAnsi="Times New Roman"/>
        </w:rPr>
      </w:pPr>
      <w:r w:rsidRPr="00602F08">
        <w:rPr>
          <w:rStyle w:val="normaltextrun"/>
          <w:rFonts w:ascii="Times New Roman" w:hAnsi="Times New Roman"/>
          <w:lang w:val="en-US"/>
        </w:rPr>
        <w:t xml:space="preserve">On 28 February 2019, the </w:t>
      </w:r>
      <w:r w:rsidR="007026D0" w:rsidRPr="00602F08">
        <w:rPr>
          <w:rStyle w:val="normaltextrun"/>
          <w:rFonts w:ascii="Times New Roman" w:hAnsi="Times New Roman"/>
          <w:lang w:val="en-US"/>
        </w:rPr>
        <w:t xml:space="preserve">then </w:t>
      </w:r>
      <w:r w:rsidRPr="00602F08">
        <w:rPr>
          <w:rStyle w:val="normaltextrun"/>
          <w:rFonts w:ascii="Times New Roman" w:hAnsi="Times New Roman"/>
          <w:lang w:val="en-US"/>
        </w:rPr>
        <w:t xml:space="preserve">Secretary of State </w:t>
      </w:r>
      <w:r w:rsidR="00D33D5D" w:rsidRPr="00602F08">
        <w:rPr>
          <w:rStyle w:val="normaltextrun"/>
          <w:rFonts w:ascii="Times New Roman" w:hAnsi="Times New Roman"/>
          <w:lang w:val="en-US"/>
        </w:rPr>
        <w:t xml:space="preserve">acting by </w:t>
      </w:r>
      <w:r w:rsidR="002F186C" w:rsidRPr="00602F08">
        <w:rPr>
          <w:rStyle w:val="normaltextrun"/>
          <w:rFonts w:ascii="Times New Roman" w:hAnsi="Times New Roman"/>
          <w:lang w:val="en-US"/>
        </w:rPr>
        <w:t>his</w:t>
      </w:r>
      <w:r w:rsidR="00D33D5D" w:rsidRPr="00602F08">
        <w:rPr>
          <w:rStyle w:val="normaltextrun"/>
          <w:rFonts w:ascii="Times New Roman" w:hAnsi="Times New Roman"/>
          <w:lang w:val="en-US"/>
        </w:rPr>
        <w:t xml:space="preserve"> officials </w:t>
      </w:r>
      <w:r w:rsidRPr="00602F08">
        <w:rPr>
          <w:rStyle w:val="normaltextrun"/>
          <w:rFonts w:ascii="Times New Roman" w:hAnsi="Times New Roman"/>
          <w:lang w:val="en-US"/>
        </w:rPr>
        <w:t>accepted AA as destitute and as eligible for accommodation under section 4(2) of the 1999 Act.</w:t>
      </w:r>
      <w:r w:rsidRPr="00602F08">
        <w:rPr>
          <w:rStyle w:val="normaltextrun"/>
          <w:rFonts w:ascii="Times New Roman" w:hAnsi="Times New Roman"/>
        </w:rPr>
        <w:t xml:space="preserve"> </w:t>
      </w:r>
      <w:r w:rsidRPr="00602F08">
        <w:rPr>
          <w:rStyle w:val="normaltextrun"/>
          <w:rFonts w:ascii="Times New Roman" w:hAnsi="Times New Roman"/>
          <w:lang w:val="en-US"/>
        </w:rPr>
        <w:t xml:space="preserve">On 7 March 2019 AA moved to accommodation in Harrow provided by the </w:t>
      </w:r>
      <w:r w:rsidR="007026D0" w:rsidRPr="00602F08">
        <w:rPr>
          <w:rStyle w:val="normaltextrun"/>
          <w:rFonts w:ascii="Times New Roman" w:hAnsi="Times New Roman"/>
          <w:lang w:val="en-US"/>
        </w:rPr>
        <w:t xml:space="preserve">then </w:t>
      </w:r>
      <w:r w:rsidRPr="00602F08">
        <w:rPr>
          <w:rStyle w:val="normaltextrun"/>
          <w:rFonts w:ascii="Times New Roman" w:hAnsi="Times New Roman"/>
          <w:lang w:val="en-US"/>
        </w:rPr>
        <w:t>Secretary of State. The accommodation was unsuitable for AA given his disabilities. </w:t>
      </w:r>
      <w:r w:rsidRPr="00602F08">
        <w:rPr>
          <w:rStyle w:val="eop"/>
          <w:rFonts w:ascii="Times New Roman" w:hAnsi="Times New Roman"/>
        </w:rPr>
        <w:t> </w:t>
      </w:r>
    </w:p>
    <w:p w14:paraId="7FE08393" w14:textId="77777777" w:rsidR="006D484F" w:rsidRPr="00602F08" w:rsidRDefault="006D484F" w:rsidP="00B6212D">
      <w:pPr>
        <w:pStyle w:val="ListParagraph"/>
        <w:jc w:val="both"/>
        <w:rPr>
          <w:rStyle w:val="eop"/>
          <w:rFonts w:ascii="Times New Roman" w:hAnsi="Times New Roman"/>
        </w:rPr>
      </w:pPr>
    </w:p>
    <w:p w14:paraId="5B46739F" w14:textId="7593CE68" w:rsidR="006D484F" w:rsidRPr="00602F08" w:rsidRDefault="000C5461" w:rsidP="00B6212D">
      <w:pPr>
        <w:pStyle w:val="ListParagraph"/>
        <w:widowControl w:val="0"/>
        <w:numPr>
          <w:ilvl w:val="0"/>
          <w:numId w:val="10"/>
        </w:numPr>
        <w:tabs>
          <w:tab w:val="left" w:pos="688"/>
        </w:tabs>
        <w:autoSpaceDE w:val="0"/>
        <w:autoSpaceDN w:val="0"/>
        <w:spacing w:before="11"/>
        <w:contextualSpacing w:val="0"/>
        <w:jc w:val="both"/>
        <w:rPr>
          <w:rStyle w:val="eop"/>
          <w:rFonts w:ascii="Times New Roman" w:hAnsi="Times New Roman"/>
        </w:rPr>
      </w:pPr>
      <w:r w:rsidRPr="00602F08">
        <w:rPr>
          <w:rFonts w:ascii="Times New Roman" w:hAnsi="Times New Roman"/>
          <w:lang w:eastAsia="en-GB"/>
        </w:rPr>
        <w:t>In</w:t>
      </w:r>
      <w:r w:rsidR="006D484F" w:rsidRPr="00602F08">
        <w:rPr>
          <w:rFonts w:ascii="Times New Roman" w:hAnsi="Times New Roman"/>
          <w:lang w:eastAsia="en-GB"/>
        </w:rPr>
        <w:t xml:space="preserve"> March 2019 on two occasions the Independent Medical Advisor to the Secretary of State advised that AA did not require accommodation in London, due to the availability of dialysis in other metropolitan centres.</w:t>
      </w:r>
    </w:p>
    <w:p w14:paraId="2837912F" w14:textId="77777777" w:rsidR="004B0402" w:rsidRPr="00602F08" w:rsidRDefault="004B0402" w:rsidP="00B6212D">
      <w:pPr>
        <w:pStyle w:val="ListParagraph"/>
        <w:jc w:val="both"/>
        <w:rPr>
          <w:rStyle w:val="normaltextrun"/>
          <w:rFonts w:ascii="Times New Roman" w:hAnsi="Times New Roman"/>
          <w:lang w:val="en-US"/>
        </w:rPr>
      </w:pPr>
    </w:p>
    <w:p w14:paraId="76C98971" w14:textId="3E4A0440" w:rsidR="004B0402" w:rsidRPr="00602F08" w:rsidRDefault="004B0402" w:rsidP="00B6212D">
      <w:pPr>
        <w:pStyle w:val="ListParagraph"/>
        <w:widowControl w:val="0"/>
        <w:numPr>
          <w:ilvl w:val="0"/>
          <w:numId w:val="10"/>
        </w:numPr>
        <w:tabs>
          <w:tab w:val="left" w:pos="688"/>
        </w:tabs>
        <w:autoSpaceDE w:val="0"/>
        <w:autoSpaceDN w:val="0"/>
        <w:spacing w:before="11"/>
        <w:contextualSpacing w:val="0"/>
        <w:jc w:val="both"/>
        <w:rPr>
          <w:rStyle w:val="normaltextrun"/>
          <w:rFonts w:ascii="Times New Roman" w:hAnsi="Times New Roman"/>
        </w:rPr>
      </w:pPr>
      <w:r w:rsidRPr="00602F08">
        <w:rPr>
          <w:rStyle w:val="normaltextrun"/>
          <w:rFonts w:ascii="Times New Roman" w:hAnsi="Times New Roman"/>
          <w:lang w:val="en-US"/>
        </w:rPr>
        <w:t xml:space="preserve">On 20 March 2019, the </w:t>
      </w:r>
      <w:r w:rsidR="007026D0" w:rsidRPr="00602F08">
        <w:rPr>
          <w:rStyle w:val="normaltextrun"/>
          <w:rFonts w:ascii="Times New Roman" w:hAnsi="Times New Roman"/>
          <w:lang w:val="en-US"/>
        </w:rPr>
        <w:t xml:space="preserve">then </w:t>
      </w:r>
      <w:r w:rsidRPr="00602F08">
        <w:rPr>
          <w:rStyle w:val="normaltextrun"/>
          <w:rFonts w:ascii="Times New Roman" w:hAnsi="Times New Roman"/>
          <w:lang w:val="en-US"/>
        </w:rPr>
        <w:t xml:space="preserve">Secretary of State </w:t>
      </w:r>
      <w:r w:rsidR="00E111A2" w:rsidRPr="00602F08">
        <w:rPr>
          <w:rStyle w:val="normaltextrun"/>
          <w:rFonts w:ascii="Times New Roman" w:hAnsi="Times New Roman"/>
          <w:lang w:val="en-US"/>
        </w:rPr>
        <w:t>acting by h</w:t>
      </w:r>
      <w:r w:rsidR="002F186C" w:rsidRPr="00602F08">
        <w:rPr>
          <w:rStyle w:val="normaltextrun"/>
          <w:rFonts w:ascii="Times New Roman" w:hAnsi="Times New Roman"/>
          <w:lang w:val="en-US"/>
        </w:rPr>
        <w:t>is</w:t>
      </w:r>
      <w:r w:rsidR="00E111A2" w:rsidRPr="00602F08">
        <w:rPr>
          <w:rStyle w:val="normaltextrun"/>
          <w:rFonts w:ascii="Times New Roman" w:hAnsi="Times New Roman"/>
          <w:lang w:val="en-US"/>
        </w:rPr>
        <w:t xml:space="preserve"> officials </w:t>
      </w:r>
      <w:r w:rsidRPr="00602F08">
        <w:rPr>
          <w:rStyle w:val="normaltextrun"/>
          <w:rFonts w:ascii="Times New Roman" w:hAnsi="Times New Roman"/>
          <w:lang w:val="en-US"/>
        </w:rPr>
        <w:t xml:space="preserve">agreed AA’s request for single-room accommodation with ground floor or lifted access on medical grounds. Accommodation of this description was not however provided. </w:t>
      </w:r>
      <w:r w:rsidRPr="00602F08">
        <w:rPr>
          <w:rStyle w:val="normaltextrun"/>
          <w:rFonts w:ascii="Times New Roman" w:hAnsi="Times New Roman"/>
        </w:rPr>
        <w:t>For two months (from o</w:t>
      </w:r>
      <w:r w:rsidRPr="00602F08">
        <w:rPr>
          <w:rStyle w:val="normaltextrun"/>
          <w:rFonts w:ascii="Times New Roman" w:hAnsi="Times New Roman"/>
          <w:lang w:val="en-US"/>
        </w:rPr>
        <w:t>n or around 26 March 2019 until 28 May 2019), AA stayed on friends’ sofas or floors and was also street homeless</w:t>
      </w:r>
      <w:r w:rsidR="0016627A">
        <w:rPr>
          <w:rStyle w:val="normaltextrun"/>
          <w:rFonts w:ascii="Times New Roman" w:hAnsi="Times New Roman"/>
          <w:lang w:val="en-US"/>
        </w:rPr>
        <w:t xml:space="preserve">, sleeping on streets near </w:t>
      </w:r>
      <w:r w:rsidR="00D81A5A">
        <w:rPr>
          <w:rStyle w:val="normaltextrun"/>
          <w:rFonts w:ascii="Times New Roman" w:hAnsi="Times New Roman"/>
          <w:lang w:val="en-US"/>
        </w:rPr>
        <w:t>the</w:t>
      </w:r>
      <w:r w:rsidR="0016627A">
        <w:rPr>
          <w:rStyle w:val="normaltextrun"/>
          <w:rFonts w:ascii="Times New Roman" w:hAnsi="Times New Roman"/>
          <w:lang w:val="en-US"/>
        </w:rPr>
        <w:t xml:space="preserve"> </w:t>
      </w:r>
      <w:r w:rsidR="00B465C0">
        <w:rPr>
          <w:rStyle w:val="normaltextrun"/>
          <w:rFonts w:ascii="Times New Roman" w:hAnsi="Times New Roman"/>
          <w:lang w:val="en-US"/>
        </w:rPr>
        <w:t xml:space="preserve">renal </w:t>
      </w:r>
      <w:r w:rsidR="0016627A">
        <w:rPr>
          <w:rStyle w:val="normaltextrun"/>
          <w:rFonts w:ascii="Times New Roman" w:hAnsi="Times New Roman"/>
          <w:lang w:val="en-US"/>
        </w:rPr>
        <w:t>clinic</w:t>
      </w:r>
      <w:r w:rsidR="00824CB6">
        <w:rPr>
          <w:rStyle w:val="normaltextrun"/>
          <w:rFonts w:ascii="Times New Roman" w:hAnsi="Times New Roman"/>
          <w:lang w:val="en-US"/>
        </w:rPr>
        <w:t xml:space="preserve"> he had to attend for kidney dialysis</w:t>
      </w:r>
      <w:r w:rsidRPr="00602F08">
        <w:rPr>
          <w:rStyle w:val="normaltextrun"/>
          <w:rFonts w:ascii="Times New Roman" w:hAnsi="Times New Roman"/>
          <w:lang w:val="en-US"/>
        </w:rPr>
        <w:t>.</w:t>
      </w:r>
    </w:p>
    <w:p w14:paraId="2CAABE4C" w14:textId="77777777" w:rsidR="004B0402" w:rsidRPr="00602F08" w:rsidRDefault="004B0402" w:rsidP="00B6212D">
      <w:pPr>
        <w:pStyle w:val="ListParagraph"/>
        <w:jc w:val="both"/>
        <w:rPr>
          <w:rStyle w:val="normaltextrun"/>
          <w:rFonts w:ascii="Times New Roman" w:hAnsi="Times New Roman"/>
          <w:lang w:val="en-US"/>
        </w:rPr>
      </w:pPr>
    </w:p>
    <w:p w14:paraId="2D532208" w14:textId="25F7B047" w:rsidR="004B0402" w:rsidRPr="00602F08" w:rsidRDefault="004B0402" w:rsidP="00B6212D">
      <w:pPr>
        <w:pStyle w:val="ListParagraph"/>
        <w:widowControl w:val="0"/>
        <w:numPr>
          <w:ilvl w:val="0"/>
          <w:numId w:val="10"/>
        </w:numPr>
        <w:tabs>
          <w:tab w:val="left" w:pos="688"/>
        </w:tabs>
        <w:autoSpaceDE w:val="0"/>
        <w:autoSpaceDN w:val="0"/>
        <w:spacing w:before="11"/>
        <w:contextualSpacing w:val="0"/>
        <w:jc w:val="both"/>
        <w:rPr>
          <w:rStyle w:val="normaltextrun"/>
          <w:rFonts w:ascii="Times New Roman" w:hAnsi="Times New Roman"/>
        </w:rPr>
      </w:pPr>
      <w:r w:rsidRPr="00602F08">
        <w:rPr>
          <w:rStyle w:val="normaltextrun"/>
          <w:rFonts w:ascii="Times New Roman" w:hAnsi="Times New Roman"/>
          <w:lang w:val="en-US"/>
        </w:rPr>
        <w:t xml:space="preserve">On 29 May 2019, the </w:t>
      </w:r>
      <w:r w:rsidR="007026D0" w:rsidRPr="00602F08">
        <w:rPr>
          <w:rStyle w:val="normaltextrun"/>
          <w:rFonts w:ascii="Times New Roman" w:hAnsi="Times New Roman"/>
          <w:lang w:val="en-US"/>
        </w:rPr>
        <w:t xml:space="preserve">then </w:t>
      </w:r>
      <w:r w:rsidRPr="00602F08">
        <w:rPr>
          <w:rStyle w:val="normaltextrun"/>
          <w:rFonts w:ascii="Times New Roman" w:hAnsi="Times New Roman"/>
          <w:lang w:val="en-US"/>
        </w:rPr>
        <w:t xml:space="preserve">Secretary of State </w:t>
      </w:r>
      <w:r w:rsidR="00E111A2" w:rsidRPr="00602F08">
        <w:rPr>
          <w:rStyle w:val="normaltextrun"/>
          <w:rFonts w:ascii="Times New Roman" w:hAnsi="Times New Roman"/>
          <w:lang w:val="en-US"/>
        </w:rPr>
        <w:t>acting by h</w:t>
      </w:r>
      <w:r w:rsidR="002F186C" w:rsidRPr="00602F08">
        <w:rPr>
          <w:rStyle w:val="normaltextrun"/>
          <w:rFonts w:ascii="Times New Roman" w:hAnsi="Times New Roman"/>
          <w:lang w:val="en-US"/>
        </w:rPr>
        <w:t>is</w:t>
      </w:r>
      <w:r w:rsidR="00E111A2" w:rsidRPr="00602F08">
        <w:rPr>
          <w:rStyle w:val="normaltextrun"/>
          <w:rFonts w:ascii="Times New Roman" w:hAnsi="Times New Roman"/>
          <w:lang w:val="en-US"/>
        </w:rPr>
        <w:t xml:space="preserve"> officials </w:t>
      </w:r>
      <w:r w:rsidRPr="00602F08">
        <w:rPr>
          <w:rStyle w:val="normaltextrun"/>
          <w:rFonts w:ascii="Times New Roman" w:hAnsi="Times New Roman"/>
          <w:lang w:val="en-US"/>
        </w:rPr>
        <w:t>proposed a property in Cheltenham, but arrangements to collect AA failed. A claim for judicial review was issued on 6 June 2019 and on the same date, Lang J made an order for urgent interim relief requiring the</w:t>
      </w:r>
      <w:r w:rsidR="007026D0" w:rsidRPr="00602F08">
        <w:rPr>
          <w:rStyle w:val="normaltextrun"/>
          <w:rFonts w:ascii="Times New Roman" w:hAnsi="Times New Roman"/>
          <w:lang w:val="en-US"/>
        </w:rPr>
        <w:t xml:space="preserve"> then</w:t>
      </w:r>
      <w:r w:rsidRPr="00602F08">
        <w:rPr>
          <w:rStyle w:val="normaltextrun"/>
          <w:rFonts w:ascii="Times New Roman" w:hAnsi="Times New Roman"/>
          <w:lang w:val="en-US"/>
        </w:rPr>
        <w:t xml:space="preserve"> Secretary of State to provide suitable accommodation to AA.</w:t>
      </w:r>
      <w:r w:rsidRPr="00602F08">
        <w:rPr>
          <w:rStyle w:val="normaltextrun"/>
          <w:rFonts w:ascii="Times New Roman" w:hAnsi="Times New Roman"/>
        </w:rPr>
        <w:t xml:space="preserve"> </w:t>
      </w:r>
    </w:p>
    <w:p w14:paraId="694D5E20" w14:textId="77777777" w:rsidR="004B0402" w:rsidRPr="00602F08" w:rsidRDefault="004B0402" w:rsidP="00B6212D">
      <w:pPr>
        <w:pStyle w:val="ListParagraph"/>
        <w:jc w:val="both"/>
        <w:rPr>
          <w:rStyle w:val="normaltextrun"/>
          <w:rFonts w:ascii="Times New Roman" w:hAnsi="Times New Roman"/>
          <w:lang w:val="en-US"/>
        </w:rPr>
      </w:pPr>
    </w:p>
    <w:p w14:paraId="1F3C0A10" w14:textId="1289D712" w:rsidR="002748C0" w:rsidRPr="00602F08" w:rsidRDefault="004B0402" w:rsidP="00B6212D">
      <w:pPr>
        <w:numPr>
          <w:ilvl w:val="0"/>
          <w:numId w:val="10"/>
        </w:numPr>
        <w:jc w:val="both"/>
        <w:rPr>
          <w:rStyle w:val="normaltextrun"/>
          <w:lang w:val="en-US"/>
        </w:rPr>
      </w:pPr>
      <w:r w:rsidRPr="00602F08">
        <w:rPr>
          <w:rStyle w:val="normaltextrun"/>
          <w:lang w:val="en-US"/>
        </w:rPr>
        <w:t xml:space="preserve">From 13 June 2019, the </w:t>
      </w:r>
      <w:r w:rsidR="007026D0" w:rsidRPr="00602F08">
        <w:rPr>
          <w:rStyle w:val="normaltextrun"/>
          <w:lang w:val="en-US"/>
        </w:rPr>
        <w:t xml:space="preserve">then </w:t>
      </w:r>
      <w:r w:rsidRPr="00602F08">
        <w:rPr>
          <w:rStyle w:val="normaltextrun"/>
          <w:lang w:val="en-US"/>
        </w:rPr>
        <w:t xml:space="preserve">Secretary of State </w:t>
      </w:r>
      <w:r w:rsidR="002F186C" w:rsidRPr="00602F08">
        <w:rPr>
          <w:rStyle w:val="normaltextrun"/>
          <w:lang w:val="en-US"/>
        </w:rPr>
        <w:t xml:space="preserve">acting by his officials </w:t>
      </w:r>
      <w:r w:rsidRPr="00602F08">
        <w:rPr>
          <w:rStyle w:val="normaltextrun"/>
          <w:lang w:val="en-US"/>
        </w:rPr>
        <w:t xml:space="preserve">provided AA with full-board initial accommodation at an hotel or hostel in Thornton Heath within the London Borough of Croydon. The </w:t>
      </w:r>
      <w:r w:rsidR="00C02167" w:rsidRPr="00602F08">
        <w:rPr>
          <w:rStyle w:val="normaltextrun"/>
          <w:lang w:val="en-US"/>
        </w:rPr>
        <w:t xml:space="preserve">then </w:t>
      </w:r>
      <w:r w:rsidRPr="00602F08">
        <w:rPr>
          <w:rStyle w:val="normaltextrun"/>
          <w:lang w:val="en-US"/>
        </w:rPr>
        <w:t xml:space="preserve">Secretary of State </w:t>
      </w:r>
      <w:r w:rsidR="00C02167" w:rsidRPr="00602F08">
        <w:rPr>
          <w:rStyle w:val="normaltextrun"/>
          <w:lang w:val="en-US"/>
        </w:rPr>
        <w:t xml:space="preserve">acting by his officials </w:t>
      </w:r>
      <w:r w:rsidRPr="00602F08">
        <w:rPr>
          <w:rStyle w:val="normaltextrun"/>
          <w:lang w:val="en-US"/>
        </w:rPr>
        <w:t xml:space="preserve">funded AA’s transportation to and from a renal clinic in Tottenham by </w:t>
      </w:r>
      <w:r w:rsidR="00C14F71" w:rsidRPr="00602F08">
        <w:rPr>
          <w:rStyle w:val="normaltextrun"/>
          <w:lang w:val="en-US"/>
        </w:rPr>
        <w:t>taxi</w:t>
      </w:r>
      <w:r w:rsidRPr="00602F08">
        <w:rPr>
          <w:rStyle w:val="normaltextrun"/>
          <w:lang w:val="en-US"/>
        </w:rPr>
        <w:t xml:space="preserve"> three times a week, but the dietary requirements of his disability (evidenced by </w:t>
      </w:r>
      <w:r w:rsidR="00027DA1" w:rsidRPr="00602F08">
        <w:rPr>
          <w:rStyle w:val="normaltextrun"/>
          <w:lang w:val="en-US"/>
        </w:rPr>
        <w:t>a</w:t>
      </w:r>
      <w:r w:rsidR="0052768B">
        <w:rPr>
          <w:rStyle w:val="normaltextrun"/>
          <w:lang w:val="en-US"/>
        </w:rPr>
        <w:t xml:space="preserve"> Consultant </w:t>
      </w:r>
      <w:r w:rsidR="00FA09C8">
        <w:rPr>
          <w:rStyle w:val="normaltextrun"/>
          <w:lang w:val="en-US"/>
        </w:rPr>
        <w:t>Nephr</w:t>
      </w:r>
      <w:r w:rsidR="002D4419">
        <w:rPr>
          <w:rStyle w:val="normaltextrun"/>
          <w:lang w:val="en-US"/>
        </w:rPr>
        <w:t>ologist,</w:t>
      </w:r>
      <w:r w:rsidR="00027DA1" w:rsidRPr="00602F08">
        <w:rPr>
          <w:rStyle w:val="normaltextrun"/>
          <w:lang w:val="en-US"/>
        </w:rPr>
        <w:t xml:space="preserve"> </w:t>
      </w:r>
      <w:r w:rsidRPr="00602F08">
        <w:rPr>
          <w:rStyle w:val="normaltextrun"/>
          <w:lang w:val="en-US"/>
        </w:rPr>
        <w:t>Dr Goodlad) were not met. </w:t>
      </w:r>
    </w:p>
    <w:p w14:paraId="5D5AC21B" w14:textId="77777777" w:rsidR="002748C0" w:rsidRPr="00602F08" w:rsidRDefault="002748C0" w:rsidP="00B6212D">
      <w:pPr>
        <w:pStyle w:val="ListParagraph"/>
        <w:rPr>
          <w:rStyle w:val="normaltextrun"/>
          <w:rFonts w:ascii="Times New Roman" w:hAnsi="Times New Roman"/>
          <w:lang w:val="en-US"/>
        </w:rPr>
      </w:pPr>
    </w:p>
    <w:p w14:paraId="5820EDEE" w14:textId="442A9239" w:rsidR="004B0402" w:rsidRPr="00602F08" w:rsidRDefault="00C330F5" w:rsidP="00B6212D">
      <w:pPr>
        <w:numPr>
          <w:ilvl w:val="0"/>
          <w:numId w:val="10"/>
        </w:numPr>
        <w:jc w:val="both"/>
        <w:rPr>
          <w:rStyle w:val="normaltextrun"/>
          <w:lang w:val="en-US"/>
        </w:rPr>
      </w:pPr>
      <w:r w:rsidRPr="00602F08">
        <w:rPr>
          <w:rStyle w:val="normaltextrun"/>
          <w:lang w:val="en-US"/>
        </w:rPr>
        <w:t>Ms Rachel McLean works for</w:t>
      </w:r>
      <w:r w:rsidR="003630DA" w:rsidRPr="00602F08">
        <w:rPr>
          <w:rStyle w:val="normaltextrun"/>
          <w:lang w:val="en-US"/>
        </w:rPr>
        <w:t xml:space="preserve"> </w:t>
      </w:r>
      <w:r w:rsidRPr="00602F08">
        <w:rPr>
          <w:rStyle w:val="normaltextrun"/>
          <w:lang w:val="en-US"/>
        </w:rPr>
        <w:t>the relevant</w:t>
      </w:r>
      <w:r w:rsidR="006A6383" w:rsidRPr="00602F08">
        <w:rPr>
          <w:rStyle w:val="normaltextrun"/>
          <w:lang w:val="en-US"/>
        </w:rPr>
        <w:t xml:space="preserve"> accommodation provider contracted by the Secretary of State</w:t>
      </w:r>
      <w:r w:rsidRPr="00602F08">
        <w:rPr>
          <w:rStyle w:val="normaltextrun"/>
          <w:lang w:val="en-US"/>
        </w:rPr>
        <w:t xml:space="preserve">. Her </w:t>
      </w:r>
      <w:r w:rsidR="004B0402" w:rsidRPr="00602F08">
        <w:rPr>
          <w:rStyle w:val="normaltextrun"/>
          <w:lang w:val="en-US"/>
        </w:rPr>
        <w:t>evidence is: “I can find no reference of this booking being chased [on behalf of the Secretary of State] until early November 2019”</w:t>
      </w:r>
      <w:r w:rsidRPr="00602F08">
        <w:rPr>
          <w:rStyle w:val="normaltextrun"/>
          <w:lang w:val="en-US"/>
        </w:rPr>
        <w:t xml:space="preserve">. This is </w:t>
      </w:r>
      <w:r w:rsidR="004B0402" w:rsidRPr="00602F08">
        <w:rPr>
          <w:rStyle w:val="normaltextrun"/>
          <w:lang w:val="en-US"/>
        </w:rPr>
        <w:t>from, as I understand it, July.</w:t>
      </w:r>
    </w:p>
    <w:p w14:paraId="0254AA6B" w14:textId="77777777" w:rsidR="004B0402" w:rsidRPr="00602F08" w:rsidRDefault="004B0402" w:rsidP="00B6212D">
      <w:pPr>
        <w:widowControl w:val="0"/>
        <w:tabs>
          <w:tab w:val="left" w:pos="688"/>
        </w:tabs>
        <w:autoSpaceDE w:val="0"/>
        <w:autoSpaceDN w:val="0"/>
        <w:spacing w:before="11"/>
        <w:ind w:left="119"/>
        <w:jc w:val="both"/>
        <w:rPr>
          <w:rStyle w:val="normaltextrun"/>
        </w:rPr>
      </w:pPr>
    </w:p>
    <w:p w14:paraId="051A6E04" w14:textId="5A53C3FB" w:rsidR="004B0402" w:rsidRPr="00602F08" w:rsidRDefault="004B0402" w:rsidP="00B6212D">
      <w:pPr>
        <w:pStyle w:val="ListParagraph"/>
        <w:widowControl w:val="0"/>
        <w:numPr>
          <w:ilvl w:val="0"/>
          <w:numId w:val="10"/>
        </w:numPr>
        <w:tabs>
          <w:tab w:val="left" w:pos="688"/>
        </w:tabs>
        <w:autoSpaceDE w:val="0"/>
        <w:autoSpaceDN w:val="0"/>
        <w:spacing w:before="11"/>
        <w:contextualSpacing w:val="0"/>
        <w:jc w:val="both"/>
        <w:rPr>
          <w:rStyle w:val="normaltextrun"/>
          <w:rFonts w:ascii="Times New Roman" w:hAnsi="Times New Roman"/>
        </w:rPr>
      </w:pPr>
      <w:r w:rsidRPr="00602F08">
        <w:rPr>
          <w:rStyle w:val="normaltextrun"/>
          <w:rFonts w:ascii="Times New Roman" w:hAnsi="Times New Roman"/>
          <w:lang w:val="en-US"/>
        </w:rPr>
        <w:t xml:space="preserve">On 6 November 2019, AA issued the present claim for judicial review and applied for urgent interim relief. The Secretary of State proposed accommodation at Haringey. The accommodation was unsuitable for AA given his disabilities. Ms McLean explains that the booking request from the Secretary of State </w:t>
      </w:r>
      <w:r w:rsidR="00C652EF" w:rsidRPr="00602F08">
        <w:rPr>
          <w:rStyle w:val="normaltextrun"/>
          <w:rFonts w:ascii="Times New Roman" w:hAnsi="Times New Roman"/>
          <w:lang w:val="en-US"/>
        </w:rPr>
        <w:t xml:space="preserve">acting by her officials </w:t>
      </w:r>
      <w:r w:rsidRPr="00602F08">
        <w:rPr>
          <w:rStyle w:val="normaltextrun"/>
          <w:rFonts w:ascii="Times New Roman" w:hAnsi="Times New Roman"/>
          <w:lang w:val="en-US"/>
        </w:rPr>
        <w:t>“did not state that all facilities were required to be on the ground floor just that the bedroom was required on the ground floor”.</w:t>
      </w:r>
    </w:p>
    <w:p w14:paraId="61FB4A33" w14:textId="77777777" w:rsidR="004B0402" w:rsidRPr="00602F08" w:rsidRDefault="004B0402" w:rsidP="00B6212D">
      <w:pPr>
        <w:pStyle w:val="ListParagraph"/>
        <w:jc w:val="both"/>
        <w:rPr>
          <w:rStyle w:val="normaltextrun"/>
          <w:rFonts w:ascii="Times New Roman" w:hAnsi="Times New Roman"/>
          <w:lang w:val="en-US"/>
        </w:rPr>
      </w:pPr>
    </w:p>
    <w:p w14:paraId="688D38B3" w14:textId="05FE57BD" w:rsidR="001006D5" w:rsidRPr="00602F08" w:rsidRDefault="004B0402" w:rsidP="00B6212D">
      <w:pPr>
        <w:pStyle w:val="ListParagraph"/>
        <w:widowControl w:val="0"/>
        <w:numPr>
          <w:ilvl w:val="0"/>
          <w:numId w:val="10"/>
        </w:numPr>
        <w:tabs>
          <w:tab w:val="left" w:pos="688"/>
        </w:tabs>
        <w:autoSpaceDE w:val="0"/>
        <w:autoSpaceDN w:val="0"/>
        <w:spacing w:before="11"/>
        <w:contextualSpacing w:val="0"/>
        <w:jc w:val="both"/>
        <w:rPr>
          <w:rStyle w:val="normaltextrun"/>
          <w:rFonts w:ascii="Times New Roman" w:hAnsi="Times New Roman"/>
        </w:rPr>
      </w:pPr>
      <w:r w:rsidRPr="00602F08">
        <w:rPr>
          <w:rStyle w:val="normaltextrun"/>
          <w:rFonts w:ascii="Times New Roman" w:hAnsi="Times New Roman"/>
          <w:lang w:val="en-US"/>
        </w:rPr>
        <w:t xml:space="preserve">On 2 December 2019 AA was accommodated in Barking but the issue was transport to </w:t>
      </w:r>
      <w:r w:rsidR="007B078B" w:rsidRPr="00602F08">
        <w:rPr>
          <w:rStyle w:val="normaltextrun"/>
          <w:rFonts w:ascii="Times New Roman" w:hAnsi="Times New Roman"/>
          <w:lang w:val="en-US"/>
        </w:rPr>
        <w:t xml:space="preserve">the </w:t>
      </w:r>
      <w:r w:rsidRPr="00602F08">
        <w:rPr>
          <w:rStyle w:val="normaltextrun"/>
          <w:rFonts w:ascii="Times New Roman" w:hAnsi="Times New Roman"/>
          <w:lang w:val="en-US"/>
        </w:rPr>
        <w:t xml:space="preserve">renal clinic for dialysis. On 11 December 2019, AA made </w:t>
      </w:r>
      <w:r w:rsidR="00AD72E3" w:rsidRPr="00602F08">
        <w:rPr>
          <w:rStyle w:val="normaltextrun"/>
          <w:rFonts w:ascii="Times New Roman" w:hAnsi="Times New Roman"/>
          <w:lang w:val="en-US"/>
        </w:rPr>
        <w:t>a further</w:t>
      </w:r>
      <w:r w:rsidRPr="00602F08">
        <w:rPr>
          <w:rStyle w:val="normaltextrun"/>
          <w:rFonts w:ascii="Times New Roman" w:hAnsi="Times New Roman"/>
          <w:lang w:val="en-US"/>
        </w:rPr>
        <w:t xml:space="preserve"> application for urgent interim relief. </w:t>
      </w:r>
      <w:r w:rsidRPr="00602F08">
        <w:rPr>
          <w:rStyle w:val="eop"/>
          <w:rFonts w:ascii="Times New Roman" w:hAnsi="Times New Roman"/>
        </w:rPr>
        <w:t> </w:t>
      </w:r>
      <w:r w:rsidRPr="00602F08">
        <w:rPr>
          <w:rStyle w:val="normaltextrun"/>
          <w:rFonts w:ascii="Times New Roman" w:hAnsi="Times New Roman"/>
          <w:lang w:val="en-US"/>
        </w:rPr>
        <w:t xml:space="preserve">By Order of Thornton J, on 12 December 2019 AA was granted permission to apply for judicial review and his interim relief application was listed for a hearing on 18 December 2019. </w:t>
      </w:r>
    </w:p>
    <w:p w14:paraId="0CC514C1" w14:textId="77777777" w:rsidR="001006D5" w:rsidRPr="00602F08" w:rsidRDefault="001006D5" w:rsidP="00B6212D">
      <w:pPr>
        <w:pStyle w:val="ListParagraph"/>
        <w:rPr>
          <w:rStyle w:val="normaltextrun"/>
          <w:rFonts w:ascii="Times New Roman" w:hAnsi="Times New Roman"/>
          <w:lang w:val="en-US"/>
        </w:rPr>
      </w:pPr>
    </w:p>
    <w:p w14:paraId="1C9E4A43" w14:textId="48B1D034" w:rsidR="005E474E" w:rsidRPr="00602F08" w:rsidRDefault="004B0402"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Style w:val="normaltextrun"/>
          <w:rFonts w:ascii="Times New Roman" w:hAnsi="Times New Roman"/>
          <w:lang w:val="en-US"/>
        </w:rPr>
        <w:t xml:space="preserve">The Secretary of State </w:t>
      </w:r>
      <w:r w:rsidR="00C652EF" w:rsidRPr="00602F08">
        <w:rPr>
          <w:rStyle w:val="normaltextrun"/>
          <w:rFonts w:ascii="Times New Roman" w:hAnsi="Times New Roman"/>
          <w:lang w:val="en-US"/>
        </w:rPr>
        <w:t xml:space="preserve">acting by her officials </w:t>
      </w:r>
      <w:r w:rsidR="00AD72E3" w:rsidRPr="00602F08">
        <w:rPr>
          <w:rStyle w:val="normaltextrun"/>
          <w:rFonts w:ascii="Times New Roman" w:hAnsi="Times New Roman"/>
          <w:lang w:val="en-US"/>
        </w:rPr>
        <w:t xml:space="preserve">then </w:t>
      </w:r>
      <w:r w:rsidRPr="00602F08">
        <w:rPr>
          <w:rStyle w:val="normaltextrun"/>
          <w:rFonts w:ascii="Times New Roman" w:hAnsi="Times New Roman"/>
          <w:lang w:val="en-US"/>
        </w:rPr>
        <w:t xml:space="preserve">agreed to provide the Claimant’s transportation to and from the renal clinic if </w:t>
      </w:r>
      <w:r w:rsidR="00E80A5D" w:rsidRPr="00602F08">
        <w:rPr>
          <w:rStyle w:val="normaltextrun"/>
          <w:rFonts w:ascii="Times New Roman" w:hAnsi="Times New Roman"/>
          <w:lang w:val="en-US"/>
        </w:rPr>
        <w:t>the clinic did not</w:t>
      </w:r>
      <w:r w:rsidRPr="00602F08">
        <w:rPr>
          <w:rStyle w:val="normaltextrun"/>
          <w:rFonts w:ascii="Times New Roman" w:hAnsi="Times New Roman"/>
          <w:lang w:val="en-US"/>
        </w:rPr>
        <w:t xml:space="preserve"> and AA’s interim relief application was resolved by way of a consent order sealed on 23 December 2019 by Thornton J.</w:t>
      </w:r>
      <w:r w:rsidRPr="00602F08">
        <w:rPr>
          <w:rStyle w:val="eop"/>
          <w:rFonts w:ascii="Times New Roman" w:hAnsi="Times New Roman"/>
        </w:rPr>
        <w:t> </w:t>
      </w:r>
      <w:r w:rsidR="00AA2083" w:rsidRPr="00602F08">
        <w:rPr>
          <w:rStyle w:val="eop"/>
          <w:rFonts w:ascii="Times New Roman" w:hAnsi="Times New Roman"/>
        </w:rPr>
        <w:t xml:space="preserve">This was </w:t>
      </w:r>
      <w:r w:rsidR="00390473" w:rsidRPr="00602F08">
        <w:rPr>
          <w:rStyle w:val="eop"/>
          <w:rFonts w:ascii="Times New Roman" w:hAnsi="Times New Roman"/>
        </w:rPr>
        <w:t>more than 9 months after the section 4(2) decision.</w:t>
      </w:r>
    </w:p>
    <w:p w14:paraId="4EFBBCBA" w14:textId="62698925" w:rsidR="00844DD0" w:rsidRPr="00602F08" w:rsidRDefault="00844DD0" w:rsidP="00B6212D">
      <w:pPr>
        <w:widowControl w:val="0"/>
        <w:tabs>
          <w:tab w:val="left" w:pos="688"/>
        </w:tabs>
        <w:autoSpaceDE w:val="0"/>
        <w:autoSpaceDN w:val="0"/>
        <w:spacing w:before="11"/>
        <w:jc w:val="both"/>
      </w:pPr>
    </w:p>
    <w:p w14:paraId="05BF494E" w14:textId="42C5A909" w:rsidR="0069384B" w:rsidRPr="00602F08" w:rsidRDefault="0069384B" w:rsidP="00B6212D">
      <w:pPr>
        <w:widowControl w:val="0"/>
        <w:tabs>
          <w:tab w:val="left" w:pos="688"/>
        </w:tabs>
        <w:autoSpaceDE w:val="0"/>
        <w:autoSpaceDN w:val="0"/>
        <w:spacing w:before="11"/>
        <w:jc w:val="both"/>
      </w:pPr>
    </w:p>
    <w:p w14:paraId="33F29ABB" w14:textId="77777777" w:rsidR="00676BCD" w:rsidRPr="00602F08" w:rsidRDefault="00676BCD" w:rsidP="00B6212D">
      <w:pPr>
        <w:widowControl w:val="0"/>
        <w:tabs>
          <w:tab w:val="left" w:pos="688"/>
        </w:tabs>
        <w:autoSpaceDE w:val="0"/>
        <w:autoSpaceDN w:val="0"/>
        <w:spacing w:before="11"/>
        <w:jc w:val="both"/>
      </w:pPr>
    </w:p>
    <w:p w14:paraId="75EDAC7F" w14:textId="46284B32" w:rsidR="00844DD0" w:rsidRPr="00602F08" w:rsidRDefault="00844DD0" w:rsidP="00B6212D">
      <w:pPr>
        <w:widowControl w:val="0"/>
        <w:tabs>
          <w:tab w:val="left" w:pos="688"/>
        </w:tabs>
        <w:autoSpaceDE w:val="0"/>
        <w:autoSpaceDN w:val="0"/>
        <w:spacing w:before="11"/>
        <w:jc w:val="both"/>
        <w:rPr>
          <w:b/>
          <w:bCs/>
          <w:u w:val="single"/>
        </w:rPr>
      </w:pPr>
      <w:r w:rsidRPr="00602F08">
        <w:rPr>
          <w:b/>
          <w:bCs/>
          <w:u w:val="single"/>
        </w:rPr>
        <w:t>Alleged “failure to travel”</w:t>
      </w:r>
    </w:p>
    <w:p w14:paraId="5E7DBA0D" w14:textId="77777777" w:rsidR="005E474E" w:rsidRPr="00602F08" w:rsidRDefault="005E474E" w:rsidP="00B6212D">
      <w:pPr>
        <w:pStyle w:val="ListParagraph"/>
        <w:jc w:val="both"/>
        <w:rPr>
          <w:rFonts w:ascii="Times New Roman" w:hAnsi="Times New Roman"/>
        </w:rPr>
      </w:pPr>
    </w:p>
    <w:p w14:paraId="3E8C1F73" w14:textId="34971A82" w:rsidR="00E30431" w:rsidRDefault="00E30431" w:rsidP="00E30431">
      <w:pPr>
        <w:pStyle w:val="ListParagraph"/>
        <w:widowControl w:val="0"/>
        <w:tabs>
          <w:tab w:val="left" w:pos="688"/>
        </w:tabs>
        <w:autoSpaceDE w:val="0"/>
        <w:autoSpaceDN w:val="0"/>
        <w:spacing w:before="11"/>
        <w:ind w:left="687"/>
        <w:contextualSpacing w:val="0"/>
        <w:jc w:val="both"/>
        <w:rPr>
          <w:rFonts w:ascii="Times New Roman" w:hAnsi="Times New Roman"/>
          <w:u w:val="single"/>
        </w:rPr>
      </w:pPr>
      <w:r>
        <w:rPr>
          <w:rFonts w:ascii="Times New Roman" w:hAnsi="Times New Roman"/>
          <w:u w:val="single"/>
        </w:rPr>
        <w:t xml:space="preserve">The </w:t>
      </w:r>
      <w:r w:rsidR="00015F55">
        <w:rPr>
          <w:rFonts w:ascii="Times New Roman" w:hAnsi="Times New Roman"/>
          <w:u w:val="single"/>
        </w:rPr>
        <w:t>allegation</w:t>
      </w:r>
      <w:r w:rsidR="00A50518">
        <w:rPr>
          <w:rFonts w:ascii="Times New Roman" w:hAnsi="Times New Roman"/>
          <w:u w:val="single"/>
        </w:rPr>
        <w:t>s</w:t>
      </w:r>
    </w:p>
    <w:p w14:paraId="43D8ABF5" w14:textId="77777777" w:rsidR="00E30431" w:rsidRPr="00E30431" w:rsidRDefault="00E30431" w:rsidP="00E30431">
      <w:pPr>
        <w:pStyle w:val="ListParagraph"/>
        <w:widowControl w:val="0"/>
        <w:tabs>
          <w:tab w:val="left" w:pos="688"/>
        </w:tabs>
        <w:autoSpaceDE w:val="0"/>
        <w:autoSpaceDN w:val="0"/>
        <w:spacing w:before="11"/>
        <w:ind w:left="687"/>
        <w:contextualSpacing w:val="0"/>
        <w:jc w:val="both"/>
        <w:rPr>
          <w:rFonts w:ascii="Times New Roman" w:hAnsi="Times New Roman"/>
          <w:u w:val="single"/>
        </w:rPr>
      </w:pPr>
    </w:p>
    <w:p w14:paraId="14561084" w14:textId="781AFDEB" w:rsidR="00012C9D" w:rsidRPr="00602F08" w:rsidRDefault="00C652EF"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 xml:space="preserve">On behalf of the </w:t>
      </w:r>
      <w:r w:rsidR="005E474E" w:rsidRPr="00602F08">
        <w:rPr>
          <w:rFonts w:ascii="Times New Roman" w:hAnsi="Times New Roman"/>
        </w:rPr>
        <w:t xml:space="preserve">Secretary of State </w:t>
      </w:r>
      <w:r w:rsidRPr="00602F08">
        <w:rPr>
          <w:rFonts w:ascii="Times New Roman" w:hAnsi="Times New Roman"/>
        </w:rPr>
        <w:t xml:space="preserve">it is </w:t>
      </w:r>
      <w:r w:rsidR="005E474E" w:rsidRPr="00602F08">
        <w:rPr>
          <w:rFonts w:ascii="Times New Roman" w:hAnsi="Times New Roman"/>
        </w:rPr>
        <w:t xml:space="preserve">specifically </w:t>
      </w:r>
      <w:r w:rsidR="00AF0DCB" w:rsidRPr="00602F08">
        <w:rPr>
          <w:rFonts w:ascii="Times New Roman" w:hAnsi="Times New Roman"/>
        </w:rPr>
        <w:t>conten</w:t>
      </w:r>
      <w:r w:rsidRPr="00602F08">
        <w:rPr>
          <w:rFonts w:ascii="Times New Roman" w:hAnsi="Times New Roman"/>
        </w:rPr>
        <w:t>ded</w:t>
      </w:r>
      <w:r w:rsidR="005E474E" w:rsidRPr="00602F08">
        <w:rPr>
          <w:rFonts w:ascii="Times New Roman" w:hAnsi="Times New Roman"/>
        </w:rPr>
        <w:t xml:space="preserve"> that “any delays in [DMA, AHK, BK and ELN] moving into section 4 accommodation were by and large due to [those] Claimants’ own failure to travel to the relevant accommodation when directed to do so”.</w:t>
      </w:r>
    </w:p>
    <w:p w14:paraId="357B7404" w14:textId="77777777" w:rsidR="00012C9D" w:rsidRPr="00602F08" w:rsidRDefault="00012C9D" w:rsidP="00B6212D">
      <w:pPr>
        <w:pStyle w:val="ListParagraph"/>
        <w:rPr>
          <w:rFonts w:ascii="Times New Roman" w:hAnsi="Times New Roman"/>
        </w:rPr>
      </w:pPr>
    </w:p>
    <w:p w14:paraId="728CACCB" w14:textId="7373B80D" w:rsidR="00012C9D" w:rsidRPr="00602F08" w:rsidRDefault="00012C9D"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I note that in an application notice dated 4 November 2019 seeking an extension of time for the Secretary of State to file and serve her Acknowledgement of Service in the </w:t>
      </w:r>
      <w:r w:rsidR="00AD1EC3" w:rsidRPr="00602F08">
        <w:rPr>
          <w:rFonts w:ascii="Times New Roman" w:hAnsi="Times New Roman"/>
        </w:rPr>
        <w:t>case brought by</w:t>
      </w:r>
      <w:r w:rsidRPr="00602F08">
        <w:rPr>
          <w:rFonts w:ascii="Times New Roman" w:hAnsi="Times New Roman"/>
        </w:rPr>
        <w:t xml:space="preserve"> DMA, ALK, BK and ELN it was said on behalf of the Secretary of State, </w:t>
      </w:r>
      <w:r w:rsidR="00AD1EC3" w:rsidRPr="00602F08">
        <w:rPr>
          <w:rFonts w:ascii="Times New Roman" w:hAnsi="Times New Roman"/>
        </w:rPr>
        <w:t xml:space="preserve">and </w:t>
      </w:r>
      <w:r w:rsidRPr="00602F08">
        <w:rPr>
          <w:rFonts w:ascii="Times New Roman" w:hAnsi="Times New Roman"/>
        </w:rPr>
        <w:t>in a statement supported by a statement of truth, that:</w:t>
      </w:r>
    </w:p>
    <w:p w14:paraId="19CDE029" w14:textId="77777777" w:rsidR="00012C9D" w:rsidRPr="00602F08" w:rsidRDefault="00012C9D" w:rsidP="00B6212D">
      <w:pPr>
        <w:pStyle w:val="ListParagraph"/>
        <w:rPr>
          <w:rFonts w:ascii="Times New Roman" w:hAnsi="Times New Roman"/>
        </w:rPr>
      </w:pPr>
    </w:p>
    <w:p w14:paraId="172304CA" w14:textId="5F6353BF" w:rsidR="00012C9D" w:rsidRPr="00602F08" w:rsidRDefault="00012C9D"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t>“The majority of the Claimants applications [for interim relief, issued on 21 October 2019 and served by 24 October 2019] involve a failure to travel, the circumstances around which is vital to the claim. The [Secretary of State] is in the process of obtaining information around this from the accommodation provider, Serco however this has not yet been forthcoming.”</w:t>
      </w:r>
    </w:p>
    <w:p w14:paraId="0090BEBA" w14:textId="4BF18E1B" w:rsidR="00012C9D" w:rsidRPr="00602F08" w:rsidRDefault="00012C9D" w:rsidP="00B6212D">
      <w:pPr>
        <w:pStyle w:val="ListParagraph"/>
        <w:widowControl w:val="0"/>
        <w:tabs>
          <w:tab w:val="left" w:pos="688"/>
        </w:tabs>
        <w:autoSpaceDE w:val="0"/>
        <w:autoSpaceDN w:val="0"/>
        <w:spacing w:before="11"/>
        <w:ind w:left="1440" w:hanging="753"/>
        <w:jc w:val="both"/>
        <w:rPr>
          <w:rFonts w:ascii="Times New Roman" w:hAnsi="Times New Roman"/>
        </w:rPr>
      </w:pPr>
    </w:p>
    <w:p w14:paraId="0CE585EB" w14:textId="47C737CC" w:rsidR="00012C9D" w:rsidRPr="00602F08" w:rsidRDefault="00012C9D" w:rsidP="00B6212D">
      <w:pPr>
        <w:pStyle w:val="ListParagraph"/>
        <w:widowControl w:val="0"/>
        <w:tabs>
          <w:tab w:val="left" w:pos="688"/>
        </w:tabs>
        <w:autoSpaceDE w:val="0"/>
        <w:autoSpaceDN w:val="0"/>
        <w:spacing w:before="11"/>
        <w:ind w:left="687"/>
        <w:jc w:val="both"/>
        <w:rPr>
          <w:rFonts w:ascii="Times New Roman" w:hAnsi="Times New Roman"/>
        </w:rPr>
      </w:pPr>
      <w:r w:rsidRPr="00602F08">
        <w:rPr>
          <w:rFonts w:ascii="Times New Roman" w:hAnsi="Times New Roman"/>
        </w:rPr>
        <w:t xml:space="preserve">By </w:t>
      </w:r>
      <w:r w:rsidR="0023270C" w:rsidRPr="00602F08">
        <w:rPr>
          <w:rFonts w:ascii="Times New Roman" w:hAnsi="Times New Roman"/>
        </w:rPr>
        <w:t xml:space="preserve">8 November 2019 in Summary Grounds of Defence it was </w:t>
      </w:r>
      <w:r w:rsidR="0020607A" w:rsidRPr="00602F08">
        <w:rPr>
          <w:rFonts w:ascii="Times New Roman" w:hAnsi="Times New Roman"/>
        </w:rPr>
        <w:t xml:space="preserve">said that the Secretary of State </w:t>
      </w:r>
      <w:r w:rsidR="00130F6F" w:rsidRPr="00602F08">
        <w:rPr>
          <w:rFonts w:ascii="Times New Roman" w:hAnsi="Times New Roman"/>
        </w:rPr>
        <w:t xml:space="preserve">“does not admit” </w:t>
      </w:r>
      <w:r w:rsidR="0074149D" w:rsidRPr="00602F08">
        <w:rPr>
          <w:rFonts w:ascii="Times New Roman" w:hAnsi="Times New Roman"/>
        </w:rPr>
        <w:t>“[w]hether or not either BK and ELN had a reasonable excuse for failing to travel”.</w:t>
      </w:r>
    </w:p>
    <w:p w14:paraId="44C464E8" w14:textId="77777777" w:rsidR="00012C9D" w:rsidRPr="00602F08" w:rsidRDefault="00012C9D" w:rsidP="00B6212D">
      <w:pPr>
        <w:pStyle w:val="ListParagraph"/>
        <w:rPr>
          <w:rFonts w:ascii="Times New Roman" w:hAnsi="Times New Roman"/>
        </w:rPr>
      </w:pPr>
    </w:p>
    <w:p w14:paraId="18FEE403" w14:textId="56C8992C" w:rsidR="005E474E" w:rsidRPr="00602F08" w:rsidRDefault="005E474E"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On the material before me</w:t>
      </w:r>
      <w:r w:rsidR="00012C9D" w:rsidRPr="00602F08">
        <w:rPr>
          <w:rFonts w:ascii="Times New Roman" w:hAnsi="Times New Roman"/>
        </w:rPr>
        <w:t>, taking each claimant individually,</w:t>
      </w:r>
      <w:r w:rsidRPr="00602F08">
        <w:rPr>
          <w:rFonts w:ascii="Times New Roman" w:hAnsi="Times New Roman"/>
        </w:rPr>
        <w:t xml:space="preserve"> the position is as follows.</w:t>
      </w:r>
    </w:p>
    <w:p w14:paraId="30846130" w14:textId="758EFC69" w:rsidR="00226C73" w:rsidRPr="00602F08" w:rsidRDefault="00226C73" w:rsidP="00B6212D">
      <w:pPr>
        <w:jc w:val="both"/>
      </w:pPr>
    </w:p>
    <w:p w14:paraId="0976431B" w14:textId="77777777" w:rsidR="00676BCD" w:rsidRPr="00602F08" w:rsidRDefault="00676BCD" w:rsidP="00B6212D">
      <w:pPr>
        <w:jc w:val="both"/>
      </w:pPr>
    </w:p>
    <w:p w14:paraId="7B4C1111" w14:textId="6AF449A1" w:rsidR="00226C73" w:rsidRPr="00602F08" w:rsidRDefault="00226C73" w:rsidP="00B6212D">
      <w:pPr>
        <w:pStyle w:val="ListParagraph"/>
        <w:jc w:val="both"/>
        <w:rPr>
          <w:rFonts w:ascii="Times New Roman" w:hAnsi="Times New Roman"/>
          <w:u w:val="single"/>
        </w:rPr>
      </w:pPr>
      <w:r w:rsidRPr="00602F08">
        <w:rPr>
          <w:rFonts w:ascii="Times New Roman" w:hAnsi="Times New Roman"/>
          <w:u w:val="single"/>
        </w:rPr>
        <w:t>DMA</w:t>
      </w:r>
    </w:p>
    <w:p w14:paraId="38B98420" w14:textId="77777777" w:rsidR="00226C73" w:rsidRPr="00602F08" w:rsidRDefault="00226C73" w:rsidP="00B6212D">
      <w:pPr>
        <w:pStyle w:val="ListParagraph"/>
        <w:jc w:val="both"/>
        <w:rPr>
          <w:rFonts w:ascii="Times New Roman" w:hAnsi="Times New Roman"/>
          <w:u w:val="single"/>
        </w:rPr>
      </w:pPr>
    </w:p>
    <w:p w14:paraId="1ACB471E" w14:textId="762FECAC" w:rsidR="00232787" w:rsidRPr="00602F08" w:rsidRDefault="005E474E"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 xml:space="preserve">One occasion of failure to travel is alleged against DMA, on 20 </w:t>
      </w:r>
      <w:r w:rsidR="003B771E" w:rsidRPr="00602F08">
        <w:rPr>
          <w:rFonts w:ascii="Times New Roman" w:hAnsi="Times New Roman"/>
        </w:rPr>
        <w:t xml:space="preserve">or 26 </w:t>
      </w:r>
      <w:r w:rsidRPr="00602F08">
        <w:rPr>
          <w:rFonts w:ascii="Times New Roman" w:hAnsi="Times New Roman"/>
        </w:rPr>
        <w:t>September 2019.</w:t>
      </w:r>
      <w:r w:rsidR="00232787" w:rsidRPr="00602F08">
        <w:rPr>
          <w:rFonts w:ascii="Times New Roman" w:hAnsi="Times New Roman"/>
        </w:rPr>
        <w:t xml:space="preserve"> The summary advanced on behalf of the Secretary of State is in these terms:</w:t>
      </w:r>
    </w:p>
    <w:p w14:paraId="0373F776" w14:textId="77777777" w:rsidR="00232787" w:rsidRPr="00602F08" w:rsidRDefault="00232787" w:rsidP="00B6212D">
      <w:pPr>
        <w:pStyle w:val="ListParagraph"/>
        <w:jc w:val="both"/>
        <w:rPr>
          <w:rFonts w:ascii="Times New Roman" w:hAnsi="Times New Roman"/>
          <w:lang w:eastAsia="en-GB"/>
        </w:rPr>
      </w:pPr>
    </w:p>
    <w:p w14:paraId="03C98538" w14:textId="5E6AF8AE" w:rsidR="00E408AA" w:rsidRPr="00602F08" w:rsidRDefault="00232787" w:rsidP="00B6212D">
      <w:pPr>
        <w:pStyle w:val="ListParagraph"/>
        <w:widowControl w:val="0"/>
        <w:tabs>
          <w:tab w:val="left" w:pos="688"/>
        </w:tabs>
        <w:autoSpaceDE w:val="0"/>
        <w:autoSpaceDN w:val="0"/>
        <w:spacing w:before="11"/>
        <w:ind w:left="1440" w:hanging="753"/>
        <w:contextualSpacing w:val="0"/>
        <w:jc w:val="both"/>
        <w:rPr>
          <w:rFonts w:ascii="Times New Roman" w:hAnsi="Times New Roman"/>
          <w:lang w:eastAsia="en-GB"/>
        </w:rPr>
      </w:pPr>
      <w:r w:rsidRPr="00602F08">
        <w:rPr>
          <w:rFonts w:ascii="Times New Roman" w:hAnsi="Times New Roman"/>
          <w:lang w:eastAsia="en-GB"/>
        </w:rPr>
        <w:tab/>
      </w:r>
      <w:r w:rsidRPr="00602F08">
        <w:rPr>
          <w:rFonts w:ascii="Times New Roman" w:hAnsi="Times New Roman"/>
          <w:lang w:eastAsia="en-GB"/>
        </w:rPr>
        <w:tab/>
        <w:t>“On 16 September 2019, the Section 4 Team accepted a proposal from Serco for DMA to be accommodated in Derby, with a travel date of 20 September 2019. Despite the efforts of Serco’s driver, however, DMA failed to travel on that date. Had DMA cooperated with [the Secretary of State’s]’s efforts, he would have been accommodated within 11 days of being granted s4 support.”</w:t>
      </w:r>
    </w:p>
    <w:p w14:paraId="6C2F1A67" w14:textId="77777777" w:rsidR="00E408AA" w:rsidRPr="00602F08" w:rsidRDefault="00E408AA" w:rsidP="00B6212D">
      <w:pPr>
        <w:pStyle w:val="ListParagraph"/>
        <w:widowControl w:val="0"/>
        <w:tabs>
          <w:tab w:val="left" w:pos="688"/>
        </w:tabs>
        <w:autoSpaceDE w:val="0"/>
        <w:autoSpaceDN w:val="0"/>
        <w:spacing w:before="11"/>
        <w:ind w:left="687"/>
        <w:contextualSpacing w:val="0"/>
        <w:jc w:val="both"/>
        <w:rPr>
          <w:rFonts w:ascii="Times New Roman" w:hAnsi="Times New Roman"/>
        </w:rPr>
      </w:pPr>
    </w:p>
    <w:p w14:paraId="5535D0E0" w14:textId="6838A9E0" w:rsidR="003E7127" w:rsidRPr="00602F08" w:rsidRDefault="005E474E"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 xml:space="preserve">A charity assisting DMA </w:t>
      </w:r>
      <w:r w:rsidR="00D315F3" w:rsidRPr="00602F08">
        <w:rPr>
          <w:rFonts w:ascii="Times New Roman" w:hAnsi="Times New Roman"/>
        </w:rPr>
        <w:t xml:space="preserve">however </w:t>
      </w:r>
      <w:r w:rsidRPr="00602F08">
        <w:rPr>
          <w:rFonts w:ascii="Times New Roman" w:hAnsi="Times New Roman"/>
        </w:rPr>
        <w:t>explained on his behalf that he was at the doctors when a driver arrived to take him to section 4</w:t>
      </w:r>
      <w:r w:rsidR="00765A48" w:rsidRPr="00602F08">
        <w:rPr>
          <w:rFonts w:ascii="Times New Roman" w:hAnsi="Times New Roman"/>
        </w:rPr>
        <w:t>(2)</w:t>
      </w:r>
      <w:r w:rsidRPr="00602F08">
        <w:rPr>
          <w:rFonts w:ascii="Times New Roman" w:hAnsi="Times New Roman"/>
        </w:rPr>
        <w:t xml:space="preserve"> accommodation</w:t>
      </w:r>
      <w:r w:rsidR="00D315F3" w:rsidRPr="00602F08">
        <w:rPr>
          <w:rFonts w:ascii="Times New Roman" w:hAnsi="Times New Roman"/>
        </w:rPr>
        <w:t>, and that t</w:t>
      </w:r>
      <w:r w:rsidR="0015620C" w:rsidRPr="00602F08">
        <w:rPr>
          <w:rFonts w:ascii="Times New Roman" w:hAnsi="Times New Roman"/>
        </w:rPr>
        <w:t xml:space="preserve">he pick-up had not been pre-arranged for that time or date. </w:t>
      </w:r>
    </w:p>
    <w:p w14:paraId="261956E3" w14:textId="77777777" w:rsidR="009111E4" w:rsidRPr="00602F08" w:rsidRDefault="009111E4" w:rsidP="00B6212D">
      <w:pPr>
        <w:widowControl w:val="0"/>
        <w:tabs>
          <w:tab w:val="left" w:pos="688"/>
        </w:tabs>
        <w:autoSpaceDE w:val="0"/>
        <w:autoSpaceDN w:val="0"/>
        <w:spacing w:before="11"/>
        <w:jc w:val="both"/>
        <w:rPr>
          <w:lang w:eastAsia="en-GB"/>
        </w:rPr>
      </w:pPr>
    </w:p>
    <w:p w14:paraId="7F295435" w14:textId="6F907168" w:rsidR="00E07C67" w:rsidRPr="00602F08" w:rsidRDefault="005720C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A Serco file note </w:t>
      </w:r>
      <w:r w:rsidR="00E07C67" w:rsidRPr="00602F08">
        <w:rPr>
          <w:rFonts w:ascii="Times New Roman" w:hAnsi="Times New Roman"/>
        </w:rPr>
        <w:t>reads:</w:t>
      </w:r>
    </w:p>
    <w:p w14:paraId="135BA23D" w14:textId="3D6BB096" w:rsidR="00E07C67" w:rsidRPr="00602F08" w:rsidRDefault="00E07C67" w:rsidP="00B6212D">
      <w:pPr>
        <w:pStyle w:val="ListParagraph"/>
        <w:widowControl w:val="0"/>
        <w:tabs>
          <w:tab w:val="left" w:pos="688"/>
        </w:tabs>
        <w:autoSpaceDE w:val="0"/>
        <w:autoSpaceDN w:val="0"/>
        <w:spacing w:before="11"/>
        <w:ind w:left="687"/>
        <w:jc w:val="both"/>
        <w:rPr>
          <w:rFonts w:ascii="Times New Roman" w:hAnsi="Times New Roman"/>
        </w:rPr>
      </w:pPr>
    </w:p>
    <w:p w14:paraId="67624DB2" w14:textId="399F1368" w:rsidR="00E07C67" w:rsidRPr="00602F08" w:rsidRDefault="00E07C67"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t>“</w:t>
      </w:r>
      <w:r w:rsidR="0064362A" w:rsidRPr="00602F08">
        <w:rPr>
          <w:rFonts w:ascii="Times New Roman" w:hAnsi="Times New Roman"/>
        </w:rPr>
        <w:t>[Service User]</w:t>
      </w:r>
      <w:r w:rsidRPr="00602F08">
        <w:rPr>
          <w:rFonts w:ascii="Times New Roman" w:hAnsi="Times New Roman"/>
        </w:rPr>
        <w:t xml:space="preserve"> was informed of dispersal 13/09/19</w:t>
      </w:r>
      <w:r w:rsidR="0064362A" w:rsidRPr="00602F08">
        <w:rPr>
          <w:rFonts w:ascii="Times New Roman" w:hAnsi="Times New Roman"/>
        </w:rPr>
        <w:t xml:space="preserve"> … This was done by telephone … SU isn’t at the collection address. When d</w:t>
      </w:r>
      <w:r w:rsidR="00C70844" w:rsidRPr="00602F08">
        <w:rPr>
          <w:rFonts w:ascii="Times New Roman" w:hAnsi="Times New Roman"/>
        </w:rPr>
        <w:t>r</w:t>
      </w:r>
      <w:r w:rsidR="0064362A" w:rsidRPr="00602F08">
        <w:rPr>
          <w:rFonts w:ascii="Times New Roman" w:hAnsi="Times New Roman"/>
        </w:rPr>
        <w:t>iver called him he keeps saying 5 minutes. Driver had to leave after waiting for over 30 minutes as he had other collections to do.”</w:t>
      </w:r>
    </w:p>
    <w:p w14:paraId="5657974A" w14:textId="77777777" w:rsidR="0064362A" w:rsidRPr="00602F08" w:rsidRDefault="0064362A" w:rsidP="00B6212D">
      <w:pPr>
        <w:pStyle w:val="ListParagraph"/>
        <w:widowControl w:val="0"/>
        <w:tabs>
          <w:tab w:val="left" w:pos="688"/>
        </w:tabs>
        <w:autoSpaceDE w:val="0"/>
        <w:autoSpaceDN w:val="0"/>
        <w:spacing w:before="11"/>
        <w:ind w:left="687"/>
        <w:jc w:val="both"/>
        <w:rPr>
          <w:rFonts w:ascii="Times New Roman" w:hAnsi="Times New Roman"/>
        </w:rPr>
      </w:pPr>
    </w:p>
    <w:p w14:paraId="2B849A59" w14:textId="4D66E343" w:rsidR="00013233" w:rsidRPr="00602F08" w:rsidRDefault="00013233" w:rsidP="00B6212D">
      <w:pPr>
        <w:pStyle w:val="ListParagraph"/>
        <w:widowControl w:val="0"/>
        <w:tabs>
          <w:tab w:val="left" w:pos="688"/>
        </w:tabs>
        <w:autoSpaceDE w:val="0"/>
        <w:autoSpaceDN w:val="0"/>
        <w:spacing w:before="11"/>
        <w:ind w:left="687"/>
        <w:jc w:val="both"/>
        <w:rPr>
          <w:rFonts w:ascii="Times New Roman" w:hAnsi="Times New Roman"/>
        </w:rPr>
      </w:pPr>
      <w:r w:rsidRPr="00602F08">
        <w:rPr>
          <w:rFonts w:ascii="Times New Roman" w:hAnsi="Times New Roman"/>
        </w:rPr>
        <w:t xml:space="preserve">In Detailed Grounds of Defence dated </w:t>
      </w:r>
      <w:r w:rsidR="00AC2B2F" w:rsidRPr="00602F08">
        <w:rPr>
          <w:rFonts w:ascii="Times New Roman" w:hAnsi="Times New Roman"/>
        </w:rPr>
        <w:t>20 January 2020 it was alleged on behalf of the Secretary of State</w:t>
      </w:r>
      <w:r w:rsidR="00EC283C" w:rsidRPr="00602F08">
        <w:rPr>
          <w:rFonts w:ascii="Times New Roman" w:hAnsi="Times New Roman"/>
        </w:rPr>
        <w:t xml:space="preserve"> that:</w:t>
      </w:r>
    </w:p>
    <w:p w14:paraId="21EFA66E" w14:textId="35EBF745" w:rsidR="00EC283C" w:rsidRPr="00602F08" w:rsidRDefault="00EC283C" w:rsidP="00B6212D">
      <w:pPr>
        <w:widowControl w:val="0"/>
        <w:tabs>
          <w:tab w:val="left" w:pos="688"/>
        </w:tabs>
        <w:autoSpaceDE w:val="0"/>
        <w:autoSpaceDN w:val="0"/>
        <w:spacing w:before="11"/>
        <w:jc w:val="both"/>
      </w:pPr>
    </w:p>
    <w:p w14:paraId="745D0867" w14:textId="102013F0" w:rsidR="00D42CEC" w:rsidRPr="00602F08" w:rsidRDefault="00EC283C" w:rsidP="00B6212D">
      <w:pPr>
        <w:widowControl w:val="0"/>
        <w:tabs>
          <w:tab w:val="left" w:pos="688"/>
        </w:tabs>
        <w:autoSpaceDE w:val="0"/>
        <w:autoSpaceDN w:val="0"/>
        <w:spacing w:before="11"/>
        <w:ind w:left="1440" w:hanging="1440"/>
        <w:jc w:val="both"/>
      </w:pPr>
      <w:r w:rsidRPr="00602F08">
        <w:tab/>
      </w:r>
      <w:r w:rsidRPr="00602F08">
        <w:tab/>
        <w:t>“On 20 September 2019, Serco sent a driver to the collection point and called DMA several times. DMA told the driver that he would be at the collection point in 5 minutes. However, DMA did not attend as stated. After 45 minutes of waiting at the collection point, the Serco driver left.</w:t>
      </w:r>
    </w:p>
    <w:p w14:paraId="2D9366CA" w14:textId="77777777" w:rsidR="00D42CEC" w:rsidRPr="00602F08" w:rsidRDefault="00D42CEC" w:rsidP="00B6212D">
      <w:pPr>
        <w:widowControl w:val="0"/>
        <w:tabs>
          <w:tab w:val="left" w:pos="688"/>
        </w:tabs>
        <w:autoSpaceDE w:val="0"/>
        <w:autoSpaceDN w:val="0"/>
        <w:spacing w:before="11"/>
        <w:jc w:val="both"/>
      </w:pPr>
    </w:p>
    <w:p w14:paraId="0D6AA8EF" w14:textId="77777777" w:rsidR="00D62C37" w:rsidRPr="00602F08" w:rsidRDefault="00D42CEC" w:rsidP="00B6212D">
      <w:pPr>
        <w:widowControl w:val="0"/>
        <w:tabs>
          <w:tab w:val="left" w:pos="688"/>
        </w:tabs>
        <w:autoSpaceDE w:val="0"/>
        <w:autoSpaceDN w:val="0"/>
        <w:spacing w:before="11"/>
        <w:jc w:val="both"/>
      </w:pPr>
      <w:r w:rsidRPr="00602F08">
        <w:tab/>
      </w:r>
      <w:r w:rsidRPr="00602F08">
        <w:tab/>
      </w:r>
      <w:r w:rsidRPr="00602F08">
        <w:tab/>
      </w:r>
      <w:r w:rsidR="00D62C37" w:rsidRPr="00602F08">
        <w:t>…</w:t>
      </w:r>
    </w:p>
    <w:p w14:paraId="5143B30B" w14:textId="77777777" w:rsidR="00D62C37" w:rsidRPr="00602F08" w:rsidRDefault="00D62C37" w:rsidP="00B6212D">
      <w:pPr>
        <w:widowControl w:val="0"/>
        <w:tabs>
          <w:tab w:val="left" w:pos="688"/>
        </w:tabs>
        <w:autoSpaceDE w:val="0"/>
        <w:autoSpaceDN w:val="0"/>
        <w:spacing w:before="11"/>
        <w:jc w:val="both"/>
      </w:pPr>
    </w:p>
    <w:p w14:paraId="1E604306" w14:textId="77777777" w:rsidR="0082274E" w:rsidRPr="00602F08" w:rsidRDefault="00D62C37" w:rsidP="00B6212D">
      <w:pPr>
        <w:widowControl w:val="0"/>
        <w:tabs>
          <w:tab w:val="left" w:pos="688"/>
        </w:tabs>
        <w:autoSpaceDE w:val="0"/>
        <w:autoSpaceDN w:val="0"/>
        <w:spacing w:before="11"/>
        <w:ind w:left="1440" w:hanging="1440"/>
        <w:jc w:val="both"/>
      </w:pPr>
      <w:r w:rsidRPr="00602F08">
        <w:tab/>
      </w:r>
      <w:r w:rsidRPr="00602F08">
        <w:tab/>
        <w:t>… On 1 October 2019, Refugee Action sent the S</w:t>
      </w:r>
      <w:r w:rsidR="00CA4B65" w:rsidRPr="00602F08">
        <w:t>4</w:t>
      </w:r>
      <w:r w:rsidRPr="00602F08">
        <w:t xml:space="preserve"> team an email stating that DMA had been contacted by Serco on 26 September while he was at the doctors and told he had only 5 minutes to get to his pickup address.</w:t>
      </w:r>
      <w:r w:rsidR="004B730E" w:rsidRPr="00602F08">
        <w:t xml:space="preserve"> …”</w:t>
      </w:r>
    </w:p>
    <w:p w14:paraId="5F3967C6" w14:textId="77777777" w:rsidR="0082274E" w:rsidRPr="00602F08" w:rsidRDefault="0082274E" w:rsidP="00B6212D">
      <w:pPr>
        <w:widowControl w:val="0"/>
        <w:tabs>
          <w:tab w:val="left" w:pos="688"/>
        </w:tabs>
        <w:autoSpaceDE w:val="0"/>
        <w:autoSpaceDN w:val="0"/>
        <w:spacing w:before="11"/>
        <w:ind w:left="1440" w:hanging="1440"/>
        <w:jc w:val="both"/>
      </w:pPr>
    </w:p>
    <w:p w14:paraId="6159088D" w14:textId="57CBE897" w:rsidR="0082274E" w:rsidRPr="00602F08" w:rsidRDefault="002745CC"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The Secretary of State has not, through her officials or lawyers, responded to the specific explanation given. </w:t>
      </w:r>
    </w:p>
    <w:p w14:paraId="28A8B2BD" w14:textId="77777777" w:rsidR="0082274E" w:rsidRPr="00602F08" w:rsidRDefault="0082274E" w:rsidP="00B6212D">
      <w:pPr>
        <w:pStyle w:val="ListParagraph"/>
        <w:widowControl w:val="0"/>
        <w:tabs>
          <w:tab w:val="left" w:pos="688"/>
        </w:tabs>
        <w:autoSpaceDE w:val="0"/>
        <w:autoSpaceDN w:val="0"/>
        <w:spacing w:before="11"/>
        <w:ind w:left="687"/>
        <w:jc w:val="both"/>
        <w:rPr>
          <w:rFonts w:ascii="Times New Roman" w:hAnsi="Times New Roman"/>
        </w:rPr>
      </w:pPr>
    </w:p>
    <w:p w14:paraId="3313EA69" w14:textId="71EA82FB" w:rsidR="00380EE5" w:rsidRPr="00602F08" w:rsidRDefault="007F13D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DMA </w:t>
      </w:r>
      <w:r w:rsidR="00CF10CD" w:rsidRPr="00602F08">
        <w:rPr>
          <w:rFonts w:ascii="Times New Roman" w:hAnsi="Times New Roman"/>
        </w:rPr>
        <w:t xml:space="preserve">has given </w:t>
      </w:r>
      <w:r w:rsidRPr="00602F08">
        <w:rPr>
          <w:rFonts w:ascii="Times New Roman" w:hAnsi="Times New Roman"/>
        </w:rPr>
        <w:t>evidence</w:t>
      </w:r>
      <w:r w:rsidR="00CF10CD" w:rsidRPr="00602F08">
        <w:rPr>
          <w:rFonts w:ascii="Times New Roman" w:hAnsi="Times New Roman"/>
        </w:rPr>
        <w:t xml:space="preserve"> </w:t>
      </w:r>
      <w:r w:rsidR="00380EE5" w:rsidRPr="00602F08">
        <w:rPr>
          <w:rFonts w:ascii="Times New Roman" w:hAnsi="Times New Roman"/>
        </w:rPr>
        <w:t>in these terms, in a witness statement</w:t>
      </w:r>
      <w:r w:rsidR="00C65279" w:rsidRPr="00602F08">
        <w:rPr>
          <w:rFonts w:ascii="Times New Roman" w:hAnsi="Times New Roman"/>
        </w:rPr>
        <w:t xml:space="preserve"> of 16 October 2019</w:t>
      </w:r>
      <w:r w:rsidR="00380EE5" w:rsidRPr="00602F08">
        <w:rPr>
          <w:rFonts w:ascii="Times New Roman" w:hAnsi="Times New Roman"/>
        </w:rPr>
        <w:t>:</w:t>
      </w:r>
    </w:p>
    <w:p w14:paraId="47F89995" w14:textId="2728CD63" w:rsidR="00380EE5" w:rsidRPr="00602F08" w:rsidRDefault="00380EE5" w:rsidP="00B6212D">
      <w:pPr>
        <w:pStyle w:val="ListParagraph"/>
        <w:widowControl w:val="0"/>
        <w:tabs>
          <w:tab w:val="left" w:pos="688"/>
        </w:tabs>
        <w:autoSpaceDE w:val="0"/>
        <w:autoSpaceDN w:val="0"/>
        <w:spacing w:before="11"/>
        <w:ind w:left="687"/>
        <w:jc w:val="both"/>
        <w:rPr>
          <w:rFonts w:ascii="Times New Roman" w:hAnsi="Times New Roman"/>
        </w:rPr>
      </w:pPr>
    </w:p>
    <w:p w14:paraId="635C03CA" w14:textId="08CEA4E8" w:rsidR="00380EE5" w:rsidRPr="00602F08" w:rsidRDefault="00380EE5"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t>“A</w:t>
      </w:r>
      <w:r w:rsidR="00C65279" w:rsidRPr="00602F08">
        <w:rPr>
          <w:rFonts w:ascii="Times New Roman" w:hAnsi="Times New Roman"/>
        </w:rPr>
        <w:t>bout three weeks ago I was told very last minute that there was accommodation for me to go to. I was not given any notice of this whatsoever</w:t>
      </w:r>
      <w:r w:rsidR="007E7A75" w:rsidRPr="00602F08">
        <w:rPr>
          <w:rFonts w:ascii="Times New Roman" w:hAnsi="Times New Roman"/>
        </w:rPr>
        <w:t>. I only received a call from the accommodation provider that day and I was not near the pick location [sic]. I desperately trie</w:t>
      </w:r>
      <w:r w:rsidR="00A007C7" w:rsidRPr="00602F08">
        <w:rPr>
          <w:rFonts w:ascii="Times New Roman" w:hAnsi="Times New Roman"/>
        </w:rPr>
        <w:t>d</w:t>
      </w:r>
      <w:r w:rsidR="007E7A75" w:rsidRPr="00602F08">
        <w:rPr>
          <w:rFonts w:ascii="Times New Roman" w:hAnsi="Times New Roman"/>
        </w:rPr>
        <w:t xml:space="preserve"> to get there is time, even trying to get a taxi. I asked them to wait for me but the</w:t>
      </w:r>
      <w:r w:rsidR="00A007C7" w:rsidRPr="00602F08">
        <w:rPr>
          <w:rFonts w:ascii="Times New Roman" w:hAnsi="Times New Roman"/>
        </w:rPr>
        <w:t>y did not wait for me.”</w:t>
      </w:r>
    </w:p>
    <w:p w14:paraId="0F53491A" w14:textId="77777777" w:rsidR="007F13DE" w:rsidRPr="00602F08" w:rsidRDefault="007F13DE" w:rsidP="00B6212D">
      <w:pPr>
        <w:pStyle w:val="ListParagraph"/>
        <w:widowControl w:val="0"/>
        <w:tabs>
          <w:tab w:val="left" w:pos="688"/>
        </w:tabs>
        <w:autoSpaceDE w:val="0"/>
        <w:autoSpaceDN w:val="0"/>
        <w:spacing w:before="11"/>
        <w:ind w:left="687"/>
        <w:jc w:val="both"/>
        <w:rPr>
          <w:rFonts w:ascii="Times New Roman" w:hAnsi="Times New Roman"/>
        </w:rPr>
      </w:pPr>
    </w:p>
    <w:p w14:paraId="687AFAE3" w14:textId="4006E5F5" w:rsidR="005E474E" w:rsidRPr="00602F08" w:rsidRDefault="00822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I conclude that this episode involved no fault on the part of DMA. </w:t>
      </w:r>
      <w:r w:rsidR="009111E4" w:rsidRPr="00602F08">
        <w:rPr>
          <w:rFonts w:ascii="Times New Roman" w:hAnsi="Times New Roman"/>
        </w:rPr>
        <w:t xml:space="preserve">I do not regard </w:t>
      </w:r>
      <w:r w:rsidR="000C0DA6" w:rsidRPr="00602F08">
        <w:rPr>
          <w:rFonts w:ascii="Times New Roman" w:hAnsi="Times New Roman"/>
        </w:rPr>
        <w:t>the attempt to blame D</w:t>
      </w:r>
      <w:r w:rsidR="00676BCD" w:rsidRPr="00602F08">
        <w:rPr>
          <w:rFonts w:ascii="Times New Roman" w:hAnsi="Times New Roman"/>
        </w:rPr>
        <w:t>M</w:t>
      </w:r>
      <w:r w:rsidR="000C0DA6" w:rsidRPr="00602F08">
        <w:rPr>
          <w:rFonts w:ascii="Times New Roman" w:hAnsi="Times New Roman"/>
        </w:rPr>
        <w:t>A a</w:t>
      </w:r>
      <w:r w:rsidR="00677220" w:rsidRPr="00602F08">
        <w:rPr>
          <w:rFonts w:ascii="Times New Roman" w:hAnsi="Times New Roman"/>
        </w:rPr>
        <w:t xml:space="preserve">s </w:t>
      </w:r>
      <w:r w:rsidR="00243939" w:rsidRPr="00602F08">
        <w:rPr>
          <w:rFonts w:ascii="Times New Roman" w:hAnsi="Times New Roman"/>
        </w:rPr>
        <w:t>justified</w:t>
      </w:r>
      <w:r w:rsidR="000C0DA6" w:rsidRPr="00602F08">
        <w:rPr>
          <w:rFonts w:ascii="Times New Roman" w:hAnsi="Times New Roman"/>
        </w:rPr>
        <w:t>.</w:t>
      </w:r>
    </w:p>
    <w:p w14:paraId="47416FA4" w14:textId="1103E87D" w:rsidR="000C0DA6" w:rsidRPr="00602F08" w:rsidRDefault="000C0DA6" w:rsidP="00B6212D">
      <w:pPr>
        <w:widowControl w:val="0"/>
        <w:tabs>
          <w:tab w:val="left" w:pos="688"/>
        </w:tabs>
        <w:autoSpaceDE w:val="0"/>
        <w:autoSpaceDN w:val="0"/>
        <w:spacing w:before="11"/>
        <w:jc w:val="both"/>
      </w:pPr>
    </w:p>
    <w:p w14:paraId="5DFAB217" w14:textId="77777777" w:rsidR="00676BCD" w:rsidRPr="00602F08" w:rsidRDefault="00676BCD" w:rsidP="00B6212D">
      <w:pPr>
        <w:pStyle w:val="ListParagraph"/>
        <w:widowControl w:val="0"/>
        <w:tabs>
          <w:tab w:val="left" w:pos="688"/>
        </w:tabs>
        <w:autoSpaceDE w:val="0"/>
        <w:autoSpaceDN w:val="0"/>
        <w:spacing w:before="11"/>
        <w:ind w:left="687"/>
        <w:jc w:val="both"/>
        <w:rPr>
          <w:rFonts w:ascii="Times New Roman" w:hAnsi="Times New Roman"/>
        </w:rPr>
      </w:pPr>
    </w:p>
    <w:p w14:paraId="07C3E2B4" w14:textId="271901FB" w:rsidR="00226C73" w:rsidRPr="00602F08" w:rsidRDefault="00226C73" w:rsidP="00B6212D">
      <w:pPr>
        <w:pStyle w:val="ListParagraph"/>
        <w:widowControl w:val="0"/>
        <w:tabs>
          <w:tab w:val="left" w:pos="688"/>
        </w:tabs>
        <w:autoSpaceDE w:val="0"/>
        <w:autoSpaceDN w:val="0"/>
        <w:spacing w:before="11"/>
        <w:ind w:left="687"/>
        <w:contextualSpacing w:val="0"/>
        <w:jc w:val="both"/>
        <w:rPr>
          <w:rFonts w:ascii="Times New Roman" w:hAnsi="Times New Roman"/>
          <w:u w:val="single"/>
        </w:rPr>
      </w:pPr>
      <w:r w:rsidRPr="00602F08">
        <w:rPr>
          <w:rFonts w:ascii="Times New Roman" w:hAnsi="Times New Roman"/>
          <w:u w:val="single"/>
        </w:rPr>
        <w:t>AHK</w:t>
      </w:r>
    </w:p>
    <w:p w14:paraId="00DCCF1D" w14:textId="77777777" w:rsidR="00226C73" w:rsidRPr="00602F08" w:rsidRDefault="00226C73" w:rsidP="00B6212D">
      <w:pPr>
        <w:pStyle w:val="ListParagraph"/>
        <w:jc w:val="both"/>
        <w:rPr>
          <w:rFonts w:ascii="Times New Roman" w:hAnsi="Times New Roman"/>
        </w:rPr>
      </w:pPr>
    </w:p>
    <w:p w14:paraId="35021498" w14:textId="5B98D8EC" w:rsidR="003D6344" w:rsidRPr="00602F08" w:rsidRDefault="008A591B"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 xml:space="preserve">Although AHK </w:t>
      </w:r>
      <w:r w:rsidR="00475732" w:rsidRPr="00602F08">
        <w:rPr>
          <w:rFonts w:ascii="Times New Roman" w:hAnsi="Times New Roman"/>
        </w:rPr>
        <w:t xml:space="preserve">is included </w:t>
      </w:r>
      <w:r w:rsidRPr="00602F08">
        <w:rPr>
          <w:rFonts w:ascii="Times New Roman" w:hAnsi="Times New Roman"/>
        </w:rPr>
        <w:t xml:space="preserve">in </w:t>
      </w:r>
      <w:r w:rsidR="003F6CD3" w:rsidRPr="00602F08">
        <w:rPr>
          <w:rFonts w:ascii="Times New Roman" w:hAnsi="Times New Roman"/>
        </w:rPr>
        <w:t xml:space="preserve">the contention </w:t>
      </w:r>
      <w:r w:rsidR="00475732" w:rsidRPr="00602F08">
        <w:rPr>
          <w:rFonts w:ascii="Times New Roman" w:hAnsi="Times New Roman"/>
        </w:rPr>
        <w:t xml:space="preserve">made on behalf of the Secretary of State that </w:t>
      </w:r>
      <w:r w:rsidR="006F247D" w:rsidRPr="00602F08">
        <w:rPr>
          <w:rFonts w:ascii="Times New Roman" w:hAnsi="Times New Roman"/>
        </w:rPr>
        <w:t>“any delays in [DMA, AHK, BK and ELN] moving into section 4 accommodation were by and large due to [those] Claimants’ own failure to travel</w:t>
      </w:r>
      <w:r w:rsidR="000A1B01" w:rsidRPr="00602F08">
        <w:rPr>
          <w:rFonts w:ascii="Times New Roman" w:hAnsi="Times New Roman"/>
        </w:rPr>
        <w:t>”</w:t>
      </w:r>
      <w:r w:rsidR="003F6CD3" w:rsidRPr="00602F08">
        <w:rPr>
          <w:rFonts w:ascii="Times New Roman" w:hAnsi="Times New Roman"/>
        </w:rPr>
        <w:t>, in</w:t>
      </w:r>
      <w:r w:rsidRPr="00602F08">
        <w:rPr>
          <w:rFonts w:ascii="Times New Roman" w:hAnsi="Times New Roman"/>
        </w:rPr>
        <w:t xml:space="preserve"> </w:t>
      </w:r>
      <w:r w:rsidR="003F6CD3" w:rsidRPr="00602F08">
        <w:rPr>
          <w:rFonts w:ascii="Times New Roman" w:hAnsi="Times New Roman"/>
        </w:rPr>
        <w:t>fact n</w:t>
      </w:r>
      <w:r w:rsidR="005E474E" w:rsidRPr="00602F08">
        <w:rPr>
          <w:rFonts w:ascii="Times New Roman" w:hAnsi="Times New Roman"/>
        </w:rPr>
        <w:t>o allegation of failure to travel is</w:t>
      </w:r>
      <w:r w:rsidR="003F6CD3" w:rsidRPr="00602F08">
        <w:rPr>
          <w:rFonts w:ascii="Times New Roman" w:hAnsi="Times New Roman"/>
        </w:rPr>
        <w:t xml:space="preserve"> made</w:t>
      </w:r>
      <w:r w:rsidR="005E474E" w:rsidRPr="00602F08">
        <w:rPr>
          <w:rFonts w:ascii="Times New Roman" w:hAnsi="Times New Roman"/>
        </w:rPr>
        <w:t xml:space="preserve"> against AHK.</w:t>
      </w:r>
    </w:p>
    <w:p w14:paraId="1E061E84" w14:textId="2E4A4AD7" w:rsidR="008D020F" w:rsidRPr="00602F08" w:rsidRDefault="008D020F" w:rsidP="00B6212D">
      <w:pPr>
        <w:pStyle w:val="ListParagraph"/>
        <w:widowControl w:val="0"/>
        <w:tabs>
          <w:tab w:val="left" w:pos="688"/>
        </w:tabs>
        <w:autoSpaceDE w:val="0"/>
        <w:autoSpaceDN w:val="0"/>
        <w:spacing w:before="11"/>
        <w:ind w:left="687"/>
        <w:contextualSpacing w:val="0"/>
        <w:jc w:val="both"/>
        <w:rPr>
          <w:rFonts w:ascii="Times New Roman" w:hAnsi="Times New Roman"/>
        </w:rPr>
      </w:pPr>
    </w:p>
    <w:p w14:paraId="7325ED0C" w14:textId="77777777" w:rsidR="00676BCD" w:rsidRPr="00602F08" w:rsidRDefault="00676BCD" w:rsidP="00B6212D">
      <w:pPr>
        <w:pStyle w:val="ListParagraph"/>
        <w:widowControl w:val="0"/>
        <w:tabs>
          <w:tab w:val="left" w:pos="688"/>
        </w:tabs>
        <w:autoSpaceDE w:val="0"/>
        <w:autoSpaceDN w:val="0"/>
        <w:spacing w:before="11"/>
        <w:ind w:left="687"/>
        <w:contextualSpacing w:val="0"/>
        <w:jc w:val="both"/>
        <w:rPr>
          <w:rFonts w:ascii="Times New Roman" w:hAnsi="Times New Roman"/>
        </w:rPr>
      </w:pPr>
    </w:p>
    <w:p w14:paraId="5B3DF1B0" w14:textId="7B2452CB" w:rsidR="00226C73" w:rsidRPr="00602F08" w:rsidRDefault="00226C73" w:rsidP="00B6212D">
      <w:pPr>
        <w:pStyle w:val="ListParagraph"/>
        <w:widowControl w:val="0"/>
        <w:tabs>
          <w:tab w:val="left" w:pos="688"/>
        </w:tabs>
        <w:autoSpaceDE w:val="0"/>
        <w:autoSpaceDN w:val="0"/>
        <w:spacing w:before="11"/>
        <w:ind w:left="687"/>
        <w:contextualSpacing w:val="0"/>
        <w:jc w:val="both"/>
        <w:rPr>
          <w:rFonts w:ascii="Times New Roman" w:hAnsi="Times New Roman"/>
          <w:u w:val="single"/>
        </w:rPr>
      </w:pPr>
      <w:r w:rsidRPr="00602F08">
        <w:rPr>
          <w:rFonts w:ascii="Times New Roman" w:hAnsi="Times New Roman"/>
          <w:u w:val="single"/>
        </w:rPr>
        <w:t>BK</w:t>
      </w:r>
    </w:p>
    <w:p w14:paraId="4BCB7422" w14:textId="77777777" w:rsidR="005E474E" w:rsidRPr="00602F08" w:rsidRDefault="005E474E" w:rsidP="00B6212D">
      <w:pPr>
        <w:pStyle w:val="ListParagraph"/>
        <w:jc w:val="both"/>
        <w:rPr>
          <w:rFonts w:ascii="Times New Roman" w:hAnsi="Times New Roman"/>
        </w:rPr>
      </w:pPr>
    </w:p>
    <w:p w14:paraId="77A10BE8" w14:textId="7852C535" w:rsidR="008E59E5" w:rsidRPr="00602F08" w:rsidRDefault="005E474E"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 xml:space="preserve">One occasion of failure to travel is alleged against BK, on 27 September 2019. By this date 45 days had passed since the section 4(2) decision. </w:t>
      </w:r>
    </w:p>
    <w:p w14:paraId="1A6471D3" w14:textId="77777777" w:rsidR="008E59E5" w:rsidRPr="00602F08" w:rsidRDefault="008E59E5" w:rsidP="00B6212D">
      <w:pPr>
        <w:pStyle w:val="ListParagraph"/>
        <w:widowControl w:val="0"/>
        <w:tabs>
          <w:tab w:val="left" w:pos="688"/>
        </w:tabs>
        <w:autoSpaceDE w:val="0"/>
        <w:autoSpaceDN w:val="0"/>
        <w:spacing w:before="11"/>
        <w:ind w:left="687"/>
        <w:contextualSpacing w:val="0"/>
        <w:jc w:val="both"/>
        <w:rPr>
          <w:rFonts w:ascii="Times New Roman" w:hAnsi="Times New Roman"/>
        </w:rPr>
      </w:pPr>
    </w:p>
    <w:p w14:paraId="6BB972CB" w14:textId="61D16F80" w:rsidR="00F31948" w:rsidRPr="00602F08" w:rsidRDefault="005E474E"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 xml:space="preserve">The allegation of failure to travel was not made until 18 October 2019. </w:t>
      </w:r>
      <w:r w:rsidR="00E72FA1" w:rsidRPr="00602F08">
        <w:rPr>
          <w:rFonts w:ascii="Times New Roman" w:hAnsi="Times New Roman"/>
        </w:rPr>
        <w:t>Two days before,</w:t>
      </w:r>
      <w:r w:rsidRPr="00602F08">
        <w:rPr>
          <w:rFonts w:ascii="Times New Roman" w:hAnsi="Times New Roman"/>
        </w:rPr>
        <w:t xml:space="preserve"> in an email of 16 October 2019 </w:t>
      </w:r>
      <w:r w:rsidR="008E59E5" w:rsidRPr="00602F08">
        <w:rPr>
          <w:rFonts w:ascii="Times New Roman" w:hAnsi="Times New Roman"/>
        </w:rPr>
        <w:t xml:space="preserve">the </w:t>
      </w:r>
      <w:r w:rsidRPr="00602F08">
        <w:rPr>
          <w:rFonts w:ascii="Times New Roman" w:hAnsi="Times New Roman"/>
        </w:rPr>
        <w:t xml:space="preserve">section 4 accommodations bookings team </w:t>
      </w:r>
      <w:r w:rsidR="009C7AD6" w:rsidRPr="00602F08">
        <w:rPr>
          <w:rFonts w:ascii="Times New Roman" w:hAnsi="Times New Roman"/>
        </w:rPr>
        <w:t xml:space="preserve">at the Home Office </w:t>
      </w:r>
      <w:r w:rsidRPr="00602F08">
        <w:rPr>
          <w:rFonts w:ascii="Times New Roman" w:hAnsi="Times New Roman"/>
        </w:rPr>
        <w:t xml:space="preserve">advised “Dispersal is expected by 25/10/2019” and “Provider as of yet has not proposed an appropriate property”. </w:t>
      </w:r>
    </w:p>
    <w:p w14:paraId="7683E9B2" w14:textId="77777777" w:rsidR="00F31948" w:rsidRPr="00602F08" w:rsidRDefault="00F31948" w:rsidP="00B6212D">
      <w:pPr>
        <w:pStyle w:val="ListParagraph"/>
        <w:widowControl w:val="0"/>
        <w:tabs>
          <w:tab w:val="left" w:pos="688"/>
        </w:tabs>
        <w:autoSpaceDE w:val="0"/>
        <w:autoSpaceDN w:val="0"/>
        <w:spacing w:before="11"/>
        <w:ind w:left="687"/>
        <w:contextualSpacing w:val="0"/>
        <w:jc w:val="both"/>
        <w:rPr>
          <w:rFonts w:ascii="Times New Roman" w:hAnsi="Times New Roman"/>
        </w:rPr>
      </w:pPr>
    </w:p>
    <w:p w14:paraId="57331CDC" w14:textId="5DE0D19D" w:rsidR="005E474E" w:rsidRPr="00602F08" w:rsidRDefault="005E474E"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 xml:space="preserve">As to </w:t>
      </w:r>
      <w:r w:rsidR="00E72FA1" w:rsidRPr="00602F08">
        <w:rPr>
          <w:rFonts w:ascii="Times New Roman" w:hAnsi="Times New Roman"/>
        </w:rPr>
        <w:t xml:space="preserve">the allegation about </w:t>
      </w:r>
      <w:r w:rsidRPr="00602F08">
        <w:rPr>
          <w:rFonts w:ascii="Times New Roman" w:hAnsi="Times New Roman"/>
        </w:rPr>
        <w:t>27 September</w:t>
      </w:r>
      <w:r w:rsidR="00E72FA1" w:rsidRPr="00602F08">
        <w:rPr>
          <w:rFonts w:ascii="Times New Roman" w:hAnsi="Times New Roman"/>
        </w:rPr>
        <w:t xml:space="preserve"> 2019</w:t>
      </w:r>
      <w:r w:rsidRPr="00602F08">
        <w:rPr>
          <w:rFonts w:ascii="Times New Roman" w:hAnsi="Times New Roman"/>
        </w:rPr>
        <w:t>, on 1 October 2019 Refugee Action ha</w:t>
      </w:r>
      <w:r w:rsidR="00DF43A8" w:rsidRPr="00602F08">
        <w:rPr>
          <w:rFonts w:ascii="Times New Roman" w:hAnsi="Times New Roman"/>
        </w:rPr>
        <w:t>d</w:t>
      </w:r>
      <w:r w:rsidRPr="00602F08">
        <w:rPr>
          <w:rFonts w:ascii="Times New Roman" w:hAnsi="Times New Roman"/>
        </w:rPr>
        <w:t xml:space="preserve"> informed the provider (Serco) and the </w:t>
      </w:r>
      <w:r w:rsidR="008B3FCC" w:rsidRPr="00602F08">
        <w:rPr>
          <w:rFonts w:ascii="Times New Roman" w:hAnsi="Times New Roman"/>
        </w:rPr>
        <w:t>accommodation bookings team</w:t>
      </w:r>
      <w:r w:rsidRPr="00602F08">
        <w:rPr>
          <w:rFonts w:ascii="Times New Roman" w:hAnsi="Times New Roman"/>
        </w:rPr>
        <w:t xml:space="preserve"> </w:t>
      </w:r>
      <w:r w:rsidR="009C7AD6" w:rsidRPr="00602F08">
        <w:rPr>
          <w:rFonts w:ascii="Times New Roman" w:hAnsi="Times New Roman"/>
        </w:rPr>
        <w:t xml:space="preserve">at the Home Office </w:t>
      </w:r>
      <w:r w:rsidRPr="00602F08">
        <w:rPr>
          <w:rFonts w:ascii="Times New Roman" w:hAnsi="Times New Roman"/>
        </w:rPr>
        <w:t>by email as follows:</w:t>
      </w:r>
    </w:p>
    <w:p w14:paraId="21F8F75E" w14:textId="77777777" w:rsidR="00F31948" w:rsidRPr="00602F08" w:rsidRDefault="00F31948" w:rsidP="00B6212D">
      <w:pPr>
        <w:widowControl w:val="0"/>
        <w:tabs>
          <w:tab w:val="left" w:pos="688"/>
        </w:tabs>
        <w:autoSpaceDE w:val="0"/>
        <w:autoSpaceDN w:val="0"/>
        <w:spacing w:before="11"/>
        <w:jc w:val="both"/>
      </w:pPr>
    </w:p>
    <w:p w14:paraId="5EE6FBF6" w14:textId="69D37B57" w:rsidR="005E474E" w:rsidRPr="00602F08" w:rsidRDefault="008B3FCC" w:rsidP="00B6212D">
      <w:pPr>
        <w:widowControl w:val="0"/>
        <w:tabs>
          <w:tab w:val="left" w:pos="688"/>
        </w:tabs>
        <w:autoSpaceDE w:val="0"/>
        <w:autoSpaceDN w:val="0"/>
        <w:spacing w:before="11"/>
        <w:ind w:left="1440" w:hanging="393"/>
        <w:jc w:val="both"/>
      </w:pPr>
      <w:r w:rsidRPr="00602F08">
        <w:tab/>
      </w:r>
      <w:r w:rsidR="005E474E" w:rsidRPr="00602F08">
        <w:t>“On 27</w:t>
      </w:r>
      <w:r w:rsidR="005E474E" w:rsidRPr="00602F08">
        <w:rPr>
          <w:vertAlign w:val="superscript"/>
        </w:rPr>
        <w:t>th</w:t>
      </w:r>
      <w:r w:rsidR="005E474E" w:rsidRPr="00602F08">
        <w:t xml:space="preserve"> September a driver came to pick up a different [person with the </w:t>
      </w:r>
      <w:r w:rsidR="00586F66" w:rsidRPr="00602F08">
        <w:t xml:space="preserve">same </w:t>
      </w:r>
      <w:r w:rsidR="005E474E" w:rsidRPr="00602F08">
        <w:t>first name B] and informed our client that the pickup was not for him.”</w:t>
      </w:r>
    </w:p>
    <w:p w14:paraId="033EBD4A" w14:textId="77777777" w:rsidR="00F31948" w:rsidRPr="00602F08" w:rsidRDefault="00F31948" w:rsidP="00B6212D">
      <w:pPr>
        <w:widowControl w:val="0"/>
        <w:tabs>
          <w:tab w:val="left" w:pos="688"/>
        </w:tabs>
        <w:autoSpaceDE w:val="0"/>
        <w:autoSpaceDN w:val="0"/>
        <w:spacing w:before="11"/>
        <w:ind w:left="688" w:hanging="688"/>
        <w:jc w:val="both"/>
      </w:pPr>
    </w:p>
    <w:p w14:paraId="55D7BA44" w14:textId="04578C25" w:rsidR="00403A6B"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The reply </w:t>
      </w:r>
      <w:r w:rsidR="00D428C9" w:rsidRPr="00602F08">
        <w:rPr>
          <w:rFonts w:ascii="Times New Roman" w:hAnsi="Times New Roman"/>
        </w:rPr>
        <w:t xml:space="preserve">to this information </w:t>
      </w:r>
      <w:r w:rsidRPr="00602F08">
        <w:rPr>
          <w:rFonts w:ascii="Times New Roman" w:hAnsi="Times New Roman"/>
        </w:rPr>
        <w:t>from “Asylum Support Casework, Resettlement, Asylum Support and Integrat</w:t>
      </w:r>
      <w:r w:rsidR="00D428C9" w:rsidRPr="00602F08">
        <w:rPr>
          <w:rFonts w:ascii="Times New Roman" w:hAnsi="Times New Roman"/>
        </w:rPr>
        <w:t>i</w:t>
      </w:r>
      <w:r w:rsidRPr="00602F08">
        <w:rPr>
          <w:rFonts w:ascii="Times New Roman" w:hAnsi="Times New Roman"/>
        </w:rPr>
        <w:t xml:space="preserve">on, UK Visa and Immigration” </w:t>
      </w:r>
      <w:r w:rsidR="00D428C9" w:rsidRPr="00602F08">
        <w:rPr>
          <w:rFonts w:ascii="Times New Roman" w:hAnsi="Times New Roman"/>
        </w:rPr>
        <w:t xml:space="preserve">on 2 October 2019 </w:t>
      </w:r>
      <w:r w:rsidRPr="00602F08">
        <w:rPr>
          <w:rFonts w:ascii="Times New Roman" w:hAnsi="Times New Roman"/>
        </w:rPr>
        <w:t>was that they were “still waiting for confirmation from the accommodation provider as to whether your client travelled, or Failed to Travel”.</w:t>
      </w:r>
    </w:p>
    <w:p w14:paraId="1E1C9BA0" w14:textId="4A8B1CAB" w:rsidR="00403A6B" w:rsidRPr="00602F08" w:rsidRDefault="00E56AD0" w:rsidP="00B6212D">
      <w:pPr>
        <w:widowControl w:val="0"/>
        <w:tabs>
          <w:tab w:val="left" w:pos="688"/>
        </w:tabs>
        <w:autoSpaceDE w:val="0"/>
        <w:autoSpaceDN w:val="0"/>
        <w:spacing w:before="11"/>
        <w:jc w:val="both"/>
      </w:pPr>
      <w:r w:rsidRPr="00602F08">
        <w:t xml:space="preserve"> </w:t>
      </w:r>
    </w:p>
    <w:p w14:paraId="078E7337" w14:textId="6BD5A72C" w:rsidR="00E3341A" w:rsidRPr="00602F08" w:rsidRDefault="000050D5"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There is </w:t>
      </w:r>
      <w:r w:rsidR="004A00EB" w:rsidRPr="00602F08">
        <w:rPr>
          <w:rFonts w:ascii="Times New Roman" w:hAnsi="Times New Roman"/>
        </w:rPr>
        <w:t>no mention of this exchange in the</w:t>
      </w:r>
      <w:r w:rsidR="00251BB8" w:rsidRPr="00602F08">
        <w:rPr>
          <w:rFonts w:ascii="Times New Roman" w:hAnsi="Times New Roman"/>
        </w:rPr>
        <w:t xml:space="preserve"> </w:t>
      </w:r>
      <w:r w:rsidR="00E8112B" w:rsidRPr="00602F08">
        <w:rPr>
          <w:rFonts w:ascii="Times New Roman" w:hAnsi="Times New Roman"/>
        </w:rPr>
        <w:t>l</w:t>
      </w:r>
      <w:r w:rsidR="00B710ED" w:rsidRPr="00602F08">
        <w:rPr>
          <w:rFonts w:ascii="Times New Roman" w:hAnsi="Times New Roman"/>
        </w:rPr>
        <w:t xml:space="preserve">etter of response </w:t>
      </w:r>
      <w:r w:rsidR="007B64E0" w:rsidRPr="00602F08">
        <w:rPr>
          <w:rFonts w:ascii="Times New Roman" w:hAnsi="Times New Roman"/>
        </w:rPr>
        <w:t xml:space="preserve">dated 18 October 2019 </w:t>
      </w:r>
      <w:r w:rsidR="00DA48BE" w:rsidRPr="00602F08">
        <w:rPr>
          <w:rFonts w:ascii="Times New Roman" w:hAnsi="Times New Roman"/>
        </w:rPr>
        <w:t xml:space="preserve">that followed </w:t>
      </w:r>
      <w:r w:rsidR="00B710ED" w:rsidRPr="00602F08">
        <w:rPr>
          <w:rFonts w:ascii="Times New Roman" w:hAnsi="Times New Roman"/>
        </w:rPr>
        <w:t xml:space="preserve">on behalf of the Secretary of State </w:t>
      </w:r>
      <w:r w:rsidR="007B64E0" w:rsidRPr="00602F08">
        <w:rPr>
          <w:rFonts w:ascii="Times New Roman" w:hAnsi="Times New Roman"/>
        </w:rPr>
        <w:t>to the Pre</w:t>
      </w:r>
      <w:r w:rsidR="00DA48BE" w:rsidRPr="00602F08">
        <w:rPr>
          <w:rFonts w:ascii="Times New Roman" w:hAnsi="Times New Roman"/>
        </w:rPr>
        <w:t>-</w:t>
      </w:r>
      <w:r w:rsidR="007B64E0" w:rsidRPr="00602F08">
        <w:rPr>
          <w:rFonts w:ascii="Times New Roman" w:hAnsi="Times New Roman"/>
        </w:rPr>
        <w:t xml:space="preserve">Action Protocol Letter on behalf of BK. </w:t>
      </w:r>
      <w:r w:rsidR="00403A6B" w:rsidRPr="00602F08">
        <w:rPr>
          <w:rFonts w:ascii="Times New Roman" w:hAnsi="Times New Roman"/>
        </w:rPr>
        <w:t>On 14 October 2019 BK made a witness statement in these proceedings and confirmed that he had not been contacted nor offered accommodation.</w:t>
      </w:r>
      <w:r w:rsidR="00962C94" w:rsidRPr="00602F08">
        <w:rPr>
          <w:rFonts w:ascii="Times New Roman" w:hAnsi="Times New Roman"/>
        </w:rPr>
        <w:t xml:space="preserve"> </w:t>
      </w:r>
      <w:r w:rsidR="007B64E0" w:rsidRPr="00602F08">
        <w:rPr>
          <w:rFonts w:ascii="Times New Roman" w:hAnsi="Times New Roman"/>
        </w:rPr>
        <w:t>N</w:t>
      </w:r>
      <w:r w:rsidR="00962C94" w:rsidRPr="00602F08">
        <w:rPr>
          <w:rFonts w:ascii="Times New Roman" w:hAnsi="Times New Roman"/>
        </w:rPr>
        <w:t xml:space="preserve">either the exchange nor the evidence </w:t>
      </w:r>
      <w:r w:rsidR="00BD2CE0" w:rsidRPr="00602F08">
        <w:rPr>
          <w:rFonts w:ascii="Times New Roman" w:hAnsi="Times New Roman"/>
        </w:rPr>
        <w:t>were</w:t>
      </w:r>
      <w:r w:rsidR="00962C94" w:rsidRPr="00602F08">
        <w:rPr>
          <w:rFonts w:ascii="Times New Roman" w:hAnsi="Times New Roman"/>
        </w:rPr>
        <w:t xml:space="preserve"> mentioned</w:t>
      </w:r>
      <w:r w:rsidR="007B64E0" w:rsidRPr="00602F08">
        <w:rPr>
          <w:rFonts w:ascii="Times New Roman" w:hAnsi="Times New Roman"/>
        </w:rPr>
        <w:t xml:space="preserve"> in </w:t>
      </w:r>
      <w:r w:rsidR="004A00EB" w:rsidRPr="00602F08">
        <w:rPr>
          <w:rFonts w:ascii="Times New Roman" w:hAnsi="Times New Roman"/>
        </w:rPr>
        <w:t>De</w:t>
      </w:r>
      <w:r w:rsidR="00251BB8" w:rsidRPr="00602F08">
        <w:rPr>
          <w:rFonts w:ascii="Times New Roman" w:hAnsi="Times New Roman"/>
        </w:rPr>
        <w:t>t</w:t>
      </w:r>
      <w:r w:rsidR="004A00EB" w:rsidRPr="00602F08">
        <w:rPr>
          <w:rFonts w:ascii="Times New Roman" w:hAnsi="Times New Roman"/>
        </w:rPr>
        <w:t xml:space="preserve">ailed Grounds of Defence served on behalf of the Secretary of State on 20 January 2020.  </w:t>
      </w:r>
    </w:p>
    <w:p w14:paraId="752AE791" w14:textId="77777777" w:rsidR="00E3341A" w:rsidRPr="00602F08" w:rsidRDefault="00E3341A" w:rsidP="00B6212D">
      <w:pPr>
        <w:pStyle w:val="ListParagraph"/>
        <w:widowControl w:val="0"/>
        <w:tabs>
          <w:tab w:val="left" w:pos="688"/>
        </w:tabs>
        <w:autoSpaceDE w:val="0"/>
        <w:autoSpaceDN w:val="0"/>
        <w:spacing w:before="11"/>
        <w:ind w:left="687"/>
        <w:jc w:val="both"/>
        <w:rPr>
          <w:rFonts w:ascii="Times New Roman" w:hAnsi="Times New Roman"/>
        </w:rPr>
      </w:pPr>
    </w:p>
    <w:p w14:paraId="2249AC20" w14:textId="25859C28" w:rsidR="000920E3"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There is no further correspo</w:t>
      </w:r>
      <w:r w:rsidR="003F0F72" w:rsidRPr="00602F08">
        <w:rPr>
          <w:rFonts w:ascii="Times New Roman" w:hAnsi="Times New Roman"/>
        </w:rPr>
        <w:t>n</w:t>
      </w:r>
      <w:r w:rsidRPr="00602F08">
        <w:rPr>
          <w:rFonts w:ascii="Times New Roman" w:hAnsi="Times New Roman"/>
        </w:rPr>
        <w:t>de</w:t>
      </w:r>
      <w:r w:rsidR="003F0F72" w:rsidRPr="00602F08">
        <w:rPr>
          <w:rFonts w:ascii="Times New Roman" w:hAnsi="Times New Roman"/>
        </w:rPr>
        <w:t>n</w:t>
      </w:r>
      <w:r w:rsidRPr="00602F08">
        <w:rPr>
          <w:rFonts w:ascii="Times New Roman" w:hAnsi="Times New Roman"/>
        </w:rPr>
        <w:t>ce on the point</w:t>
      </w:r>
      <w:r w:rsidR="00E84F69" w:rsidRPr="00602F08">
        <w:rPr>
          <w:rFonts w:ascii="Times New Roman" w:hAnsi="Times New Roman"/>
        </w:rPr>
        <w:t>.</w:t>
      </w:r>
      <w:r w:rsidR="0037787D" w:rsidRPr="00602F08">
        <w:rPr>
          <w:rFonts w:ascii="Times New Roman" w:hAnsi="Times New Roman"/>
        </w:rPr>
        <w:t xml:space="preserve"> I</w:t>
      </w:r>
      <w:r w:rsidRPr="00602F08">
        <w:rPr>
          <w:rFonts w:ascii="Times New Roman" w:hAnsi="Times New Roman"/>
        </w:rPr>
        <w:t xml:space="preserve">n </w:t>
      </w:r>
      <w:r w:rsidR="00475732" w:rsidRPr="00602F08">
        <w:rPr>
          <w:rFonts w:ascii="Times New Roman" w:hAnsi="Times New Roman"/>
        </w:rPr>
        <w:t>the</w:t>
      </w:r>
      <w:r w:rsidRPr="00602F08">
        <w:rPr>
          <w:rFonts w:ascii="Times New Roman" w:hAnsi="Times New Roman"/>
        </w:rPr>
        <w:t xml:space="preserve"> skel</w:t>
      </w:r>
      <w:r w:rsidR="003F0F72" w:rsidRPr="00602F08">
        <w:rPr>
          <w:rFonts w:ascii="Times New Roman" w:hAnsi="Times New Roman"/>
        </w:rPr>
        <w:t>eton</w:t>
      </w:r>
      <w:r w:rsidRPr="00602F08">
        <w:rPr>
          <w:rFonts w:ascii="Times New Roman" w:hAnsi="Times New Roman"/>
        </w:rPr>
        <w:t xml:space="preserve"> argument </w:t>
      </w:r>
      <w:r w:rsidR="00475732" w:rsidRPr="00602F08">
        <w:rPr>
          <w:rFonts w:ascii="Times New Roman" w:hAnsi="Times New Roman"/>
        </w:rPr>
        <w:t xml:space="preserve">on behalf of the Secretary of State </w:t>
      </w:r>
      <w:r w:rsidR="00E84F69" w:rsidRPr="00602F08">
        <w:rPr>
          <w:rFonts w:ascii="Times New Roman" w:hAnsi="Times New Roman"/>
        </w:rPr>
        <w:t>the allegation is pursued</w:t>
      </w:r>
      <w:r w:rsidR="0021375E" w:rsidRPr="00602F08">
        <w:rPr>
          <w:rFonts w:ascii="Times New Roman" w:hAnsi="Times New Roman"/>
        </w:rPr>
        <w:t>, based on the fact</w:t>
      </w:r>
      <w:r w:rsidR="00475732" w:rsidRPr="00602F08">
        <w:rPr>
          <w:rFonts w:ascii="Times New Roman" w:hAnsi="Times New Roman"/>
        </w:rPr>
        <w:t xml:space="preserve"> </w:t>
      </w:r>
      <w:r w:rsidRPr="00602F08">
        <w:rPr>
          <w:rFonts w:ascii="Times New Roman" w:hAnsi="Times New Roman"/>
        </w:rPr>
        <w:t>that “on 3 October 2019, Se</w:t>
      </w:r>
      <w:r w:rsidR="00F74D44" w:rsidRPr="00602F08">
        <w:rPr>
          <w:rFonts w:ascii="Times New Roman" w:hAnsi="Times New Roman"/>
        </w:rPr>
        <w:t>rc</w:t>
      </w:r>
      <w:r w:rsidRPr="00602F08">
        <w:rPr>
          <w:rFonts w:ascii="Times New Roman" w:hAnsi="Times New Roman"/>
        </w:rPr>
        <w:t xml:space="preserve">o </w:t>
      </w:r>
      <w:r w:rsidR="00F86F6B" w:rsidRPr="00602F08">
        <w:rPr>
          <w:rFonts w:ascii="Times New Roman" w:hAnsi="Times New Roman"/>
        </w:rPr>
        <w:t xml:space="preserve">so </w:t>
      </w:r>
      <w:r w:rsidRPr="00602F08">
        <w:rPr>
          <w:rFonts w:ascii="Times New Roman" w:hAnsi="Times New Roman"/>
        </w:rPr>
        <w:t>notified the section 4 Team</w:t>
      </w:r>
      <w:r w:rsidR="00F86F6B" w:rsidRPr="00602F08">
        <w:rPr>
          <w:rFonts w:ascii="Times New Roman" w:hAnsi="Times New Roman"/>
        </w:rPr>
        <w:t>”</w:t>
      </w:r>
      <w:r w:rsidRPr="00602F08">
        <w:rPr>
          <w:rFonts w:ascii="Times New Roman" w:hAnsi="Times New Roman"/>
        </w:rPr>
        <w:t xml:space="preserve"> that BK had failed to travel on 27 September 2019.</w:t>
      </w:r>
      <w:r w:rsidR="00EF60CB" w:rsidRPr="00602F08">
        <w:rPr>
          <w:rFonts w:ascii="Times New Roman" w:hAnsi="Times New Roman"/>
        </w:rPr>
        <w:t xml:space="preserve"> In her witness statement Ms Bond</w:t>
      </w:r>
      <w:r w:rsidR="001E3C04" w:rsidRPr="00602F08">
        <w:rPr>
          <w:rFonts w:ascii="Times New Roman" w:hAnsi="Times New Roman"/>
        </w:rPr>
        <w:t xml:space="preserve"> refers to this and to</w:t>
      </w:r>
      <w:r w:rsidR="00CF449A" w:rsidRPr="00602F08">
        <w:rPr>
          <w:rFonts w:ascii="Times New Roman" w:hAnsi="Times New Roman"/>
        </w:rPr>
        <w:t xml:space="preserve"> Serco stating that the applicant was not at the collection point. </w:t>
      </w:r>
      <w:r w:rsidR="00F8613D" w:rsidRPr="00602F08">
        <w:rPr>
          <w:rFonts w:ascii="Times New Roman" w:hAnsi="Times New Roman"/>
        </w:rPr>
        <w:t>She adds:</w:t>
      </w:r>
    </w:p>
    <w:p w14:paraId="7CB39C62" w14:textId="77777777" w:rsidR="00F8613D" w:rsidRPr="00602F08" w:rsidRDefault="00F8613D" w:rsidP="00B6212D">
      <w:pPr>
        <w:pStyle w:val="ListParagraph"/>
        <w:rPr>
          <w:rFonts w:ascii="Times New Roman" w:hAnsi="Times New Roman"/>
        </w:rPr>
      </w:pPr>
    </w:p>
    <w:p w14:paraId="0F063889" w14:textId="51ED8F76" w:rsidR="00F8613D" w:rsidRPr="00602F08" w:rsidRDefault="00F8613D"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t>“No further information was given, and Serco do not have any further notes on their system. I note that the “Failure to Travel</w:t>
      </w:r>
      <w:r w:rsidR="00B86A33" w:rsidRPr="00602F08">
        <w:rPr>
          <w:rFonts w:ascii="Times New Roman" w:hAnsi="Times New Roman"/>
        </w:rPr>
        <w:t xml:space="preserve">”s comes through the portal and once the case is actioned on Atlas it is removed from the portal. The S4 team do not usually contact providers for explanations </w:t>
      </w:r>
      <w:r w:rsidR="00B72802" w:rsidRPr="00602F08">
        <w:rPr>
          <w:rFonts w:ascii="Times New Roman" w:hAnsi="Times New Roman"/>
        </w:rPr>
        <w:t>regarding “Failures to Travel”.</w:t>
      </w:r>
    </w:p>
    <w:p w14:paraId="7F5D1459" w14:textId="77777777" w:rsidR="000920E3" w:rsidRPr="00602F08" w:rsidRDefault="000920E3" w:rsidP="00B6212D">
      <w:pPr>
        <w:pStyle w:val="ListParagraph"/>
        <w:rPr>
          <w:rFonts w:ascii="Times New Roman" w:hAnsi="Times New Roman"/>
        </w:rPr>
      </w:pPr>
    </w:p>
    <w:p w14:paraId="45B3D95C" w14:textId="5B172740" w:rsidR="003D6344"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I conclude that this episode involved no fault on the part of BK</w:t>
      </w:r>
      <w:r w:rsidR="00BF7DBF" w:rsidRPr="00602F08">
        <w:rPr>
          <w:rFonts w:ascii="Times New Roman" w:hAnsi="Times New Roman"/>
        </w:rPr>
        <w:t>.</w:t>
      </w:r>
    </w:p>
    <w:p w14:paraId="6EB269B0" w14:textId="4D8D70AF" w:rsidR="00B56EC3" w:rsidRPr="00602F08" w:rsidRDefault="00B56EC3" w:rsidP="00B6212D">
      <w:pPr>
        <w:widowControl w:val="0"/>
        <w:tabs>
          <w:tab w:val="left" w:pos="688"/>
        </w:tabs>
        <w:autoSpaceDE w:val="0"/>
        <w:autoSpaceDN w:val="0"/>
        <w:spacing w:before="11"/>
        <w:ind w:left="688" w:hanging="688"/>
        <w:jc w:val="both"/>
      </w:pPr>
    </w:p>
    <w:p w14:paraId="4628CB35" w14:textId="6EB9EA7B" w:rsidR="00B56EC3" w:rsidRPr="00602F08" w:rsidRDefault="00B56EC3"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Fonts w:ascii="Times New Roman" w:hAnsi="Times New Roman"/>
        </w:rPr>
        <w:t xml:space="preserve">The summary advanced </w:t>
      </w:r>
      <w:r w:rsidR="00B41A95" w:rsidRPr="00602F08">
        <w:rPr>
          <w:rFonts w:ascii="Times New Roman" w:hAnsi="Times New Roman"/>
        </w:rPr>
        <w:t>on behalf of</w:t>
      </w:r>
      <w:r w:rsidRPr="00602F08">
        <w:rPr>
          <w:rFonts w:ascii="Times New Roman" w:hAnsi="Times New Roman"/>
        </w:rPr>
        <w:t xml:space="preserve"> the Secretary of State was in these terms:</w:t>
      </w:r>
    </w:p>
    <w:p w14:paraId="2F6DD49B" w14:textId="59951048" w:rsidR="005E474E" w:rsidRPr="00602F08" w:rsidRDefault="001C164C" w:rsidP="00B6212D">
      <w:pPr>
        <w:widowControl w:val="0"/>
        <w:autoSpaceDE w:val="0"/>
        <w:autoSpaceDN w:val="0"/>
        <w:spacing w:before="11" w:beforeAutospacing="1" w:after="100" w:afterAutospacing="1"/>
        <w:ind w:left="1440"/>
        <w:jc w:val="both"/>
        <w:textAlignment w:val="baseline"/>
      </w:pPr>
      <w:r w:rsidRPr="00602F08">
        <w:rPr>
          <w:lang w:eastAsia="en-GB"/>
        </w:rPr>
        <w:t>“</w:t>
      </w:r>
      <w:r w:rsidR="003D6344" w:rsidRPr="00602F08">
        <w:rPr>
          <w:lang w:eastAsia="en-GB"/>
        </w:rPr>
        <w:t xml:space="preserve">BK was granted s4 support on 12 August 2019 and referred by the Section 4 Team to its provider for accommodation on 31 August 2019 – the delay being necessary to confirm the correct address for collection. That request was cancelled on 6 September 2019 due to the transition to a new contract with the accommodation provider. However, a fresh request was submitted by the Section 4 Team on 10 September 2019. On 24 September 2019, the Section 4 Team accepted a proposal for BK to be accommodated in 25 Chapel Street, Derby, with a proposed travel date of 27 September 2019. However, BK failed to travel on that date as required. Had BK cooperated with </w:t>
      </w:r>
      <w:r w:rsidR="006676E9" w:rsidRPr="00602F08">
        <w:rPr>
          <w:lang w:eastAsia="en-GB"/>
        </w:rPr>
        <w:t>[the Secretary of State’s</w:t>
      </w:r>
      <w:r w:rsidR="00DB6174" w:rsidRPr="00602F08">
        <w:rPr>
          <w:lang w:eastAsia="en-GB"/>
        </w:rPr>
        <w:t>]</w:t>
      </w:r>
      <w:r w:rsidR="003D6344" w:rsidRPr="00602F08">
        <w:rPr>
          <w:lang w:eastAsia="en-GB"/>
        </w:rPr>
        <w:t xml:space="preserve"> efforts, he would have been accommodated in less than 7 weeks of being granted s4 support. On 3 October 2019, the Section 4 Team made a fresh referral for accommodation. On 20 November 2019, it accepted a proposal for BK to be housed in Nottingham and he was accommodated on 26 November 2019, a period of less than 8 weeks from the referral. </w:t>
      </w:r>
      <w:r w:rsidR="009111E4" w:rsidRPr="00602F08">
        <w:rPr>
          <w:lang w:eastAsia="en-GB"/>
        </w:rPr>
        <w:t xml:space="preserve">… </w:t>
      </w:r>
      <w:r w:rsidR="003D6344" w:rsidRPr="00602F08">
        <w:rPr>
          <w:lang w:eastAsia="en-GB"/>
        </w:rPr>
        <w:t>From the above, it is apparent that – while some delays arose from the need to confirm a collection address and the transfer of contracts from one provider to another - the most substantial cause of delay in BK’s case was his own failure to travel as required on 27 September 2019.</w:t>
      </w:r>
      <w:r w:rsidR="009111E4" w:rsidRPr="00602F08">
        <w:rPr>
          <w:lang w:eastAsia="en-GB"/>
        </w:rPr>
        <w:t>”</w:t>
      </w:r>
    </w:p>
    <w:p w14:paraId="5AF8E9B5" w14:textId="07571B0C" w:rsidR="00E22728" w:rsidRPr="00602F08" w:rsidRDefault="0088571E" w:rsidP="00B6212D">
      <w:pPr>
        <w:pStyle w:val="ListParagraph"/>
        <w:widowControl w:val="0"/>
        <w:numPr>
          <w:ilvl w:val="0"/>
          <w:numId w:val="10"/>
        </w:numPr>
        <w:tabs>
          <w:tab w:val="left" w:pos="688"/>
        </w:tabs>
        <w:autoSpaceDE w:val="0"/>
        <w:autoSpaceDN w:val="0"/>
        <w:spacing w:before="11" w:beforeAutospacing="1" w:after="100" w:afterAutospacing="1"/>
        <w:jc w:val="both"/>
        <w:textAlignment w:val="baseline"/>
        <w:rPr>
          <w:rFonts w:ascii="Times New Roman" w:hAnsi="Times New Roman"/>
        </w:rPr>
      </w:pPr>
      <w:r w:rsidRPr="00602F08">
        <w:rPr>
          <w:rFonts w:ascii="Times New Roman" w:hAnsi="Times New Roman"/>
        </w:rPr>
        <w:t>I do not regard the characterisation of BK</w:t>
      </w:r>
      <w:r w:rsidR="00C00252" w:rsidRPr="00602F08">
        <w:rPr>
          <w:rFonts w:ascii="Times New Roman" w:hAnsi="Times New Roman"/>
        </w:rPr>
        <w:t>’s conduct on 27 September 2019</w:t>
      </w:r>
      <w:r w:rsidRPr="00602F08">
        <w:rPr>
          <w:rFonts w:ascii="Times New Roman" w:hAnsi="Times New Roman"/>
        </w:rPr>
        <w:t xml:space="preserve"> as </w:t>
      </w:r>
      <w:r w:rsidR="00E22728" w:rsidRPr="00602F08">
        <w:rPr>
          <w:rFonts w:ascii="Times New Roman" w:hAnsi="Times New Roman"/>
        </w:rPr>
        <w:t xml:space="preserve">a </w:t>
      </w:r>
      <w:r w:rsidR="003677C4" w:rsidRPr="00602F08">
        <w:rPr>
          <w:rFonts w:ascii="Times New Roman" w:hAnsi="Times New Roman"/>
        </w:rPr>
        <w:t>fair</w:t>
      </w:r>
      <w:r w:rsidR="00E22728" w:rsidRPr="00602F08">
        <w:rPr>
          <w:rFonts w:ascii="Times New Roman" w:hAnsi="Times New Roman"/>
        </w:rPr>
        <w:t xml:space="preserve"> characterisation. T</w:t>
      </w:r>
      <w:r w:rsidR="00CD2576" w:rsidRPr="00602F08">
        <w:rPr>
          <w:rFonts w:ascii="Times New Roman" w:hAnsi="Times New Roman"/>
        </w:rPr>
        <w:t xml:space="preserve">he reference to it as </w:t>
      </w:r>
      <w:r w:rsidRPr="00602F08">
        <w:rPr>
          <w:rFonts w:ascii="Times New Roman" w:hAnsi="Times New Roman"/>
        </w:rPr>
        <w:t xml:space="preserve">“the most substantial cause of delay” </w:t>
      </w:r>
      <w:r w:rsidR="00CD2576" w:rsidRPr="00602F08">
        <w:rPr>
          <w:rFonts w:ascii="Times New Roman" w:hAnsi="Times New Roman"/>
        </w:rPr>
        <w:t>is not</w:t>
      </w:r>
      <w:r w:rsidRPr="00602F08">
        <w:rPr>
          <w:rFonts w:ascii="Times New Roman" w:hAnsi="Times New Roman"/>
        </w:rPr>
        <w:t xml:space="preserve"> evidence-based.</w:t>
      </w:r>
      <w:r w:rsidR="002E3B86" w:rsidRPr="00602F08">
        <w:rPr>
          <w:rFonts w:ascii="Times New Roman" w:hAnsi="Times New Roman"/>
        </w:rPr>
        <w:t xml:space="preserve"> </w:t>
      </w:r>
    </w:p>
    <w:p w14:paraId="7124129A" w14:textId="77777777" w:rsidR="00E22728" w:rsidRPr="00602F08" w:rsidRDefault="00E22728" w:rsidP="00B6212D">
      <w:pPr>
        <w:pStyle w:val="ListParagraph"/>
        <w:widowControl w:val="0"/>
        <w:tabs>
          <w:tab w:val="left" w:pos="688"/>
        </w:tabs>
        <w:autoSpaceDE w:val="0"/>
        <w:autoSpaceDN w:val="0"/>
        <w:spacing w:before="11" w:beforeAutospacing="1" w:after="100" w:afterAutospacing="1"/>
        <w:ind w:left="687"/>
        <w:jc w:val="both"/>
        <w:textAlignment w:val="baseline"/>
        <w:rPr>
          <w:rFonts w:ascii="Times New Roman" w:hAnsi="Times New Roman"/>
        </w:rPr>
      </w:pPr>
    </w:p>
    <w:p w14:paraId="3582D7D5" w14:textId="77777777" w:rsidR="00E22728" w:rsidRPr="00602F08" w:rsidRDefault="00E22728" w:rsidP="00B6212D">
      <w:pPr>
        <w:pStyle w:val="ListParagraph"/>
        <w:widowControl w:val="0"/>
        <w:tabs>
          <w:tab w:val="left" w:pos="688"/>
        </w:tabs>
        <w:autoSpaceDE w:val="0"/>
        <w:autoSpaceDN w:val="0"/>
        <w:spacing w:before="11" w:beforeAutospacing="1" w:after="100" w:afterAutospacing="1"/>
        <w:ind w:left="687"/>
        <w:jc w:val="both"/>
        <w:textAlignment w:val="baseline"/>
        <w:rPr>
          <w:rFonts w:ascii="Times New Roman" w:hAnsi="Times New Roman"/>
        </w:rPr>
      </w:pPr>
    </w:p>
    <w:p w14:paraId="5E2C0548" w14:textId="0C8353D7" w:rsidR="00F31948" w:rsidRPr="00602F08" w:rsidRDefault="00676BCD" w:rsidP="00B6212D">
      <w:pPr>
        <w:pStyle w:val="ListParagraph"/>
        <w:widowControl w:val="0"/>
        <w:tabs>
          <w:tab w:val="left" w:pos="688"/>
        </w:tabs>
        <w:autoSpaceDE w:val="0"/>
        <w:autoSpaceDN w:val="0"/>
        <w:spacing w:before="11" w:beforeAutospacing="1" w:after="100" w:afterAutospacing="1"/>
        <w:ind w:left="687"/>
        <w:jc w:val="both"/>
        <w:textAlignment w:val="baseline"/>
        <w:rPr>
          <w:rFonts w:ascii="Times New Roman" w:hAnsi="Times New Roman"/>
        </w:rPr>
      </w:pPr>
      <w:r w:rsidRPr="00602F08">
        <w:rPr>
          <w:rFonts w:ascii="Times New Roman" w:hAnsi="Times New Roman"/>
        </w:rPr>
        <w:tab/>
      </w:r>
      <w:r w:rsidR="00F31948" w:rsidRPr="00602F08">
        <w:rPr>
          <w:rFonts w:ascii="Times New Roman" w:hAnsi="Times New Roman"/>
          <w:u w:val="single"/>
        </w:rPr>
        <w:t>ELN</w:t>
      </w:r>
    </w:p>
    <w:p w14:paraId="71977E21" w14:textId="77777777" w:rsidR="00E22728" w:rsidRPr="00602F08" w:rsidRDefault="00E22728" w:rsidP="00B6212D">
      <w:pPr>
        <w:pStyle w:val="ListParagraph"/>
        <w:widowControl w:val="0"/>
        <w:tabs>
          <w:tab w:val="left" w:pos="688"/>
        </w:tabs>
        <w:autoSpaceDE w:val="0"/>
        <w:autoSpaceDN w:val="0"/>
        <w:spacing w:before="11"/>
        <w:ind w:left="687"/>
        <w:jc w:val="both"/>
        <w:rPr>
          <w:rFonts w:ascii="Times New Roman" w:hAnsi="Times New Roman"/>
        </w:rPr>
      </w:pPr>
    </w:p>
    <w:p w14:paraId="1CC8A367" w14:textId="6E2D70A6" w:rsidR="0005295E" w:rsidRPr="00602F08" w:rsidRDefault="00E22728"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Five</w:t>
      </w:r>
      <w:r w:rsidR="005E474E" w:rsidRPr="00602F08">
        <w:rPr>
          <w:rFonts w:ascii="Times New Roman" w:hAnsi="Times New Roman"/>
        </w:rPr>
        <w:t xml:space="preserve"> occasions of failure to travel are alleged against ELN. As noted above she has mental health difficulties. </w:t>
      </w:r>
    </w:p>
    <w:p w14:paraId="7CF2C294" w14:textId="77777777" w:rsidR="0005295E" w:rsidRPr="00602F08" w:rsidRDefault="0005295E" w:rsidP="00B6212D">
      <w:pPr>
        <w:pStyle w:val="ListParagraph"/>
        <w:widowControl w:val="0"/>
        <w:tabs>
          <w:tab w:val="left" w:pos="688"/>
        </w:tabs>
        <w:autoSpaceDE w:val="0"/>
        <w:autoSpaceDN w:val="0"/>
        <w:spacing w:before="11"/>
        <w:ind w:left="687"/>
        <w:jc w:val="both"/>
        <w:rPr>
          <w:rFonts w:ascii="Times New Roman" w:hAnsi="Times New Roman"/>
        </w:rPr>
      </w:pPr>
    </w:p>
    <w:p w14:paraId="28A6A397" w14:textId="56CAD9A5" w:rsidR="00F31948"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The first occa</w:t>
      </w:r>
      <w:r w:rsidR="0005295E" w:rsidRPr="00602F08">
        <w:rPr>
          <w:rFonts w:ascii="Times New Roman" w:hAnsi="Times New Roman"/>
        </w:rPr>
        <w:t>s</w:t>
      </w:r>
      <w:r w:rsidRPr="00602F08">
        <w:rPr>
          <w:rFonts w:ascii="Times New Roman" w:hAnsi="Times New Roman"/>
        </w:rPr>
        <w:t>ions alleged are 11 July 2019</w:t>
      </w:r>
      <w:r w:rsidR="0005295E" w:rsidRPr="00602F08">
        <w:rPr>
          <w:rFonts w:ascii="Times New Roman" w:hAnsi="Times New Roman"/>
        </w:rPr>
        <w:t>,</w:t>
      </w:r>
      <w:r w:rsidRPr="00602F08">
        <w:rPr>
          <w:rFonts w:ascii="Times New Roman" w:hAnsi="Times New Roman"/>
        </w:rPr>
        <w:t xml:space="preserve"> 8 August 2019 and 20 August 2019. The email record is however illuminating</w:t>
      </w:r>
      <w:r w:rsidR="00160AAC" w:rsidRPr="00602F08">
        <w:rPr>
          <w:rFonts w:ascii="Times New Roman" w:hAnsi="Times New Roman"/>
        </w:rPr>
        <w:t>,</w:t>
      </w:r>
      <w:r w:rsidR="006179FE" w:rsidRPr="00602F08">
        <w:rPr>
          <w:rFonts w:ascii="Times New Roman" w:hAnsi="Times New Roman"/>
        </w:rPr>
        <w:t xml:space="preserve"> and I shall take it in a little detail</w:t>
      </w:r>
      <w:r w:rsidR="00F31948" w:rsidRPr="00602F08">
        <w:rPr>
          <w:rFonts w:ascii="Times New Roman" w:hAnsi="Times New Roman"/>
        </w:rPr>
        <w:t>.</w:t>
      </w:r>
    </w:p>
    <w:p w14:paraId="48C9D18B" w14:textId="77777777" w:rsidR="00F31948" w:rsidRPr="00602F08" w:rsidRDefault="00F31948" w:rsidP="00B6212D">
      <w:pPr>
        <w:pStyle w:val="ListParagraph"/>
        <w:widowControl w:val="0"/>
        <w:tabs>
          <w:tab w:val="left" w:pos="688"/>
        </w:tabs>
        <w:autoSpaceDE w:val="0"/>
        <w:autoSpaceDN w:val="0"/>
        <w:spacing w:before="11"/>
        <w:ind w:left="687"/>
        <w:jc w:val="both"/>
        <w:rPr>
          <w:rFonts w:ascii="Times New Roman" w:hAnsi="Times New Roman"/>
        </w:rPr>
      </w:pPr>
    </w:p>
    <w:p w14:paraId="461409BB" w14:textId="77777777" w:rsidR="00670812"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On 1 July 2019 Refugee Action</w:t>
      </w:r>
      <w:r w:rsidR="009F5B31" w:rsidRPr="00602F08">
        <w:rPr>
          <w:rFonts w:ascii="Times New Roman" w:hAnsi="Times New Roman"/>
        </w:rPr>
        <w:t>, a charity assisting ELN,</w:t>
      </w:r>
      <w:r w:rsidRPr="00602F08">
        <w:rPr>
          <w:rFonts w:ascii="Times New Roman" w:hAnsi="Times New Roman"/>
        </w:rPr>
        <w:t xml:space="preserve"> advised </w:t>
      </w:r>
      <w:r w:rsidR="006179FE" w:rsidRPr="00602F08">
        <w:rPr>
          <w:rFonts w:ascii="Times New Roman" w:hAnsi="Times New Roman"/>
        </w:rPr>
        <w:t>the section 4 accommodation booking team</w:t>
      </w:r>
      <w:r w:rsidRPr="00602F08">
        <w:rPr>
          <w:rFonts w:ascii="Times New Roman" w:hAnsi="Times New Roman"/>
        </w:rPr>
        <w:t xml:space="preserve"> at</w:t>
      </w:r>
      <w:r w:rsidR="009C7AD6" w:rsidRPr="00602F08">
        <w:rPr>
          <w:rFonts w:ascii="Times New Roman" w:hAnsi="Times New Roman"/>
        </w:rPr>
        <w:t xml:space="preserve"> the</w:t>
      </w:r>
      <w:r w:rsidRPr="00602F08">
        <w:rPr>
          <w:rFonts w:ascii="Times New Roman" w:hAnsi="Times New Roman"/>
        </w:rPr>
        <w:t xml:space="preserve"> Home Office of an address and phone number for contact with </w:t>
      </w:r>
      <w:r w:rsidR="009F5B31" w:rsidRPr="00602F08">
        <w:rPr>
          <w:rFonts w:ascii="Times New Roman" w:hAnsi="Times New Roman"/>
        </w:rPr>
        <w:t>ELN</w:t>
      </w:r>
      <w:r w:rsidRPr="00602F08">
        <w:rPr>
          <w:rFonts w:ascii="Times New Roman" w:hAnsi="Times New Roman"/>
        </w:rPr>
        <w:t xml:space="preserve"> for travel </w:t>
      </w:r>
      <w:r w:rsidR="009633F3" w:rsidRPr="00602F08">
        <w:rPr>
          <w:rFonts w:ascii="Times New Roman" w:hAnsi="Times New Roman"/>
        </w:rPr>
        <w:t>to accommodation</w:t>
      </w:r>
      <w:r w:rsidRPr="00602F08">
        <w:rPr>
          <w:rFonts w:ascii="Times New Roman" w:hAnsi="Times New Roman"/>
        </w:rPr>
        <w:t xml:space="preserve">. </w:t>
      </w:r>
    </w:p>
    <w:p w14:paraId="09C62886" w14:textId="77777777" w:rsidR="00670812" w:rsidRPr="00602F08" w:rsidRDefault="00670812" w:rsidP="00B6212D">
      <w:pPr>
        <w:pStyle w:val="ListParagraph"/>
        <w:rPr>
          <w:rFonts w:ascii="Times New Roman" w:hAnsi="Times New Roman"/>
        </w:rPr>
      </w:pPr>
    </w:p>
    <w:p w14:paraId="7706F946" w14:textId="77777777" w:rsidR="00C70934" w:rsidRPr="00602F08" w:rsidRDefault="00C70934"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Ms Bond states:</w:t>
      </w:r>
    </w:p>
    <w:p w14:paraId="6195ED89" w14:textId="77777777" w:rsidR="00C70934" w:rsidRPr="00602F08" w:rsidRDefault="00C70934" w:rsidP="00B6212D">
      <w:pPr>
        <w:pStyle w:val="ListParagraph"/>
        <w:rPr>
          <w:rFonts w:ascii="Times New Roman" w:hAnsi="Times New Roman"/>
        </w:rPr>
      </w:pPr>
    </w:p>
    <w:p w14:paraId="503423A4" w14:textId="7B4828AF" w:rsidR="00E514EC" w:rsidRPr="00602F08" w:rsidRDefault="00C70934"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t>“</w:t>
      </w:r>
      <w:r w:rsidR="001A65C3" w:rsidRPr="00602F08">
        <w:rPr>
          <w:rFonts w:ascii="Times New Roman" w:hAnsi="Times New Roman"/>
        </w:rPr>
        <w:t xml:space="preserve">On </w:t>
      </w:r>
      <w:r w:rsidR="00B321A4" w:rsidRPr="00602F08">
        <w:rPr>
          <w:rFonts w:ascii="Times New Roman" w:hAnsi="Times New Roman"/>
        </w:rPr>
        <w:t xml:space="preserve">26 July 2019 confirmation was received by G4S that [ELN] had </w:t>
      </w:r>
      <w:r w:rsidR="00E514EC" w:rsidRPr="00602F08">
        <w:rPr>
          <w:rFonts w:ascii="Times New Roman" w:hAnsi="Times New Roman"/>
        </w:rPr>
        <w:t>“Failed to Travel” due to not being at the collection point. No further information was given.”</w:t>
      </w:r>
    </w:p>
    <w:p w14:paraId="40D393A9" w14:textId="6AAED527" w:rsidR="00C70934" w:rsidRPr="00602F08" w:rsidRDefault="00B321A4" w:rsidP="00B6212D">
      <w:pPr>
        <w:pStyle w:val="ListParagraph"/>
        <w:widowControl w:val="0"/>
        <w:tabs>
          <w:tab w:val="left" w:pos="688"/>
        </w:tabs>
        <w:autoSpaceDE w:val="0"/>
        <w:autoSpaceDN w:val="0"/>
        <w:spacing w:before="11"/>
        <w:ind w:left="687"/>
        <w:jc w:val="both"/>
        <w:rPr>
          <w:rFonts w:ascii="Times New Roman" w:hAnsi="Times New Roman"/>
        </w:rPr>
      </w:pPr>
      <w:r w:rsidRPr="00602F08">
        <w:rPr>
          <w:rFonts w:ascii="Times New Roman" w:hAnsi="Times New Roman"/>
        </w:rPr>
        <w:t xml:space="preserve"> </w:t>
      </w:r>
    </w:p>
    <w:p w14:paraId="4DBB6848" w14:textId="44A69552" w:rsidR="00C7732A"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On 31 July 2019 Refugee Action</w:t>
      </w:r>
      <w:r w:rsidR="00D6417C" w:rsidRPr="00602F08">
        <w:rPr>
          <w:rFonts w:ascii="Times New Roman" w:hAnsi="Times New Roman"/>
        </w:rPr>
        <w:t xml:space="preserve"> </w:t>
      </w:r>
      <w:r w:rsidRPr="00602F08">
        <w:rPr>
          <w:rFonts w:ascii="Times New Roman" w:hAnsi="Times New Roman"/>
        </w:rPr>
        <w:t>request</w:t>
      </w:r>
      <w:r w:rsidR="00C7732A" w:rsidRPr="00602F08">
        <w:rPr>
          <w:rFonts w:ascii="Times New Roman" w:hAnsi="Times New Roman"/>
        </w:rPr>
        <w:t>ed</w:t>
      </w:r>
      <w:r w:rsidRPr="00602F08">
        <w:rPr>
          <w:rFonts w:ascii="Times New Roman" w:hAnsi="Times New Roman"/>
        </w:rPr>
        <w:t xml:space="preserve"> an urgent update</w:t>
      </w:r>
      <w:r w:rsidR="00D6417C" w:rsidRPr="00602F08">
        <w:rPr>
          <w:rFonts w:ascii="Times New Roman" w:hAnsi="Times New Roman"/>
        </w:rPr>
        <w:t xml:space="preserve"> on behalf of ELN</w:t>
      </w:r>
      <w:r w:rsidRPr="00602F08">
        <w:rPr>
          <w:rFonts w:ascii="Times New Roman" w:hAnsi="Times New Roman"/>
        </w:rPr>
        <w:t>. The</w:t>
      </w:r>
      <w:r w:rsidR="00C7732A" w:rsidRPr="00602F08">
        <w:rPr>
          <w:rFonts w:ascii="Times New Roman" w:hAnsi="Times New Roman"/>
        </w:rPr>
        <w:t>ir</w:t>
      </w:r>
      <w:r w:rsidRPr="00602F08">
        <w:rPr>
          <w:rFonts w:ascii="Times New Roman" w:hAnsi="Times New Roman"/>
        </w:rPr>
        <w:t xml:space="preserve"> email advised</w:t>
      </w:r>
      <w:r w:rsidR="00C7732A" w:rsidRPr="00602F08">
        <w:rPr>
          <w:rFonts w:ascii="Times New Roman" w:hAnsi="Times New Roman"/>
        </w:rPr>
        <w:t>:</w:t>
      </w:r>
    </w:p>
    <w:p w14:paraId="299C6FD2" w14:textId="77777777" w:rsidR="00C7732A" w:rsidRPr="00602F08" w:rsidRDefault="00C7732A" w:rsidP="00B6212D">
      <w:pPr>
        <w:pStyle w:val="ListParagraph"/>
        <w:jc w:val="both"/>
        <w:rPr>
          <w:rFonts w:ascii="Times New Roman" w:hAnsi="Times New Roman"/>
        </w:rPr>
      </w:pPr>
    </w:p>
    <w:p w14:paraId="2EF738D6" w14:textId="77777777" w:rsidR="004E4E73" w:rsidRPr="00602F08" w:rsidRDefault="00C7732A"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r>
      <w:r w:rsidR="005E474E" w:rsidRPr="00602F08">
        <w:rPr>
          <w:rFonts w:ascii="Times New Roman" w:hAnsi="Times New Roman"/>
        </w:rPr>
        <w:t>“[ELN] has stated that she was at the reporting centre when she received a call from the accommodation provider on 16/07/2019. If the travel has been missed please can it be rearranged as she was unable to travel at the time f</w:t>
      </w:r>
      <w:r w:rsidR="00E349D3" w:rsidRPr="00602F08">
        <w:rPr>
          <w:rFonts w:ascii="Times New Roman" w:hAnsi="Times New Roman"/>
        </w:rPr>
        <w:t>or</w:t>
      </w:r>
      <w:r w:rsidR="005E474E" w:rsidRPr="00602F08">
        <w:rPr>
          <w:rFonts w:ascii="Times New Roman" w:hAnsi="Times New Roman"/>
        </w:rPr>
        <w:t xml:space="preserve"> to needing to be at the reporting centre.”. </w:t>
      </w:r>
    </w:p>
    <w:p w14:paraId="60844F5A" w14:textId="77777777" w:rsidR="004E4E73" w:rsidRPr="00602F08" w:rsidRDefault="004E4E73" w:rsidP="00B6212D">
      <w:pPr>
        <w:widowControl w:val="0"/>
        <w:tabs>
          <w:tab w:val="left" w:pos="688"/>
        </w:tabs>
        <w:autoSpaceDE w:val="0"/>
        <w:autoSpaceDN w:val="0"/>
        <w:spacing w:before="11"/>
        <w:jc w:val="both"/>
      </w:pPr>
    </w:p>
    <w:p w14:paraId="5F234E7E" w14:textId="200D0938" w:rsidR="006B7789" w:rsidRPr="00602F08" w:rsidRDefault="005E474E" w:rsidP="00B6212D">
      <w:pPr>
        <w:pStyle w:val="ListParagraph"/>
        <w:widowControl w:val="0"/>
        <w:tabs>
          <w:tab w:val="left" w:pos="688"/>
        </w:tabs>
        <w:autoSpaceDE w:val="0"/>
        <w:autoSpaceDN w:val="0"/>
        <w:spacing w:before="11"/>
        <w:ind w:left="687"/>
        <w:jc w:val="both"/>
        <w:rPr>
          <w:rFonts w:ascii="Times New Roman" w:hAnsi="Times New Roman"/>
        </w:rPr>
      </w:pPr>
      <w:r w:rsidRPr="00602F08">
        <w:rPr>
          <w:rFonts w:ascii="Times New Roman" w:hAnsi="Times New Roman"/>
        </w:rPr>
        <w:t xml:space="preserve">“S 4 National Team </w:t>
      </w:r>
      <w:r w:rsidR="00F74D44" w:rsidRPr="00602F08">
        <w:rPr>
          <w:rFonts w:ascii="Times New Roman" w:hAnsi="Times New Roman"/>
        </w:rPr>
        <w:t>Resettlement</w:t>
      </w:r>
      <w:r w:rsidRPr="00602F08">
        <w:rPr>
          <w:rFonts w:ascii="Times New Roman" w:hAnsi="Times New Roman"/>
        </w:rPr>
        <w:t xml:space="preserve"> Asylum Support and Integrat</w:t>
      </w:r>
      <w:r w:rsidR="004E4E73" w:rsidRPr="00602F08">
        <w:rPr>
          <w:rFonts w:ascii="Times New Roman" w:hAnsi="Times New Roman"/>
        </w:rPr>
        <w:t>i</w:t>
      </w:r>
      <w:r w:rsidRPr="00602F08">
        <w:rPr>
          <w:rFonts w:ascii="Times New Roman" w:hAnsi="Times New Roman"/>
        </w:rPr>
        <w:t>on UK Visa and Immigra</w:t>
      </w:r>
      <w:r w:rsidR="004E4E73" w:rsidRPr="00602F08">
        <w:rPr>
          <w:rFonts w:ascii="Times New Roman" w:hAnsi="Times New Roman"/>
        </w:rPr>
        <w:t>t</w:t>
      </w:r>
      <w:r w:rsidRPr="00602F08">
        <w:rPr>
          <w:rFonts w:ascii="Times New Roman" w:hAnsi="Times New Roman"/>
        </w:rPr>
        <w:t>ion</w:t>
      </w:r>
      <w:r w:rsidR="004E4E73" w:rsidRPr="00602F08">
        <w:rPr>
          <w:rFonts w:ascii="Times New Roman" w:hAnsi="Times New Roman"/>
        </w:rPr>
        <w:t>”</w:t>
      </w:r>
      <w:r w:rsidRPr="00602F08">
        <w:rPr>
          <w:rFonts w:ascii="Times New Roman" w:hAnsi="Times New Roman"/>
        </w:rPr>
        <w:t xml:space="preserve"> replied on 31 July </w:t>
      </w:r>
      <w:r w:rsidR="004E4E73" w:rsidRPr="00602F08">
        <w:rPr>
          <w:rFonts w:ascii="Times New Roman" w:hAnsi="Times New Roman"/>
        </w:rPr>
        <w:t xml:space="preserve">2019 </w:t>
      </w:r>
      <w:r w:rsidRPr="00602F08">
        <w:rPr>
          <w:rFonts w:ascii="Times New Roman" w:hAnsi="Times New Roman"/>
        </w:rPr>
        <w:t>to say</w:t>
      </w:r>
      <w:r w:rsidR="004E4E73" w:rsidRPr="00602F08">
        <w:rPr>
          <w:rFonts w:ascii="Times New Roman" w:hAnsi="Times New Roman"/>
        </w:rPr>
        <w:t>:</w:t>
      </w:r>
      <w:r w:rsidRPr="00602F08">
        <w:rPr>
          <w:rFonts w:ascii="Times New Roman" w:hAnsi="Times New Roman"/>
        </w:rPr>
        <w:t xml:space="preserve"> “Please be adv</w:t>
      </w:r>
      <w:r w:rsidR="004E4E73" w:rsidRPr="00602F08">
        <w:rPr>
          <w:rFonts w:ascii="Times New Roman" w:hAnsi="Times New Roman"/>
        </w:rPr>
        <w:t>i</w:t>
      </w:r>
      <w:r w:rsidRPr="00602F08">
        <w:rPr>
          <w:rFonts w:ascii="Times New Roman" w:hAnsi="Times New Roman"/>
        </w:rPr>
        <w:t>sed the deadline date for the proposed move is the 8</w:t>
      </w:r>
      <w:r w:rsidRPr="00602F08">
        <w:rPr>
          <w:rFonts w:ascii="Times New Roman" w:hAnsi="Times New Roman"/>
          <w:vertAlign w:val="superscript"/>
        </w:rPr>
        <w:t>th</w:t>
      </w:r>
      <w:r w:rsidRPr="00602F08">
        <w:rPr>
          <w:rFonts w:ascii="Times New Roman" w:hAnsi="Times New Roman"/>
        </w:rPr>
        <w:t xml:space="preserve"> August”</w:t>
      </w:r>
      <w:r w:rsidR="00C40FD2" w:rsidRPr="00602F08">
        <w:rPr>
          <w:rFonts w:ascii="Times New Roman" w:hAnsi="Times New Roman"/>
        </w:rPr>
        <w:t xml:space="preserve">. </w:t>
      </w:r>
      <w:r w:rsidRPr="00602F08">
        <w:rPr>
          <w:rFonts w:ascii="Times New Roman" w:hAnsi="Times New Roman"/>
        </w:rPr>
        <w:t xml:space="preserve"> </w:t>
      </w:r>
    </w:p>
    <w:p w14:paraId="68870E3E" w14:textId="77777777" w:rsidR="006B7789" w:rsidRPr="00602F08" w:rsidRDefault="006B7789" w:rsidP="00B6212D">
      <w:pPr>
        <w:pStyle w:val="ListParagraph"/>
        <w:jc w:val="both"/>
        <w:rPr>
          <w:rFonts w:ascii="Times New Roman" w:hAnsi="Times New Roman"/>
        </w:rPr>
      </w:pPr>
    </w:p>
    <w:p w14:paraId="0277970A" w14:textId="62DBBB9E" w:rsidR="00E2304F" w:rsidRPr="00602F08" w:rsidRDefault="007B4FD2"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N</w:t>
      </w:r>
      <w:r w:rsidR="00136090" w:rsidRPr="00602F08">
        <w:rPr>
          <w:rFonts w:ascii="Times New Roman" w:hAnsi="Times New Roman"/>
        </w:rPr>
        <w:t>o reference is made</w:t>
      </w:r>
      <w:r w:rsidR="00B140D1" w:rsidRPr="00602F08">
        <w:rPr>
          <w:rFonts w:ascii="Times New Roman" w:hAnsi="Times New Roman"/>
        </w:rPr>
        <w:t xml:space="preserve"> </w:t>
      </w:r>
      <w:r w:rsidR="009A6842" w:rsidRPr="00602F08">
        <w:rPr>
          <w:rFonts w:ascii="Times New Roman" w:hAnsi="Times New Roman"/>
        </w:rPr>
        <w:t xml:space="preserve">to this exchange </w:t>
      </w:r>
      <w:r w:rsidR="00283247" w:rsidRPr="00602F08">
        <w:rPr>
          <w:rFonts w:ascii="Times New Roman" w:hAnsi="Times New Roman"/>
        </w:rPr>
        <w:t xml:space="preserve">on 31 July 2019 </w:t>
      </w:r>
      <w:r w:rsidR="009A6842" w:rsidRPr="00602F08">
        <w:rPr>
          <w:rFonts w:ascii="Times New Roman" w:hAnsi="Times New Roman"/>
        </w:rPr>
        <w:t>in</w:t>
      </w:r>
      <w:r w:rsidR="00B140D1" w:rsidRPr="00602F08">
        <w:rPr>
          <w:rFonts w:ascii="Times New Roman" w:hAnsi="Times New Roman"/>
        </w:rPr>
        <w:t xml:space="preserve"> Detailed Grounds</w:t>
      </w:r>
      <w:r w:rsidR="009A6842" w:rsidRPr="00602F08">
        <w:rPr>
          <w:rFonts w:ascii="Times New Roman" w:hAnsi="Times New Roman"/>
        </w:rPr>
        <w:t xml:space="preserve"> of Defence dated 20 January 2020</w:t>
      </w:r>
      <w:r w:rsidR="00136090" w:rsidRPr="00602F08">
        <w:rPr>
          <w:rFonts w:ascii="Times New Roman" w:hAnsi="Times New Roman"/>
        </w:rPr>
        <w:t>.</w:t>
      </w:r>
      <w:r w:rsidRPr="00602F08">
        <w:rPr>
          <w:rFonts w:ascii="Times New Roman" w:hAnsi="Times New Roman"/>
        </w:rPr>
        <w:t xml:space="preserve"> The Detailed Grounds of Defence refer to a failure to travel on 11 July 2020</w:t>
      </w:r>
      <w:r w:rsidR="000E36DC" w:rsidRPr="00602F08">
        <w:rPr>
          <w:rFonts w:ascii="Times New Roman" w:hAnsi="Times New Roman"/>
        </w:rPr>
        <w:t xml:space="preserve">, but without reference to the explanation given </w:t>
      </w:r>
      <w:r w:rsidR="008F550F" w:rsidRPr="00602F08">
        <w:rPr>
          <w:rFonts w:ascii="Times New Roman" w:hAnsi="Times New Roman"/>
        </w:rPr>
        <w:t>on</w:t>
      </w:r>
      <w:r w:rsidR="000E36DC" w:rsidRPr="00602F08">
        <w:rPr>
          <w:rFonts w:ascii="Times New Roman" w:hAnsi="Times New Roman"/>
        </w:rPr>
        <w:t xml:space="preserve"> ELN</w:t>
      </w:r>
      <w:r w:rsidR="008F550F" w:rsidRPr="00602F08">
        <w:rPr>
          <w:rFonts w:ascii="Times New Roman" w:hAnsi="Times New Roman"/>
        </w:rPr>
        <w:t>’s behalf. ELN herself</w:t>
      </w:r>
      <w:r w:rsidR="000E36DC" w:rsidRPr="00602F08">
        <w:rPr>
          <w:rFonts w:ascii="Times New Roman" w:hAnsi="Times New Roman"/>
        </w:rPr>
        <w:t xml:space="preserve"> </w:t>
      </w:r>
      <w:r w:rsidR="00B906F3" w:rsidRPr="00602F08">
        <w:rPr>
          <w:rFonts w:ascii="Times New Roman" w:hAnsi="Times New Roman"/>
        </w:rPr>
        <w:t>made</w:t>
      </w:r>
      <w:r w:rsidR="000E36DC" w:rsidRPr="00602F08">
        <w:rPr>
          <w:rFonts w:ascii="Times New Roman" w:hAnsi="Times New Roman"/>
        </w:rPr>
        <w:t xml:space="preserve"> a witness state</w:t>
      </w:r>
      <w:r w:rsidR="00824669" w:rsidRPr="00602F08">
        <w:rPr>
          <w:rFonts w:ascii="Times New Roman" w:hAnsi="Times New Roman"/>
        </w:rPr>
        <w:t xml:space="preserve">ment dated 14 October 2019 </w:t>
      </w:r>
      <w:r w:rsidR="00B906F3" w:rsidRPr="00602F08">
        <w:rPr>
          <w:rFonts w:ascii="Times New Roman" w:hAnsi="Times New Roman"/>
        </w:rPr>
        <w:t xml:space="preserve">and </w:t>
      </w:r>
      <w:r w:rsidR="00824669" w:rsidRPr="00602F08">
        <w:rPr>
          <w:rFonts w:ascii="Times New Roman" w:hAnsi="Times New Roman"/>
        </w:rPr>
        <w:t>said:</w:t>
      </w:r>
    </w:p>
    <w:p w14:paraId="1E7A3095" w14:textId="61D2A9B3" w:rsidR="00824669" w:rsidRPr="00602F08" w:rsidRDefault="00824669" w:rsidP="00B6212D">
      <w:pPr>
        <w:pStyle w:val="ListParagraph"/>
        <w:widowControl w:val="0"/>
        <w:tabs>
          <w:tab w:val="left" w:pos="688"/>
        </w:tabs>
        <w:autoSpaceDE w:val="0"/>
        <w:autoSpaceDN w:val="0"/>
        <w:spacing w:before="11"/>
        <w:ind w:left="687"/>
        <w:jc w:val="both"/>
        <w:rPr>
          <w:rFonts w:ascii="Times New Roman" w:hAnsi="Times New Roman"/>
        </w:rPr>
      </w:pPr>
    </w:p>
    <w:p w14:paraId="71659A05" w14:textId="7F04B2F9" w:rsidR="00824669" w:rsidRPr="00602F08" w:rsidRDefault="00824669"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t>“On 11</w:t>
      </w:r>
      <w:r w:rsidRPr="00602F08">
        <w:rPr>
          <w:rFonts w:ascii="Times New Roman" w:hAnsi="Times New Roman"/>
          <w:vertAlign w:val="superscript"/>
        </w:rPr>
        <w:t>th</w:t>
      </w:r>
      <w:r w:rsidRPr="00602F08">
        <w:rPr>
          <w:rFonts w:ascii="Times New Roman" w:hAnsi="Times New Roman"/>
        </w:rPr>
        <w:t xml:space="preserve"> July 2019 I was called in the afternoon by someone to say that I was to be picked up that day. But that day I was at the Home Office in Solihull, as I had to sign on there on that day.</w:t>
      </w:r>
      <w:r w:rsidR="00717733" w:rsidRPr="00602F08">
        <w:rPr>
          <w:rFonts w:ascii="Times New Roman" w:hAnsi="Times New Roman"/>
        </w:rPr>
        <w:t>”</w:t>
      </w:r>
      <w:r w:rsidRPr="00602F08">
        <w:rPr>
          <w:rFonts w:ascii="Times New Roman" w:hAnsi="Times New Roman"/>
        </w:rPr>
        <w:t xml:space="preserve"> </w:t>
      </w:r>
    </w:p>
    <w:p w14:paraId="6E209A5C" w14:textId="77777777" w:rsidR="00E2304F" w:rsidRPr="00602F08" w:rsidRDefault="00E2304F" w:rsidP="00B6212D">
      <w:pPr>
        <w:pStyle w:val="ListParagraph"/>
        <w:widowControl w:val="0"/>
        <w:tabs>
          <w:tab w:val="left" w:pos="688"/>
        </w:tabs>
        <w:autoSpaceDE w:val="0"/>
        <w:autoSpaceDN w:val="0"/>
        <w:spacing w:before="11"/>
        <w:ind w:left="687"/>
        <w:jc w:val="both"/>
        <w:rPr>
          <w:rFonts w:ascii="Times New Roman" w:hAnsi="Times New Roman"/>
        </w:rPr>
      </w:pPr>
    </w:p>
    <w:p w14:paraId="4DCEBF0A" w14:textId="09A10CE0" w:rsidR="005E474E"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On 8 August 2019 Refugee Act</w:t>
      </w:r>
      <w:r w:rsidR="00B10058" w:rsidRPr="00602F08">
        <w:rPr>
          <w:rFonts w:ascii="Times New Roman" w:hAnsi="Times New Roman"/>
        </w:rPr>
        <w:t>ion</w:t>
      </w:r>
      <w:r w:rsidRPr="00602F08">
        <w:rPr>
          <w:rFonts w:ascii="Times New Roman" w:hAnsi="Times New Roman"/>
        </w:rPr>
        <w:t xml:space="preserve"> emailed </w:t>
      </w:r>
      <w:r w:rsidR="004E4E73" w:rsidRPr="00602F08">
        <w:rPr>
          <w:rFonts w:ascii="Times New Roman" w:hAnsi="Times New Roman"/>
        </w:rPr>
        <w:t xml:space="preserve">the section 4 accommodation </w:t>
      </w:r>
      <w:r w:rsidR="00B10058" w:rsidRPr="00602F08">
        <w:rPr>
          <w:rFonts w:ascii="Times New Roman" w:hAnsi="Times New Roman"/>
        </w:rPr>
        <w:t>booking team at the Home Office</w:t>
      </w:r>
      <w:r w:rsidRPr="00602F08">
        <w:rPr>
          <w:rFonts w:ascii="Times New Roman" w:hAnsi="Times New Roman"/>
        </w:rPr>
        <w:t xml:space="preserve"> as follows:</w:t>
      </w:r>
    </w:p>
    <w:p w14:paraId="25E03EFF" w14:textId="77777777" w:rsidR="00B10058" w:rsidRPr="00602F08" w:rsidRDefault="00B10058" w:rsidP="00B6212D">
      <w:pPr>
        <w:pStyle w:val="ListParagraph"/>
        <w:widowControl w:val="0"/>
        <w:tabs>
          <w:tab w:val="left" w:pos="688"/>
        </w:tabs>
        <w:autoSpaceDE w:val="0"/>
        <w:autoSpaceDN w:val="0"/>
        <w:spacing w:before="11"/>
        <w:ind w:left="687"/>
        <w:jc w:val="both"/>
        <w:rPr>
          <w:rFonts w:ascii="Times New Roman" w:hAnsi="Times New Roman"/>
        </w:rPr>
      </w:pPr>
    </w:p>
    <w:p w14:paraId="0D62BC45" w14:textId="43ADA17A" w:rsidR="00B10058" w:rsidRPr="00602F08" w:rsidRDefault="00B10058"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r>
      <w:r w:rsidR="005E474E" w:rsidRPr="00602F08">
        <w:rPr>
          <w:rFonts w:ascii="Times New Roman" w:hAnsi="Times New Roman"/>
        </w:rPr>
        <w:t>“Following your email confirming the deadline for the proposed move is 8</w:t>
      </w:r>
      <w:r w:rsidR="005E474E" w:rsidRPr="00602F08">
        <w:rPr>
          <w:rFonts w:ascii="Times New Roman" w:hAnsi="Times New Roman"/>
          <w:vertAlign w:val="superscript"/>
        </w:rPr>
        <w:t>th</w:t>
      </w:r>
      <w:r w:rsidR="005E474E" w:rsidRPr="00602F08">
        <w:rPr>
          <w:rFonts w:ascii="Times New Roman" w:hAnsi="Times New Roman"/>
        </w:rPr>
        <w:t xml:space="preserve"> August, client is read</w:t>
      </w:r>
      <w:r w:rsidR="00BB5342" w:rsidRPr="00602F08">
        <w:rPr>
          <w:rFonts w:ascii="Times New Roman" w:hAnsi="Times New Roman"/>
        </w:rPr>
        <w:t>y</w:t>
      </w:r>
      <w:r w:rsidR="005E474E" w:rsidRPr="00602F08">
        <w:rPr>
          <w:rFonts w:ascii="Times New Roman" w:hAnsi="Times New Roman"/>
        </w:rPr>
        <w:t xml:space="preserve"> at her pick up address and waiting to be dispersed. However, she has not bee</w:t>
      </w:r>
      <w:r w:rsidRPr="00602F08">
        <w:rPr>
          <w:rFonts w:ascii="Times New Roman" w:hAnsi="Times New Roman"/>
        </w:rPr>
        <w:t>n</w:t>
      </w:r>
      <w:r w:rsidR="005E474E" w:rsidRPr="00602F08">
        <w:rPr>
          <w:rFonts w:ascii="Times New Roman" w:hAnsi="Times New Roman"/>
        </w:rPr>
        <w:t xml:space="preserve"> contracted by Serco to confirm her pick up today. Please could you advise if client is still due to be dispersed today?” </w:t>
      </w:r>
    </w:p>
    <w:p w14:paraId="0ABF438E" w14:textId="77777777" w:rsidR="00B10058" w:rsidRPr="00602F08" w:rsidRDefault="00B10058" w:rsidP="00B6212D">
      <w:pPr>
        <w:pStyle w:val="ListParagraph"/>
        <w:widowControl w:val="0"/>
        <w:tabs>
          <w:tab w:val="left" w:pos="688"/>
        </w:tabs>
        <w:autoSpaceDE w:val="0"/>
        <w:autoSpaceDN w:val="0"/>
        <w:spacing w:before="11"/>
        <w:ind w:left="1440" w:hanging="753"/>
        <w:jc w:val="both"/>
        <w:rPr>
          <w:rFonts w:ascii="Times New Roman" w:hAnsi="Times New Roman"/>
        </w:rPr>
      </w:pPr>
    </w:p>
    <w:p w14:paraId="4C29887B" w14:textId="5D8D4CA9" w:rsidR="005647FD" w:rsidRPr="00602F08" w:rsidRDefault="005E474E"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 reply confirmed that “your client is due to be dispersed today”</w:t>
      </w:r>
      <w:r w:rsidR="00AE774E" w:rsidRPr="00602F08">
        <w:rPr>
          <w:rFonts w:ascii="Times New Roman" w:hAnsi="Times New Roman"/>
        </w:rPr>
        <w:t xml:space="preserve">. </w:t>
      </w:r>
      <w:r w:rsidRPr="00602F08">
        <w:rPr>
          <w:rFonts w:ascii="Times New Roman" w:hAnsi="Times New Roman"/>
        </w:rPr>
        <w:t xml:space="preserve"> </w:t>
      </w:r>
    </w:p>
    <w:p w14:paraId="0970E800" w14:textId="77777777" w:rsidR="005647FD" w:rsidRPr="00602F08" w:rsidRDefault="005647FD" w:rsidP="00B6212D">
      <w:pPr>
        <w:pStyle w:val="ListParagraph"/>
        <w:widowControl w:val="0"/>
        <w:tabs>
          <w:tab w:val="left" w:pos="688"/>
        </w:tabs>
        <w:autoSpaceDE w:val="0"/>
        <w:autoSpaceDN w:val="0"/>
        <w:spacing w:before="11"/>
        <w:ind w:left="1440" w:hanging="753"/>
        <w:jc w:val="both"/>
        <w:rPr>
          <w:rFonts w:ascii="Times New Roman" w:hAnsi="Times New Roman"/>
        </w:rPr>
      </w:pPr>
    </w:p>
    <w:p w14:paraId="546C3357" w14:textId="77777777" w:rsidR="00BC4F3B" w:rsidRPr="00602F08" w:rsidRDefault="00E3344C"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Ms Bond states that</w:t>
      </w:r>
      <w:r w:rsidR="00BC4F3B" w:rsidRPr="00602F08">
        <w:rPr>
          <w:rFonts w:ascii="Times New Roman" w:hAnsi="Times New Roman"/>
        </w:rPr>
        <w:t>:</w:t>
      </w:r>
    </w:p>
    <w:p w14:paraId="01AD3648" w14:textId="77777777" w:rsidR="00BC4F3B" w:rsidRPr="00602F08" w:rsidRDefault="00BC4F3B" w:rsidP="00B6212D">
      <w:pPr>
        <w:pStyle w:val="ListParagraph"/>
        <w:widowControl w:val="0"/>
        <w:tabs>
          <w:tab w:val="left" w:pos="688"/>
        </w:tabs>
        <w:autoSpaceDE w:val="0"/>
        <w:autoSpaceDN w:val="0"/>
        <w:spacing w:before="11"/>
        <w:ind w:left="687"/>
        <w:jc w:val="both"/>
        <w:rPr>
          <w:rFonts w:ascii="Times New Roman" w:hAnsi="Times New Roman"/>
        </w:rPr>
      </w:pPr>
    </w:p>
    <w:p w14:paraId="734F281D" w14:textId="5D8C177E" w:rsidR="00170DAE" w:rsidRPr="00602F08" w:rsidRDefault="00BC4F3B"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t>“ELN was recorded as “Failed to Travel” a second time on 14 August 2019</w:t>
      </w:r>
      <w:r w:rsidR="00D34FFA" w:rsidRPr="00602F08">
        <w:rPr>
          <w:rFonts w:ascii="Times New Roman" w:hAnsi="Times New Roman"/>
        </w:rPr>
        <w:t xml:space="preserve"> [in relation to a booking for 8 August 2019</w:t>
      </w:r>
      <w:r w:rsidR="001B4FEC" w:rsidRPr="00602F08">
        <w:rPr>
          <w:rFonts w:ascii="Times New Roman" w:hAnsi="Times New Roman"/>
        </w:rPr>
        <w:t>]</w:t>
      </w:r>
      <w:r w:rsidRPr="00602F08">
        <w:rPr>
          <w:rFonts w:ascii="Times New Roman" w:hAnsi="Times New Roman"/>
        </w:rPr>
        <w:t xml:space="preserve">. The reason given was </w:t>
      </w:r>
      <w:r w:rsidR="00170DAE" w:rsidRPr="00602F08">
        <w:rPr>
          <w:rFonts w:ascii="Times New Roman" w:hAnsi="Times New Roman"/>
        </w:rPr>
        <w:t>“other” with no further details provided.”</w:t>
      </w:r>
    </w:p>
    <w:p w14:paraId="1995FA26" w14:textId="77777777" w:rsidR="00170DAE" w:rsidRPr="00602F08" w:rsidRDefault="00170DAE" w:rsidP="00B6212D">
      <w:pPr>
        <w:widowControl w:val="0"/>
        <w:tabs>
          <w:tab w:val="left" w:pos="688"/>
        </w:tabs>
        <w:autoSpaceDE w:val="0"/>
        <w:autoSpaceDN w:val="0"/>
        <w:spacing w:before="11"/>
        <w:jc w:val="both"/>
      </w:pPr>
    </w:p>
    <w:p w14:paraId="1691BCBD" w14:textId="2F8DD047" w:rsidR="006F39E3"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On 9 August Refugee Action advised </w:t>
      </w:r>
      <w:r w:rsidR="005647FD" w:rsidRPr="00602F08">
        <w:rPr>
          <w:rFonts w:ascii="Times New Roman" w:hAnsi="Times New Roman"/>
        </w:rPr>
        <w:t>the section 4 accommodation booking team</w:t>
      </w:r>
      <w:r w:rsidR="006F39E3" w:rsidRPr="00602F08">
        <w:rPr>
          <w:rFonts w:ascii="Times New Roman" w:hAnsi="Times New Roman"/>
        </w:rPr>
        <w:t xml:space="preserve"> at the Home Office</w:t>
      </w:r>
      <w:r w:rsidRPr="00602F08">
        <w:rPr>
          <w:rFonts w:ascii="Times New Roman" w:hAnsi="Times New Roman"/>
        </w:rPr>
        <w:t xml:space="preserve"> that ELN was not picked up on 8 August “despite being read</w:t>
      </w:r>
      <w:r w:rsidR="006F39E3" w:rsidRPr="00602F08">
        <w:rPr>
          <w:rFonts w:ascii="Times New Roman" w:hAnsi="Times New Roman"/>
        </w:rPr>
        <w:t>y</w:t>
      </w:r>
      <w:r w:rsidRPr="00602F08">
        <w:rPr>
          <w:rFonts w:ascii="Times New Roman" w:hAnsi="Times New Roman"/>
        </w:rPr>
        <w:t xml:space="preserve"> and waiting all day at the pick up address”</w:t>
      </w:r>
      <w:r w:rsidR="001465E2" w:rsidRPr="00602F08">
        <w:rPr>
          <w:rFonts w:ascii="Times New Roman" w:hAnsi="Times New Roman"/>
        </w:rPr>
        <w:t>. Refugee Action</w:t>
      </w:r>
      <w:r w:rsidRPr="00602F08">
        <w:rPr>
          <w:rFonts w:ascii="Times New Roman" w:hAnsi="Times New Roman"/>
        </w:rPr>
        <w:t xml:space="preserve"> asked</w:t>
      </w:r>
      <w:r w:rsidR="001465E2" w:rsidRPr="00602F08">
        <w:rPr>
          <w:rFonts w:ascii="Times New Roman" w:hAnsi="Times New Roman"/>
        </w:rPr>
        <w:t>:</w:t>
      </w:r>
      <w:r w:rsidRPr="00602F08">
        <w:rPr>
          <w:rFonts w:ascii="Times New Roman" w:hAnsi="Times New Roman"/>
        </w:rPr>
        <w:t xml:space="preserve"> “Please can yo</w:t>
      </w:r>
      <w:r w:rsidR="006F39E3" w:rsidRPr="00602F08">
        <w:rPr>
          <w:rFonts w:ascii="Times New Roman" w:hAnsi="Times New Roman"/>
        </w:rPr>
        <w:t>u</w:t>
      </w:r>
      <w:r w:rsidRPr="00602F08">
        <w:rPr>
          <w:rFonts w:ascii="Times New Roman" w:hAnsi="Times New Roman"/>
        </w:rPr>
        <w:t xml:space="preserve"> advise why client was not dispersed and when her dispersal will be.” </w:t>
      </w:r>
    </w:p>
    <w:p w14:paraId="6E4B6982" w14:textId="77777777" w:rsidR="008E49DE" w:rsidRPr="00602F08" w:rsidRDefault="008E49DE" w:rsidP="00B6212D">
      <w:pPr>
        <w:pStyle w:val="ListParagraph"/>
        <w:widowControl w:val="0"/>
        <w:tabs>
          <w:tab w:val="left" w:pos="688"/>
        </w:tabs>
        <w:autoSpaceDE w:val="0"/>
        <w:autoSpaceDN w:val="0"/>
        <w:spacing w:before="11"/>
        <w:ind w:left="687"/>
        <w:jc w:val="both"/>
        <w:rPr>
          <w:rFonts w:ascii="Times New Roman" w:hAnsi="Times New Roman"/>
        </w:rPr>
      </w:pPr>
    </w:p>
    <w:p w14:paraId="3139A6F2" w14:textId="67788E66" w:rsidR="006F39E3"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On 14 August 2019 a reply was sent by The Telephone Advice Ce</w:t>
      </w:r>
      <w:r w:rsidR="006F39E3" w:rsidRPr="00602F08">
        <w:rPr>
          <w:rFonts w:ascii="Times New Roman" w:hAnsi="Times New Roman"/>
        </w:rPr>
        <w:t>n</w:t>
      </w:r>
      <w:r w:rsidRPr="00602F08">
        <w:rPr>
          <w:rFonts w:ascii="Times New Roman" w:hAnsi="Times New Roman"/>
        </w:rPr>
        <w:t xml:space="preserve">tre Team Leader at Migrant Help </w:t>
      </w:r>
      <w:r w:rsidR="00D20467" w:rsidRPr="00602F08">
        <w:rPr>
          <w:rFonts w:ascii="Times New Roman" w:hAnsi="Times New Roman"/>
        </w:rPr>
        <w:t xml:space="preserve">who </w:t>
      </w:r>
      <w:r w:rsidRPr="00602F08">
        <w:rPr>
          <w:rFonts w:ascii="Times New Roman" w:hAnsi="Times New Roman"/>
        </w:rPr>
        <w:t>wrote to Refugee Action</w:t>
      </w:r>
      <w:r w:rsidR="006F39E3" w:rsidRPr="00602F08">
        <w:rPr>
          <w:rFonts w:ascii="Times New Roman" w:hAnsi="Times New Roman"/>
        </w:rPr>
        <w:t>:</w:t>
      </w:r>
    </w:p>
    <w:p w14:paraId="0BC64D09" w14:textId="77777777" w:rsidR="006F39E3" w:rsidRPr="00602F08" w:rsidRDefault="006F39E3" w:rsidP="00B6212D">
      <w:pPr>
        <w:pStyle w:val="ListParagraph"/>
        <w:jc w:val="both"/>
        <w:rPr>
          <w:rFonts w:ascii="Times New Roman" w:hAnsi="Times New Roman"/>
        </w:rPr>
      </w:pPr>
    </w:p>
    <w:p w14:paraId="149AC9C9" w14:textId="77777777" w:rsidR="005467A0" w:rsidRPr="00602F08" w:rsidRDefault="006F39E3"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r>
      <w:r w:rsidR="005E474E" w:rsidRPr="00602F08">
        <w:rPr>
          <w:rFonts w:ascii="Times New Roman" w:hAnsi="Times New Roman"/>
        </w:rPr>
        <w:t xml:space="preserve">“Apologies for the delay in responding  to you. I have forwarded your email to the Section 4 bookings team and we will let you know once we have received an update on the client’s dispersal. Please let us know if there is anything else that we can help with in the meantime.”. </w:t>
      </w:r>
    </w:p>
    <w:p w14:paraId="144DF09F" w14:textId="77777777" w:rsidR="00EB0414" w:rsidRPr="00602F08" w:rsidRDefault="00EB0414" w:rsidP="00B6212D">
      <w:pPr>
        <w:widowControl w:val="0"/>
        <w:tabs>
          <w:tab w:val="left" w:pos="688"/>
        </w:tabs>
        <w:autoSpaceDE w:val="0"/>
        <w:autoSpaceDN w:val="0"/>
        <w:spacing w:before="11"/>
        <w:jc w:val="both"/>
      </w:pPr>
    </w:p>
    <w:p w14:paraId="5846234B" w14:textId="0BBF946A" w:rsidR="00DB2098"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On 23 August 2019 Refugee Action wrote</w:t>
      </w:r>
      <w:r w:rsidR="00E861BE" w:rsidRPr="00602F08">
        <w:rPr>
          <w:rFonts w:ascii="Times New Roman" w:hAnsi="Times New Roman"/>
        </w:rPr>
        <w:t xml:space="preserve"> by email</w:t>
      </w:r>
      <w:r w:rsidRPr="00602F08">
        <w:rPr>
          <w:rFonts w:ascii="Times New Roman" w:hAnsi="Times New Roman"/>
        </w:rPr>
        <w:t xml:space="preserve"> to </w:t>
      </w:r>
      <w:r w:rsidR="005467A0" w:rsidRPr="00602F08">
        <w:rPr>
          <w:rFonts w:ascii="Times New Roman" w:hAnsi="Times New Roman"/>
        </w:rPr>
        <w:t>the section 4 accommodation booking team at the Home Office and to</w:t>
      </w:r>
      <w:r w:rsidRPr="00602F08">
        <w:rPr>
          <w:rFonts w:ascii="Times New Roman" w:hAnsi="Times New Roman"/>
        </w:rPr>
        <w:t xml:space="preserve"> </w:t>
      </w:r>
      <w:r w:rsidR="00F74D44" w:rsidRPr="00602F08">
        <w:rPr>
          <w:rFonts w:ascii="Times New Roman" w:hAnsi="Times New Roman"/>
        </w:rPr>
        <w:t>Migrant</w:t>
      </w:r>
      <w:r w:rsidRPr="00602F08">
        <w:rPr>
          <w:rFonts w:ascii="Times New Roman" w:hAnsi="Times New Roman"/>
        </w:rPr>
        <w:t xml:space="preserve"> Help</w:t>
      </w:r>
      <w:r w:rsidR="00B61AA6" w:rsidRPr="00602F08">
        <w:rPr>
          <w:rFonts w:ascii="Times New Roman" w:hAnsi="Times New Roman"/>
        </w:rPr>
        <w:t xml:space="preserve"> as follows</w:t>
      </w:r>
      <w:r w:rsidR="005467A0" w:rsidRPr="00602F08">
        <w:rPr>
          <w:rFonts w:ascii="Times New Roman" w:hAnsi="Times New Roman"/>
        </w:rPr>
        <w:t>:</w:t>
      </w:r>
      <w:r w:rsidRPr="00602F08">
        <w:rPr>
          <w:rFonts w:ascii="Times New Roman" w:hAnsi="Times New Roman"/>
        </w:rPr>
        <w:t xml:space="preserve"> “… We have requested an </w:t>
      </w:r>
      <w:r w:rsidR="00F74D44" w:rsidRPr="00602F08">
        <w:rPr>
          <w:rFonts w:ascii="Times New Roman" w:hAnsi="Times New Roman"/>
        </w:rPr>
        <w:t>update</w:t>
      </w:r>
      <w:r w:rsidRPr="00602F08">
        <w:rPr>
          <w:rFonts w:ascii="Times New Roman" w:hAnsi="Times New Roman"/>
        </w:rPr>
        <w:t xml:space="preserve"> why she was not dispersed on 8</w:t>
      </w:r>
      <w:r w:rsidRPr="00602F08">
        <w:rPr>
          <w:rFonts w:ascii="Times New Roman" w:hAnsi="Times New Roman"/>
          <w:vertAlign w:val="superscript"/>
        </w:rPr>
        <w:t>th</w:t>
      </w:r>
      <w:r w:rsidRPr="00602F08">
        <w:rPr>
          <w:rFonts w:ascii="Times New Roman" w:hAnsi="Times New Roman"/>
        </w:rPr>
        <w:t xml:space="preserve"> August and there is still no update. Can you please provide an update on her dispersal”</w:t>
      </w:r>
      <w:r w:rsidR="006F6AB1" w:rsidRPr="00602F08">
        <w:rPr>
          <w:rFonts w:ascii="Times New Roman" w:hAnsi="Times New Roman"/>
        </w:rPr>
        <w:t>.</w:t>
      </w:r>
    </w:p>
    <w:p w14:paraId="163A5681" w14:textId="77777777" w:rsidR="00F72233" w:rsidRPr="00602F08" w:rsidRDefault="00F72233" w:rsidP="00B6212D">
      <w:pPr>
        <w:pStyle w:val="ListParagraph"/>
        <w:widowControl w:val="0"/>
        <w:tabs>
          <w:tab w:val="left" w:pos="688"/>
        </w:tabs>
        <w:autoSpaceDE w:val="0"/>
        <w:autoSpaceDN w:val="0"/>
        <w:spacing w:before="11"/>
        <w:ind w:left="687"/>
        <w:jc w:val="both"/>
        <w:rPr>
          <w:rFonts w:ascii="Times New Roman" w:hAnsi="Times New Roman"/>
        </w:rPr>
      </w:pPr>
    </w:p>
    <w:p w14:paraId="549AD344" w14:textId="4881CA40" w:rsidR="00F72233" w:rsidRPr="00602F08" w:rsidRDefault="00F72233"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No mention is made of these last </w:t>
      </w:r>
      <w:r w:rsidR="00E861BE" w:rsidRPr="00602F08">
        <w:rPr>
          <w:rFonts w:ascii="Times New Roman" w:hAnsi="Times New Roman"/>
        </w:rPr>
        <w:t>several</w:t>
      </w:r>
      <w:r w:rsidRPr="00602F08">
        <w:rPr>
          <w:rFonts w:ascii="Times New Roman" w:hAnsi="Times New Roman"/>
        </w:rPr>
        <w:t xml:space="preserve"> communications in </w:t>
      </w:r>
      <w:r w:rsidR="00E861BE" w:rsidRPr="00602F08">
        <w:rPr>
          <w:rFonts w:ascii="Times New Roman" w:hAnsi="Times New Roman"/>
        </w:rPr>
        <w:t xml:space="preserve">the </w:t>
      </w:r>
      <w:r w:rsidRPr="00602F08">
        <w:rPr>
          <w:rFonts w:ascii="Times New Roman" w:hAnsi="Times New Roman"/>
        </w:rPr>
        <w:t>Detailed Grounds of Defence served on behalf of the Secretary of State on 20 January 2020. The Detailed Grounds of Defence simply allege: “On 8 August 2019, ELN failed to travel as required.”</w:t>
      </w:r>
    </w:p>
    <w:p w14:paraId="39317E87" w14:textId="77777777" w:rsidR="00DB2098" w:rsidRPr="00602F08" w:rsidRDefault="00DB2098" w:rsidP="00B6212D">
      <w:pPr>
        <w:pStyle w:val="ListParagraph"/>
        <w:widowControl w:val="0"/>
        <w:tabs>
          <w:tab w:val="left" w:pos="688"/>
        </w:tabs>
        <w:autoSpaceDE w:val="0"/>
        <w:autoSpaceDN w:val="0"/>
        <w:spacing w:before="11"/>
        <w:ind w:left="687"/>
        <w:jc w:val="both"/>
        <w:rPr>
          <w:rFonts w:ascii="Times New Roman" w:hAnsi="Times New Roman"/>
        </w:rPr>
      </w:pPr>
    </w:p>
    <w:p w14:paraId="2D96FE13" w14:textId="4B3FBBDE" w:rsidR="00DB2098"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Th</w:t>
      </w:r>
      <w:r w:rsidR="00E861BE" w:rsidRPr="00602F08">
        <w:rPr>
          <w:rFonts w:ascii="Times New Roman" w:hAnsi="Times New Roman"/>
        </w:rPr>
        <w:t>e email</w:t>
      </w:r>
      <w:r w:rsidRPr="00602F08">
        <w:rPr>
          <w:rFonts w:ascii="Times New Roman" w:hAnsi="Times New Roman"/>
        </w:rPr>
        <w:t xml:space="preserve"> </w:t>
      </w:r>
      <w:r w:rsidR="00E861BE" w:rsidRPr="00602F08">
        <w:rPr>
          <w:rFonts w:ascii="Times New Roman" w:hAnsi="Times New Roman"/>
        </w:rPr>
        <w:t xml:space="preserve">from Refugee Action </w:t>
      </w:r>
      <w:r w:rsidRPr="00602F08">
        <w:rPr>
          <w:rFonts w:ascii="Times New Roman" w:hAnsi="Times New Roman"/>
        </w:rPr>
        <w:t>was at 1207</w:t>
      </w:r>
      <w:r w:rsidR="00E861BE" w:rsidRPr="00602F08">
        <w:rPr>
          <w:rFonts w:ascii="Times New Roman" w:hAnsi="Times New Roman"/>
        </w:rPr>
        <w:t xml:space="preserve"> hrs</w:t>
      </w:r>
      <w:r w:rsidR="00DB2098" w:rsidRPr="00602F08">
        <w:rPr>
          <w:rFonts w:ascii="Times New Roman" w:hAnsi="Times New Roman"/>
        </w:rPr>
        <w:t xml:space="preserve"> on 23 August</w:t>
      </w:r>
      <w:r w:rsidRPr="00602F08">
        <w:rPr>
          <w:rFonts w:ascii="Times New Roman" w:hAnsi="Times New Roman"/>
        </w:rPr>
        <w:t xml:space="preserve">. 13 minutes later </w:t>
      </w:r>
      <w:r w:rsidR="00DB2098" w:rsidRPr="00602F08">
        <w:rPr>
          <w:rFonts w:ascii="Times New Roman" w:hAnsi="Times New Roman"/>
        </w:rPr>
        <w:t xml:space="preserve">a </w:t>
      </w:r>
      <w:r w:rsidRPr="00602F08">
        <w:rPr>
          <w:rFonts w:ascii="Times New Roman" w:hAnsi="Times New Roman"/>
        </w:rPr>
        <w:t xml:space="preserve">Mr Michael Sellers of the “Section 4 National Team” at </w:t>
      </w:r>
      <w:r w:rsidR="00DB2098" w:rsidRPr="00602F08">
        <w:rPr>
          <w:rFonts w:ascii="Times New Roman" w:hAnsi="Times New Roman"/>
        </w:rPr>
        <w:t>the accommodation booking team</w:t>
      </w:r>
      <w:r w:rsidRPr="00602F08">
        <w:rPr>
          <w:rFonts w:ascii="Times New Roman" w:hAnsi="Times New Roman"/>
        </w:rPr>
        <w:t xml:space="preserve"> wrote</w:t>
      </w:r>
      <w:r w:rsidR="00DB2098" w:rsidRPr="00602F08">
        <w:rPr>
          <w:rFonts w:ascii="Times New Roman" w:hAnsi="Times New Roman"/>
        </w:rPr>
        <w:t xml:space="preserve"> simply:</w:t>
      </w:r>
      <w:r w:rsidRPr="00602F08">
        <w:rPr>
          <w:rFonts w:ascii="Times New Roman" w:hAnsi="Times New Roman"/>
        </w:rPr>
        <w:t xml:space="preserve"> </w:t>
      </w:r>
    </w:p>
    <w:p w14:paraId="149DE7BC" w14:textId="77777777" w:rsidR="00DB2098" w:rsidRPr="00602F08" w:rsidRDefault="00DB2098" w:rsidP="00B6212D">
      <w:pPr>
        <w:pStyle w:val="ListParagraph"/>
        <w:jc w:val="both"/>
        <w:rPr>
          <w:rFonts w:ascii="Times New Roman" w:hAnsi="Times New Roman"/>
        </w:rPr>
      </w:pPr>
    </w:p>
    <w:p w14:paraId="29CC563E" w14:textId="78C160B4" w:rsidR="00F6464C" w:rsidRPr="00602F08" w:rsidRDefault="00DB2098"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r>
      <w:r w:rsidR="005E474E" w:rsidRPr="00602F08">
        <w:rPr>
          <w:rFonts w:ascii="Times New Roman" w:hAnsi="Times New Roman"/>
        </w:rPr>
        <w:t>“The applicant has failed on 3 occasions 11/07/19, 08/08/19 and again o</w:t>
      </w:r>
      <w:r w:rsidRPr="00602F08">
        <w:rPr>
          <w:rFonts w:ascii="Times New Roman" w:hAnsi="Times New Roman"/>
        </w:rPr>
        <w:t>n</w:t>
      </w:r>
      <w:r w:rsidR="005E474E" w:rsidRPr="00602F08">
        <w:rPr>
          <w:rFonts w:ascii="Times New Roman" w:hAnsi="Times New Roman"/>
        </w:rPr>
        <w:t xml:space="preserve"> the 20/08/19. Due to the number of times the applicant has failed to travel her case has no</w:t>
      </w:r>
      <w:r w:rsidRPr="00602F08">
        <w:rPr>
          <w:rFonts w:ascii="Times New Roman" w:hAnsi="Times New Roman"/>
        </w:rPr>
        <w:t>t</w:t>
      </w:r>
      <w:r w:rsidR="005E474E" w:rsidRPr="00602F08">
        <w:rPr>
          <w:rFonts w:ascii="Times New Roman" w:hAnsi="Times New Roman"/>
        </w:rPr>
        <w:t xml:space="preserve"> been closed and she will have to reapply for Se</w:t>
      </w:r>
      <w:r w:rsidRPr="00602F08">
        <w:rPr>
          <w:rFonts w:ascii="Times New Roman" w:hAnsi="Times New Roman"/>
        </w:rPr>
        <w:t>c</w:t>
      </w:r>
      <w:r w:rsidR="005E474E" w:rsidRPr="00602F08">
        <w:rPr>
          <w:rFonts w:ascii="Times New Roman" w:hAnsi="Times New Roman"/>
        </w:rPr>
        <w:t xml:space="preserve">tion 4 support”. </w:t>
      </w:r>
    </w:p>
    <w:p w14:paraId="0E74A91D" w14:textId="77777777" w:rsidR="00F6464C" w:rsidRPr="00602F08" w:rsidRDefault="00F6464C" w:rsidP="00B6212D">
      <w:pPr>
        <w:pStyle w:val="ListParagraph"/>
        <w:widowControl w:val="0"/>
        <w:tabs>
          <w:tab w:val="left" w:pos="688"/>
        </w:tabs>
        <w:autoSpaceDE w:val="0"/>
        <w:autoSpaceDN w:val="0"/>
        <w:spacing w:before="11"/>
        <w:ind w:left="687"/>
        <w:jc w:val="both"/>
        <w:rPr>
          <w:rFonts w:ascii="Times New Roman" w:hAnsi="Times New Roman"/>
        </w:rPr>
      </w:pPr>
    </w:p>
    <w:p w14:paraId="1DC26E9C" w14:textId="471A07F9" w:rsidR="0049735A" w:rsidRPr="00602F08" w:rsidRDefault="00B769F5"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The Detailed Grounds of Defence </w:t>
      </w:r>
      <w:r w:rsidR="00017728" w:rsidRPr="00602F08">
        <w:rPr>
          <w:rFonts w:ascii="Times New Roman" w:hAnsi="Times New Roman"/>
        </w:rPr>
        <w:t xml:space="preserve">dated 20 August 2020 allege that on 20 August 2020 ELN was “recorded as not being at the collection point”. </w:t>
      </w:r>
      <w:r w:rsidR="00467F5D" w:rsidRPr="00602F08">
        <w:rPr>
          <w:rFonts w:ascii="Times New Roman" w:hAnsi="Times New Roman"/>
        </w:rPr>
        <w:t xml:space="preserve">Ms Bond makes clear “no further details provided”. </w:t>
      </w:r>
    </w:p>
    <w:p w14:paraId="4CB0C93A" w14:textId="77777777" w:rsidR="0049735A" w:rsidRPr="00602F08" w:rsidRDefault="0049735A" w:rsidP="00B6212D">
      <w:pPr>
        <w:pStyle w:val="ListParagraph"/>
        <w:widowControl w:val="0"/>
        <w:tabs>
          <w:tab w:val="left" w:pos="688"/>
        </w:tabs>
        <w:autoSpaceDE w:val="0"/>
        <w:autoSpaceDN w:val="0"/>
        <w:spacing w:before="11"/>
        <w:ind w:left="687"/>
        <w:jc w:val="both"/>
        <w:rPr>
          <w:rFonts w:ascii="Times New Roman" w:hAnsi="Times New Roman"/>
        </w:rPr>
      </w:pPr>
    </w:p>
    <w:p w14:paraId="120E250D" w14:textId="6AF60C2D" w:rsidR="0019710E"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In written submission</w:t>
      </w:r>
      <w:r w:rsidR="00DB2098" w:rsidRPr="00602F08">
        <w:rPr>
          <w:rFonts w:ascii="Times New Roman" w:hAnsi="Times New Roman"/>
        </w:rPr>
        <w:t xml:space="preserve">s on behalf of the Secretary of State </w:t>
      </w:r>
      <w:r w:rsidRPr="00602F08">
        <w:rPr>
          <w:rFonts w:ascii="Times New Roman" w:hAnsi="Times New Roman"/>
        </w:rPr>
        <w:t>it is said</w:t>
      </w:r>
      <w:r w:rsidR="00DB2098" w:rsidRPr="00602F08">
        <w:rPr>
          <w:rFonts w:ascii="Times New Roman" w:hAnsi="Times New Roman"/>
        </w:rPr>
        <w:t>:</w:t>
      </w:r>
      <w:r w:rsidRPr="00602F08">
        <w:rPr>
          <w:rFonts w:ascii="Times New Roman" w:hAnsi="Times New Roman"/>
        </w:rPr>
        <w:t xml:space="preserve"> “Notabl</w:t>
      </w:r>
      <w:r w:rsidR="00DB2098" w:rsidRPr="00602F08">
        <w:rPr>
          <w:rFonts w:ascii="Times New Roman" w:hAnsi="Times New Roman"/>
        </w:rPr>
        <w:t>y</w:t>
      </w:r>
      <w:r w:rsidRPr="00602F08">
        <w:rPr>
          <w:rFonts w:ascii="Times New Roman" w:hAnsi="Times New Roman"/>
        </w:rPr>
        <w:t xml:space="preserve">, ELN did not appeal this decision </w:t>
      </w:r>
      <w:r w:rsidR="002C4B89" w:rsidRPr="00602F08">
        <w:rPr>
          <w:rFonts w:ascii="Times New Roman" w:hAnsi="Times New Roman"/>
        </w:rPr>
        <w:t xml:space="preserve">[of Mr Sellers on behalf of the Secretary of State] </w:t>
      </w:r>
      <w:r w:rsidRPr="00602F08">
        <w:rPr>
          <w:rFonts w:ascii="Times New Roman" w:hAnsi="Times New Roman"/>
        </w:rPr>
        <w:t>to the First-</w:t>
      </w:r>
      <w:r w:rsidR="00F74D44" w:rsidRPr="00602F08">
        <w:rPr>
          <w:rFonts w:ascii="Times New Roman" w:hAnsi="Times New Roman"/>
        </w:rPr>
        <w:t>tier</w:t>
      </w:r>
      <w:r w:rsidRPr="00602F08">
        <w:rPr>
          <w:rFonts w:ascii="Times New Roman" w:hAnsi="Times New Roman"/>
        </w:rPr>
        <w:t xml:space="preserve"> </w:t>
      </w:r>
      <w:r w:rsidR="00F74D44" w:rsidRPr="00602F08">
        <w:rPr>
          <w:rFonts w:ascii="Times New Roman" w:hAnsi="Times New Roman"/>
        </w:rPr>
        <w:t>Tribunal</w:t>
      </w:r>
      <w:r w:rsidRPr="00602F08">
        <w:rPr>
          <w:rFonts w:ascii="Times New Roman" w:hAnsi="Times New Roman"/>
        </w:rPr>
        <w:t xml:space="preserve"> (Asylum Support)”</w:t>
      </w:r>
      <w:r w:rsidR="002C4B89" w:rsidRPr="00602F08">
        <w:rPr>
          <w:rFonts w:ascii="Times New Roman" w:hAnsi="Times New Roman"/>
        </w:rPr>
        <w:t>.</w:t>
      </w:r>
      <w:r w:rsidRPr="00602F08">
        <w:rPr>
          <w:rFonts w:ascii="Times New Roman" w:hAnsi="Times New Roman"/>
        </w:rPr>
        <w:t xml:space="preserve"> I do not find that notable</w:t>
      </w:r>
      <w:r w:rsidR="004E5089" w:rsidRPr="00602F08">
        <w:rPr>
          <w:rFonts w:ascii="Times New Roman" w:hAnsi="Times New Roman"/>
        </w:rPr>
        <w:t>, because</w:t>
      </w:r>
      <w:r w:rsidRPr="00602F08">
        <w:rPr>
          <w:rFonts w:ascii="Times New Roman" w:hAnsi="Times New Roman"/>
        </w:rPr>
        <w:t xml:space="preserve"> reapplication was </w:t>
      </w:r>
      <w:r w:rsidR="004E5089" w:rsidRPr="00602F08">
        <w:rPr>
          <w:rFonts w:ascii="Times New Roman" w:hAnsi="Times New Roman"/>
        </w:rPr>
        <w:t xml:space="preserve">expressly </w:t>
      </w:r>
      <w:r w:rsidRPr="00602F08">
        <w:rPr>
          <w:rFonts w:ascii="Times New Roman" w:hAnsi="Times New Roman"/>
        </w:rPr>
        <w:t>being indicated</w:t>
      </w:r>
      <w:r w:rsidR="00AA38E3" w:rsidRPr="00602F08">
        <w:rPr>
          <w:rFonts w:ascii="Times New Roman" w:hAnsi="Times New Roman"/>
        </w:rPr>
        <w:t>. S</w:t>
      </w:r>
      <w:r w:rsidRPr="00602F08">
        <w:rPr>
          <w:rFonts w:ascii="Times New Roman" w:hAnsi="Times New Roman"/>
        </w:rPr>
        <w:t>tarting tribunal proceedings</w:t>
      </w:r>
      <w:r w:rsidR="00AA38E3" w:rsidRPr="00602F08">
        <w:rPr>
          <w:rFonts w:ascii="Times New Roman" w:hAnsi="Times New Roman"/>
        </w:rPr>
        <w:t xml:space="preserve"> would involve delay and cost</w:t>
      </w:r>
      <w:r w:rsidRPr="00602F08">
        <w:rPr>
          <w:rFonts w:ascii="Times New Roman" w:hAnsi="Times New Roman"/>
        </w:rPr>
        <w:t xml:space="preserve">. </w:t>
      </w:r>
    </w:p>
    <w:p w14:paraId="43B0194C" w14:textId="77777777" w:rsidR="0019710E" w:rsidRPr="00602F08" w:rsidRDefault="0019710E" w:rsidP="00B6212D">
      <w:pPr>
        <w:pStyle w:val="ListParagraph"/>
        <w:jc w:val="both"/>
        <w:rPr>
          <w:rFonts w:ascii="Times New Roman" w:hAnsi="Times New Roman"/>
        </w:rPr>
      </w:pPr>
    </w:p>
    <w:p w14:paraId="4EED3C95" w14:textId="1710F157" w:rsidR="005E474E"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By email of 28 August </w:t>
      </w:r>
      <w:r w:rsidR="008C64A8" w:rsidRPr="00602F08">
        <w:rPr>
          <w:rFonts w:ascii="Times New Roman" w:hAnsi="Times New Roman"/>
        </w:rPr>
        <w:t xml:space="preserve">2019 </w:t>
      </w:r>
      <w:r w:rsidRPr="00602F08">
        <w:rPr>
          <w:rFonts w:ascii="Times New Roman" w:hAnsi="Times New Roman"/>
        </w:rPr>
        <w:t>Refugee Action submitted the reapplication explaining:</w:t>
      </w:r>
    </w:p>
    <w:p w14:paraId="00074CDC" w14:textId="77777777" w:rsidR="00CD19BD" w:rsidRPr="00602F08" w:rsidRDefault="00CD19BD" w:rsidP="00B6212D">
      <w:pPr>
        <w:widowControl w:val="0"/>
        <w:tabs>
          <w:tab w:val="left" w:pos="688"/>
        </w:tabs>
        <w:autoSpaceDE w:val="0"/>
        <w:autoSpaceDN w:val="0"/>
        <w:spacing w:before="11"/>
        <w:jc w:val="both"/>
      </w:pPr>
    </w:p>
    <w:p w14:paraId="108258EB" w14:textId="56BD32B3" w:rsidR="005E474E" w:rsidRPr="00602F08" w:rsidRDefault="00CD19BD"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r>
      <w:r w:rsidR="005E474E" w:rsidRPr="00602F08">
        <w:rPr>
          <w:rFonts w:ascii="Times New Roman" w:hAnsi="Times New Roman"/>
        </w:rPr>
        <w:t>“[ELN] has previously been approved for section 4 support on 1</w:t>
      </w:r>
      <w:r w:rsidR="005E474E" w:rsidRPr="00602F08">
        <w:rPr>
          <w:rFonts w:ascii="Times New Roman" w:hAnsi="Times New Roman"/>
          <w:vertAlign w:val="superscript"/>
        </w:rPr>
        <w:t>st</w:t>
      </w:r>
      <w:r w:rsidR="005E474E" w:rsidRPr="00602F08">
        <w:rPr>
          <w:rFonts w:ascii="Times New Roman" w:hAnsi="Times New Roman"/>
        </w:rPr>
        <w:t xml:space="preserve"> July 2019, however section 4 team have requested that she re-apply due to missing her dispersal on three occasions. On 11/07/2019 she was unable to be dispersed as she was at her reporting event. We requested a rearrangement of her dispersal and were informed that it would be arranged for 08/08/2019. On this date she waited at her pick up address all day and was not contacted or picked up by Ser</w:t>
      </w:r>
      <w:r w:rsidRPr="00602F08">
        <w:rPr>
          <w:rFonts w:ascii="Times New Roman" w:hAnsi="Times New Roman"/>
        </w:rPr>
        <w:t>co</w:t>
      </w:r>
      <w:r w:rsidR="005E474E" w:rsidRPr="00602F08">
        <w:rPr>
          <w:rFonts w:ascii="Times New Roman" w:hAnsi="Times New Roman"/>
        </w:rPr>
        <w:t>, we contacted Section 4 booking team on this date to check if she was st</w:t>
      </w:r>
      <w:r w:rsidRPr="00602F08">
        <w:rPr>
          <w:rFonts w:ascii="Times New Roman" w:hAnsi="Times New Roman"/>
        </w:rPr>
        <w:t>i</w:t>
      </w:r>
      <w:r w:rsidR="005E474E" w:rsidRPr="00602F08">
        <w:rPr>
          <w:rFonts w:ascii="Times New Roman" w:hAnsi="Times New Roman"/>
        </w:rPr>
        <w:t>ll due to be dispersed as she had not been contacted by the accommodation providers, we received no response. When we requested an update on her dispersal we were informed that she also missed her travel on 20/08/19 how</w:t>
      </w:r>
      <w:r w:rsidRPr="00602F08">
        <w:rPr>
          <w:rFonts w:ascii="Times New Roman" w:hAnsi="Times New Roman"/>
        </w:rPr>
        <w:t>e</w:t>
      </w:r>
      <w:r w:rsidR="005E474E" w:rsidRPr="00602F08">
        <w:rPr>
          <w:rFonts w:ascii="Times New Roman" w:hAnsi="Times New Roman"/>
        </w:rPr>
        <w:t xml:space="preserve">ver, no one had informed us or the client that </w:t>
      </w:r>
      <w:r w:rsidRPr="00602F08">
        <w:rPr>
          <w:rFonts w:ascii="Times New Roman" w:hAnsi="Times New Roman"/>
        </w:rPr>
        <w:t>sh</w:t>
      </w:r>
      <w:r w:rsidR="005E474E" w:rsidRPr="00602F08">
        <w:rPr>
          <w:rFonts w:ascii="Times New Roman" w:hAnsi="Times New Roman"/>
        </w:rPr>
        <w:t xml:space="preserve">e was due to be dispersed on this date. She has been </w:t>
      </w:r>
      <w:r w:rsidRPr="00602F08">
        <w:rPr>
          <w:rFonts w:ascii="Times New Roman" w:hAnsi="Times New Roman"/>
        </w:rPr>
        <w:t>w</w:t>
      </w:r>
      <w:r w:rsidR="005E474E" w:rsidRPr="00602F08">
        <w:rPr>
          <w:rFonts w:ascii="Times New Roman" w:hAnsi="Times New Roman"/>
        </w:rPr>
        <w:t xml:space="preserve">aiting at the house to be </w:t>
      </w:r>
      <w:r w:rsidRPr="00602F08">
        <w:rPr>
          <w:rFonts w:ascii="Times New Roman" w:hAnsi="Times New Roman"/>
        </w:rPr>
        <w:t>c</w:t>
      </w:r>
      <w:r w:rsidR="005E474E" w:rsidRPr="00602F08">
        <w:rPr>
          <w:rFonts w:ascii="Times New Roman" w:hAnsi="Times New Roman"/>
        </w:rPr>
        <w:t>ontacted and dispersed as she is anxious not to miss her travel.</w:t>
      </w:r>
      <w:r w:rsidRPr="00602F08">
        <w:rPr>
          <w:rFonts w:ascii="Times New Roman" w:hAnsi="Times New Roman"/>
        </w:rPr>
        <w:t xml:space="preserve"> </w:t>
      </w:r>
      <w:r w:rsidR="005E474E" w:rsidRPr="00602F08">
        <w:rPr>
          <w:rFonts w:ascii="Times New Roman" w:hAnsi="Times New Roman"/>
        </w:rPr>
        <w:t>We are submitting ap</w:t>
      </w:r>
      <w:r w:rsidRPr="00602F08">
        <w:rPr>
          <w:rFonts w:ascii="Times New Roman" w:hAnsi="Times New Roman"/>
        </w:rPr>
        <w:t>p</w:t>
      </w:r>
      <w:r w:rsidR="005E474E" w:rsidRPr="00602F08">
        <w:rPr>
          <w:rFonts w:ascii="Times New Roman" w:hAnsi="Times New Roman"/>
        </w:rPr>
        <w:t>licat</w:t>
      </w:r>
      <w:r w:rsidRPr="00602F08">
        <w:rPr>
          <w:rFonts w:ascii="Times New Roman" w:hAnsi="Times New Roman"/>
        </w:rPr>
        <w:t>i</w:t>
      </w:r>
      <w:r w:rsidR="005E474E" w:rsidRPr="00602F08">
        <w:rPr>
          <w:rFonts w:ascii="Times New Roman" w:hAnsi="Times New Roman"/>
        </w:rPr>
        <w:t xml:space="preserve">on again, but do not think that it has been the client’s </w:t>
      </w:r>
      <w:r w:rsidRPr="00602F08">
        <w:rPr>
          <w:rFonts w:ascii="Times New Roman" w:hAnsi="Times New Roman"/>
        </w:rPr>
        <w:t>fault</w:t>
      </w:r>
      <w:r w:rsidR="005E474E" w:rsidRPr="00602F08">
        <w:rPr>
          <w:rFonts w:ascii="Times New Roman" w:hAnsi="Times New Roman"/>
        </w:rPr>
        <w:t xml:space="preserve"> that the </w:t>
      </w:r>
      <w:r w:rsidR="00F74D44" w:rsidRPr="00602F08">
        <w:rPr>
          <w:rFonts w:ascii="Times New Roman" w:hAnsi="Times New Roman"/>
        </w:rPr>
        <w:t>dispersal</w:t>
      </w:r>
      <w:r w:rsidR="005E474E" w:rsidRPr="00602F08">
        <w:rPr>
          <w:rFonts w:ascii="Times New Roman" w:hAnsi="Times New Roman"/>
        </w:rPr>
        <w:t xml:space="preserve"> was missed. … she should not have to re-apply for the support that </w:t>
      </w:r>
      <w:r w:rsidRPr="00602F08">
        <w:rPr>
          <w:rFonts w:ascii="Times New Roman" w:hAnsi="Times New Roman"/>
        </w:rPr>
        <w:t>she</w:t>
      </w:r>
      <w:r w:rsidR="005E474E" w:rsidRPr="00602F08">
        <w:rPr>
          <w:rFonts w:ascii="Times New Roman" w:hAnsi="Times New Roman"/>
        </w:rPr>
        <w:t xml:space="preserve"> urgently needs and has been approved for, due to the failings of the accommodation providers”</w:t>
      </w:r>
    </w:p>
    <w:p w14:paraId="14E9F934" w14:textId="77777777" w:rsidR="00115F98" w:rsidRPr="00602F08" w:rsidRDefault="00115F98" w:rsidP="00B6212D">
      <w:pPr>
        <w:widowControl w:val="0"/>
        <w:tabs>
          <w:tab w:val="left" w:pos="688"/>
        </w:tabs>
        <w:autoSpaceDE w:val="0"/>
        <w:autoSpaceDN w:val="0"/>
        <w:spacing w:before="11"/>
        <w:jc w:val="both"/>
      </w:pPr>
    </w:p>
    <w:p w14:paraId="05587157" w14:textId="1D853FD4" w:rsidR="00CB050A"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The re-</w:t>
      </w:r>
      <w:r w:rsidR="00F74D44" w:rsidRPr="00602F08">
        <w:rPr>
          <w:rFonts w:ascii="Times New Roman" w:hAnsi="Times New Roman"/>
        </w:rPr>
        <w:t>application</w:t>
      </w:r>
      <w:r w:rsidRPr="00602F08">
        <w:rPr>
          <w:rFonts w:ascii="Times New Roman" w:hAnsi="Times New Roman"/>
        </w:rPr>
        <w:t xml:space="preserve"> was granted on 10 September</w:t>
      </w:r>
      <w:r w:rsidR="003E24F7" w:rsidRPr="00602F08">
        <w:rPr>
          <w:rFonts w:ascii="Times New Roman" w:hAnsi="Times New Roman"/>
        </w:rPr>
        <w:t xml:space="preserve">. </w:t>
      </w:r>
      <w:r w:rsidRPr="00602F08">
        <w:rPr>
          <w:rFonts w:ascii="Times New Roman" w:hAnsi="Times New Roman"/>
        </w:rPr>
        <w:t>On 1 October 2019 Refugee Action wr</w:t>
      </w:r>
      <w:r w:rsidR="00FD6F04" w:rsidRPr="00602F08">
        <w:rPr>
          <w:rFonts w:ascii="Times New Roman" w:hAnsi="Times New Roman"/>
        </w:rPr>
        <w:t>o</w:t>
      </w:r>
      <w:r w:rsidRPr="00602F08">
        <w:rPr>
          <w:rFonts w:ascii="Times New Roman" w:hAnsi="Times New Roman"/>
        </w:rPr>
        <w:t xml:space="preserve">te to </w:t>
      </w:r>
      <w:r w:rsidR="00FD6F04" w:rsidRPr="00602F08">
        <w:rPr>
          <w:rFonts w:ascii="Times New Roman" w:hAnsi="Times New Roman"/>
        </w:rPr>
        <w:t xml:space="preserve">the </w:t>
      </w:r>
      <w:r w:rsidRPr="00602F08">
        <w:rPr>
          <w:rFonts w:ascii="Times New Roman" w:hAnsi="Times New Roman"/>
        </w:rPr>
        <w:t>s</w:t>
      </w:r>
      <w:r w:rsidR="00FD6F04" w:rsidRPr="00602F08">
        <w:rPr>
          <w:rFonts w:ascii="Times New Roman" w:hAnsi="Times New Roman"/>
        </w:rPr>
        <w:t xml:space="preserve">ection 4 </w:t>
      </w:r>
      <w:r w:rsidRPr="00602F08">
        <w:rPr>
          <w:rFonts w:ascii="Times New Roman" w:hAnsi="Times New Roman"/>
        </w:rPr>
        <w:t>a</w:t>
      </w:r>
      <w:r w:rsidR="00FD6F04" w:rsidRPr="00602F08">
        <w:rPr>
          <w:rFonts w:ascii="Times New Roman" w:hAnsi="Times New Roman"/>
        </w:rPr>
        <w:t>ccommodation booking team</w:t>
      </w:r>
      <w:r w:rsidRPr="00602F08">
        <w:rPr>
          <w:rFonts w:ascii="Times New Roman" w:hAnsi="Times New Roman"/>
        </w:rPr>
        <w:t xml:space="preserve"> </w:t>
      </w:r>
      <w:r w:rsidR="00FD6F04" w:rsidRPr="00602F08">
        <w:rPr>
          <w:rFonts w:ascii="Times New Roman" w:hAnsi="Times New Roman"/>
        </w:rPr>
        <w:t xml:space="preserve">at the Home Office </w:t>
      </w:r>
      <w:r w:rsidRPr="00602F08">
        <w:rPr>
          <w:rFonts w:ascii="Times New Roman" w:hAnsi="Times New Roman"/>
        </w:rPr>
        <w:t xml:space="preserve">and </w:t>
      </w:r>
      <w:r w:rsidR="00FD6F04" w:rsidRPr="00602F08">
        <w:rPr>
          <w:rFonts w:ascii="Times New Roman" w:hAnsi="Times New Roman"/>
        </w:rPr>
        <w:t xml:space="preserve">to </w:t>
      </w:r>
      <w:r w:rsidRPr="00602F08">
        <w:rPr>
          <w:rFonts w:ascii="Times New Roman" w:hAnsi="Times New Roman"/>
        </w:rPr>
        <w:t>Serco “to request an update</w:t>
      </w:r>
      <w:r w:rsidR="00FD6F04" w:rsidRPr="00602F08">
        <w:rPr>
          <w:rFonts w:ascii="Times New Roman" w:hAnsi="Times New Roman"/>
        </w:rPr>
        <w:t>”</w:t>
      </w:r>
      <w:r w:rsidRPr="00602F08">
        <w:rPr>
          <w:rFonts w:ascii="Times New Roman" w:hAnsi="Times New Roman"/>
        </w:rPr>
        <w:t xml:space="preserve">. A reply </w:t>
      </w:r>
      <w:r w:rsidR="009C3097" w:rsidRPr="00602F08">
        <w:rPr>
          <w:rFonts w:ascii="Times New Roman" w:hAnsi="Times New Roman"/>
        </w:rPr>
        <w:t xml:space="preserve">on </w:t>
      </w:r>
      <w:r w:rsidRPr="00602F08">
        <w:rPr>
          <w:rFonts w:ascii="Times New Roman" w:hAnsi="Times New Roman"/>
        </w:rPr>
        <w:t xml:space="preserve">the same date from </w:t>
      </w:r>
      <w:r w:rsidR="00FD6F04" w:rsidRPr="00602F08">
        <w:rPr>
          <w:rFonts w:ascii="Times New Roman" w:hAnsi="Times New Roman"/>
        </w:rPr>
        <w:t>the accommodation booking team</w:t>
      </w:r>
      <w:r w:rsidRPr="00602F08">
        <w:rPr>
          <w:rFonts w:ascii="Times New Roman" w:hAnsi="Times New Roman"/>
        </w:rPr>
        <w:t xml:space="preserve"> read simply</w:t>
      </w:r>
      <w:r w:rsidR="00CB050A" w:rsidRPr="00602F08">
        <w:rPr>
          <w:rFonts w:ascii="Times New Roman" w:hAnsi="Times New Roman"/>
        </w:rPr>
        <w:t>:</w:t>
      </w:r>
    </w:p>
    <w:p w14:paraId="1218FC05" w14:textId="77777777" w:rsidR="00CB050A" w:rsidRPr="00602F08" w:rsidRDefault="00CB050A" w:rsidP="00B6212D">
      <w:pPr>
        <w:pStyle w:val="ListParagraph"/>
        <w:widowControl w:val="0"/>
        <w:tabs>
          <w:tab w:val="left" w:pos="688"/>
        </w:tabs>
        <w:autoSpaceDE w:val="0"/>
        <w:autoSpaceDN w:val="0"/>
        <w:spacing w:before="11"/>
        <w:ind w:left="687"/>
        <w:jc w:val="both"/>
        <w:rPr>
          <w:rFonts w:ascii="Times New Roman" w:hAnsi="Times New Roman"/>
        </w:rPr>
      </w:pPr>
    </w:p>
    <w:p w14:paraId="08940CBF" w14:textId="3DA2043B" w:rsidR="00CB050A" w:rsidRPr="00602F08" w:rsidRDefault="00CB050A"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r>
      <w:r w:rsidR="005E474E" w:rsidRPr="00602F08">
        <w:rPr>
          <w:rFonts w:ascii="Times New Roman" w:hAnsi="Times New Roman"/>
        </w:rPr>
        <w:t xml:space="preserve">“The applicant is set as Failed to travel please provide explanation for applicant not being at collection point.” </w:t>
      </w:r>
    </w:p>
    <w:p w14:paraId="1A1CB2F3" w14:textId="77777777" w:rsidR="00CB050A" w:rsidRPr="00602F08" w:rsidRDefault="00CB050A" w:rsidP="00B6212D">
      <w:pPr>
        <w:pStyle w:val="ListParagraph"/>
        <w:widowControl w:val="0"/>
        <w:tabs>
          <w:tab w:val="left" w:pos="688"/>
        </w:tabs>
        <w:autoSpaceDE w:val="0"/>
        <w:autoSpaceDN w:val="0"/>
        <w:spacing w:before="11"/>
        <w:ind w:left="687"/>
        <w:jc w:val="both"/>
        <w:rPr>
          <w:rFonts w:ascii="Times New Roman" w:hAnsi="Times New Roman"/>
        </w:rPr>
      </w:pPr>
    </w:p>
    <w:p w14:paraId="3C06E9BE" w14:textId="3D81A4A6" w:rsidR="00B151B7" w:rsidRPr="00602F08" w:rsidRDefault="00C86F9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The Detailed Grounds of Defence allege that on 20 September ELN failed to travel; that Serco’s driver attended but ELN was not present and not contactable by phone. </w:t>
      </w:r>
      <w:r w:rsidR="00B151B7" w:rsidRPr="00602F08">
        <w:rPr>
          <w:rFonts w:ascii="Times New Roman" w:hAnsi="Times New Roman"/>
        </w:rPr>
        <w:t xml:space="preserve">A questionnaire has been disclosed on behalf of the Secretary of State which lists ELN as informed of dispersal on 16 Sept 2019 by telephone for 20 September and notes: “Comments from transport – SU isn’t at the property. Won’t be back until later on this afternoon”. </w:t>
      </w:r>
    </w:p>
    <w:p w14:paraId="31964DD8" w14:textId="77777777" w:rsidR="00B151B7" w:rsidRPr="00602F08" w:rsidRDefault="00B151B7" w:rsidP="00B6212D">
      <w:pPr>
        <w:pStyle w:val="ListParagraph"/>
        <w:widowControl w:val="0"/>
        <w:tabs>
          <w:tab w:val="left" w:pos="688"/>
        </w:tabs>
        <w:autoSpaceDE w:val="0"/>
        <w:autoSpaceDN w:val="0"/>
        <w:spacing w:before="11"/>
        <w:ind w:left="687"/>
        <w:jc w:val="both"/>
        <w:rPr>
          <w:rFonts w:ascii="Times New Roman" w:hAnsi="Times New Roman"/>
        </w:rPr>
      </w:pPr>
    </w:p>
    <w:p w14:paraId="7399D98E" w14:textId="7041E760" w:rsidR="005E474E"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Refug</w:t>
      </w:r>
      <w:r w:rsidR="00CB050A" w:rsidRPr="00602F08">
        <w:rPr>
          <w:rFonts w:ascii="Times New Roman" w:hAnsi="Times New Roman"/>
        </w:rPr>
        <w:t>e</w:t>
      </w:r>
      <w:r w:rsidRPr="00602F08">
        <w:rPr>
          <w:rFonts w:ascii="Times New Roman" w:hAnsi="Times New Roman"/>
        </w:rPr>
        <w:t xml:space="preserve">e Action </w:t>
      </w:r>
      <w:r w:rsidR="000C0CD3" w:rsidRPr="00602F08">
        <w:rPr>
          <w:rFonts w:ascii="Times New Roman" w:hAnsi="Times New Roman"/>
        </w:rPr>
        <w:t xml:space="preserve">addressed this on 2 October </w:t>
      </w:r>
      <w:r w:rsidR="00C23080" w:rsidRPr="00602F08">
        <w:rPr>
          <w:rFonts w:ascii="Times New Roman" w:hAnsi="Times New Roman"/>
        </w:rPr>
        <w:t>2019 the day after hearing of the allegation. They said</w:t>
      </w:r>
      <w:r w:rsidRPr="00602F08">
        <w:rPr>
          <w:rFonts w:ascii="Times New Roman" w:hAnsi="Times New Roman"/>
        </w:rPr>
        <w:t>:</w:t>
      </w:r>
    </w:p>
    <w:p w14:paraId="104E96A3" w14:textId="77777777" w:rsidR="00CB050A" w:rsidRPr="00602F08" w:rsidRDefault="00CB050A" w:rsidP="00B6212D">
      <w:pPr>
        <w:pStyle w:val="ListParagraph"/>
        <w:widowControl w:val="0"/>
        <w:tabs>
          <w:tab w:val="left" w:pos="688"/>
        </w:tabs>
        <w:autoSpaceDE w:val="0"/>
        <w:autoSpaceDN w:val="0"/>
        <w:spacing w:before="11"/>
        <w:ind w:left="687"/>
        <w:jc w:val="both"/>
        <w:rPr>
          <w:rFonts w:ascii="Times New Roman" w:hAnsi="Times New Roman"/>
        </w:rPr>
      </w:pPr>
    </w:p>
    <w:p w14:paraId="0D509D0A" w14:textId="76C84349" w:rsidR="00385387" w:rsidRPr="00602F08" w:rsidRDefault="00CB050A"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r>
      <w:r w:rsidR="005E474E" w:rsidRPr="00602F08">
        <w:rPr>
          <w:rFonts w:ascii="Times New Roman" w:hAnsi="Times New Roman"/>
        </w:rPr>
        <w:t>“We have contacted the client and she has confirmed that she was never contacted by the accommodation provider and informed to be ready for the pickup. She doe</w:t>
      </w:r>
      <w:r w:rsidRPr="00602F08">
        <w:rPr>
          <w:rFonts w:ascii="Times New Roman" w:hAnsi="Times New Roman"/>
        </w:rPr>
        <w:t>s</w:t>
      </w:r>
      <w:r w:rsidR="005E474E" w:rsidRPr="00602F08">
        <w:rPr>
          <w:rFonts w:ascii="Times New Roman" w:hAnsi="Times New Roman"/>
        </w:rPr>
        <w:t>n</w:t>
      </w:r>
      <w:r w:rsidRPr="00602F08">
        <w:rPr>
          <w:rFonts w:ascii="Times New Roman" w:hAnsi="Times New Roman"/>
        </w:rPr>
        <w:t>’</w:t>
      </w:r>
      <w:r w:rsidR="005E474E" w:rsidRPr="00602F08">
        <w:rPr>
          <w:rFonts w:ascii="Times New Roman" w:hAnsi="Times New Roman"/>
        </w:rPr>
        <w:t>t even know when she was supposed to be dispersed.</w:t>
      </w:r>
      <w:r w:rsidR="008D6E70" w:rsidRPr="00602F08">
        <w:rPr>
          <w:rFonts w:ascii="Times New Roman" w:hAnsi="Times New Roman"/>
        </w:rPr>
        <w:t xml:space="preserve"> …</w:t>
      </w:r>
      <w:r w:rsidR="005E474E" w:rsidRPr="00602F08">
        <w:rPr>
          <w:rFonts w:ascii="Times New Roman" w:hAnsi="Times New Roman"/>
        </w:rPr>
        <w:t>”</w:t>
      </w:r>
    </w:p>
    <w:p w14:paraId="799FE25B" w14:textId="77777777" w:rsidR="00115F98" w:rsidRPr="00602F08" w:rsidRDefault="00115F98" w:rsidP="00B6212D">
      <w:pPr>
        <w:widowControl w:val="0"/>
        <w:tabs>
          <w:tab w:val="left" w:pos="688"/>
        </w:tabs>
        <w:autoSpaceDE w:val="0"/>
        <w:autoSpaceDN w:val="0"/>
        <w:spacing w:before="11"/>
        <w:jc w:val="both"/>
      </w:pPr>
    </w:p>
    <w:p w14:paraId="78F93064" w14:textId="7C568D26" w:rsidR="00E716B1" w:rsidRPr="00602F08" w:rsidRDefault="005E474E"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ELN</w:t>
      </w:r>
      <w:r w:rsidR="009C386B" w:rsidRPr="00602F08">
        <w:rPr>
          <w:rFonts w:ascii="Times New Roman" w:hAnsi="Times New Roman"/>
        </w:rPr>
        <w:t xml:space="preserve"> </w:t>
      </w:r>
      <w:r w:rsidR="00B151B7" w:rsidRPr="00602F08">
        <w:rPr>
          <w:rFonts w:ascii="Times New Roman" w:hAnsi="Times New Roman"/>
        </w:rPr>
        <w:t xml:space="preserve">herself </w:t>
      </w:r>
      <w:r w:rsidR="009C386B" w:rsidRPr="00602F08">
        <w:rPr>
          <w:rFonts w:ascii="Times New Roman" w:hAnsi="Times New Roman"/>
        </w:rPr>
        <w:t>made a witness statement</w:t>
      </w:r>
      <w:r w:rsidRPr="00602F08">
        <w:rPr>
          <w:rFonts w:ascii="Times New Roman" w:hAnsi="Times New Roman"/>
        </w:rPr>
        <w:t xml:space="preserve"> </w:t>
      </w:r>
      <w:r w:rsidR="00B151B7" w:rsidRPr="00602F08">
        <w:rPr>
          <w:rFonts w:ascii="Times New Roman" w:hAnsi="Times New Roman"/>
        </w:rPr>
        <w:t>(</w:t>
      </w:r>
      <w:r w:rsidRPr="00602F08">
        <w:rPr>
          <w:rFonts w:ascii="Times New Roman" w:hAnsi="Times New Roman"/>
        </w:rPr>
        <w:t>on 14 October 2019</w:t>
      </w:r>
      <w:r w:rsidR="00B151B7" w:rsidRPr="00602F08">
        <w:rPr>
          <w:rFonts w:ascii="Times New Roman" w:hAnsi="Times New Roman"/>
        </w:rPr>
        <w:t>)</w:t>
      </w:r>
      <w:r w:rsidRPr="00602F08">
        <w:rPr>
          <w:rFonts w:ascii="Times New Roman" w:hAnsi="Times New Roman"/>
        </w:rPr>
        <w:t xml:space="preserve"> </w:t>
      </w:r>
      <w:r w:rsidR="00B151B7" w:rsidRPr="00602F08">
        <w:rPr>
          <w:rFonts w:ascii="Times New Roman" w:hAnsi="Times New Roman"/>
        </w:rPr>
        <w:t xml:space="preserve">and her evidence </w:t>
      </w:r>
      <w:r w:rsidR="00FA2664" w:rsidRPr="00602F08">
        <w:rPr>
          <w:rFonts w:ascii="Times New Roman" w:hAnsi="Times New Roman"/>
        </w:rPr>
        <w:t xml:space="preserve">was </w:t>
      </w:r>
      <w:r w:rsidRPr="00602F08">
        <w:rPr>
          <w:rFonts w:ascii="Times New Roman" w:hAnsi="Times New Roman"/>
        </w:rPr>
        <w:t>that</w:t>
      </w:r>
      <w:r w:rsidR="00157488" w:rsidRPr="00602F08">
        <w:rPr>
          <w:rFonts w:ascii="Times New Roman" w:hAnsi="Times New Roman"/>
        </w:rPr>
        <w:t xml:space="preserve"> </w:t>
      </w:r>
      <w:r w:rsidRPr="00602F08">
        <w:rPr>
          <w:rFonts w:ascii="Times New Roman" w:hAnsi="Times New Roman"/>
        </w:rPr>
        <w:t>“</w:t>
      </w:r>
      <w:r w:rsidR="00FA2664" w:rsidRPr="00602F08">
        <w:rPr>
          <w:rFonts w:ascii="Times New Roman" w:hAnsi="Times New Roman"/>
        </w:rPr>
        <w:t xml:space="preserve">… </w:t>
      </w:r>
      <w:r w:rsidRPr="00602F08">
        <w:rPr>
          <w:rFonts w:ascii="Times New Roman" w:hAnsi="Times New Roman"/>
        </w:rPr>
        <w:t>about a week or so ago, I was called one morning, and advised that someone was picking me up in 10 m</w:t>
      </w:r>
      <w:r w:rsidR="00FA2664" w:rsidRPr="00602F08">
        <w:rPr>
          <w:rFonts w:ascii="Times New Roman" w:hAnsi="Times New Roman"/>
        </w:rPr>
        <w:t>i</w:t>
      </w:r>
      <w:r w:rsidRPr="00602F08">
        <w:rPr>
          <w:rFonts w:ascii="Times New Roman" w:hAnsi="Times New Roman"/>
        </w:rPr>
        <w:t>nutes.” She</w:t>
      </w:r>
      <w:r w:rsidR="00555AF4" w:rsidRPr="00602F08">
        <w:rPr>
          <w:rFonts w:ascii="Times New Roman" w:hAnsi="Times New Roman"/>
        </w:rPr>
        <w:t xml:space="preserve"> explained she</w:t>
      </w:r>
      <w:r w:rsidRPr="00602F08">
        <w:rPr>
          <w:rFonts w:ascii="Times New Roman" w:hAnsi="Times New Roman"/>
        </w:rPr>
        <w:t xml:space="preserve"> was on her way to collect medicine and could not ret</w:t>
      </w:r>
      <w:r w:rsidR="00555AF4" w:rsidRPr="00602F08">
        <w:rPr>
          <w:rFonts w:ascii="Times New Roman" w:hAnsi="Times New Roman"/>
        </w:rPr>
        <w:t>u</w:t>
      </w:r>
      <w:r w:rsidRPr="00602F08">
        <w:rPr>
          <w:rFonts w:ascii="Times New Roman" w:hAnsi="Times New Roman"/>
        </w:rPr>
        <w:t>rn in time</w:t>
      </w:r>
      <w:r w:rsidR="00555AF4" w:rsidRPr="00602F08">
        <w:rPr>
          <w:rFonts w:ascii="Times New Roman" w:hAnsi="Times New Roman"/>
        </w:rPr>
        <w:t>. T</w:t>
      </w:r>
      <w:r w:rsidRPr="00602F08">
        <w:rPr>
          <w:rFonts w:ascii="Times New Roman" w:hAnsi="Times New Roman"/>
        </w:rPr>
        <w:t xml:space="preserve">he caller </w:t>
      </w:r>
      <w:r w:rsidR="00555AF4" w:rsidRPr="00602F08">
        <w:rPr>
          <w:rFonts w:ascii="Times New Roman" w:hAnsi="Times New Roman"/>
        </w:rPr>
        <w:t xml:space="preserve">advised he </w:t>
      </w:r>
      <w:r w:rsidRPr="00602F08">
        <w:rPr>
          <w:rFonts w:ascii="Times New Roman" w:hAnsi="Times New Roman"/>
        </w:rPr>
        <w:t xml:space="preserve">could not wait.  </w:t>
      </w:r>
    </w:p>
    <w:p w14:paraId="6106A0ED" w14:textId="77777777" w:rsidR="00E716B1" w:rsidRPr="00602F08" w:rsidRDefault="00E716B1" w:rsidP="00B6212D">
      <w:pPr>
        <w:pStyle w:val="ListParagraph"/>
        <w:widowControl w:val="0"/>
        <w:tabs>
          <w:tab w:val="left" w:pos="688"/>
        </w:tabs>
        <w:autoSpaceDE w:val="0"/>
        <w:autoSpaceDN w:val="0"/>
        <w:spacing w:before="11"/>
        <w:ind w:left="687"/>
        <w:jc w:val="both"/>
        <w:rPr>
          <w:rFonts w:ascii="Times New Roman" w:hAnsi="Times New Roman"/>
        </w:rPr>
      </w:pPr>
    </w:p>
    <w:p w14:paraId="4C192057" w14:textId="28AA481E" w:rsidR="008D151B" w:rsidRPr="00602F08" w:rsidRDefault="00B151B7"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On 4 October at 1339 hrs Refugee Action wrote to the section 4 accommodation booking team at the Home Office to advise “Client is waiting at property and ready to be picked up”. </w:t>
      </w:r>
      <w:r w:rsidR="0043181A" w:rsidRPr="00602F08">
        <w:rPr>
          <w:rFonts w:ascii="Times New Roman" w:hAnsi="Times New Roman"/>
        </w:rPr>
        <w:t xml:space="preserve">On </w:t>
      </w:r>
      <w:r w:rsidR="00E716B1" w:rsidRPr="00602F08">
        <w:rPr>
          <w:rFonts w:ascii="Times New Roman" w:hAnsi="Times New Roman"/>
        </w:rPr>
        <w:t>1</w:t>
      </w:r>
      <w:r w:rsidR="005E474E" w:rsidRPr="00602F08">
        <w:rPr>
          <w:rFonts w:ascii="Times New Roman" w:hAnsi="Times New Roman"/>
        </w:rPr>
        <w:t xml:space="preserve">6 October </w:t>
      </w:r>
      <w:r w:rsidR="0043181A" w:rsidRPr="00602F08">
        <w:rPr>
          <w:rFonts w:ascii="Times New Roman" w:hAnsi="Times New Roman"/>
        </w:rPr>
        <w:t>2019 Refugee Action requested</w:t>
      </w:r>
      <w:r w:rsidR="005E474E" w:rsidRPr="00602F08">
        <w:rPr>
          <w:rFonts w:ascii="Times New Roman" w:hAnsi="Times New Roman"/>
        </w:rPr>
        <w:t xml:space="preserve"> an update</w:t>
      </w:r>
      <w:r w:rsidR="00F27146" w:rsidRPr="00602F08">
        <w:rPr>
          <w:rFonts w:ascii="Times New Roman" w:hAnsi="Times New Roman"/>
        </w:rPr>
        <w:t>, advising that ELN was</w:t>
      </w:r>
      <w:r w:rsidR="005E474E" w:rsidRPr="00602F08">
        <w:rPr>
          <w:rFonts w:ascii="Times New Roman" w:hAnsi="Times New Roman"/>
        </w:rPr>
        <w:t xml:space="preserve"> </w:t>
      </w:r>
      <w:r w:rsidR="00F27146" w:rsidRPr="00602F08">
        <w:rPr>
          <w:rFonts w:ascii="Times New Roman" w:hAnsi="Times New Roman"/>
        </w:rPr>
        <w:t>“</w:t>
      </w:r>
      <w:r w:rsidR="005E474E" w:rsidRPr="00602F08">
        <w:rPr>
          <w:rFonts w:ascii="Times New Roman" w:hAnsi="Times New Roman"/>
        </w:rPr>
        <w:t>still waiting at the pr</w:t>
      </w:r>
      <w:r w:rsidR="00F27146" w:rsidRPr="00602F08">
        <w:rPr>
          <w:rFonts w:ascii="Times New Roman" w:hAnsi="Times New Roman"/>
        </w:rPr>
        <w:t>operty</w:t>
      </w:r>
      <w:r w:rsidR="005E474E" w:rsidRPr="00602F08">
        <w:rPr>
          <w:rFonts w:ascii="Times New Roman" w:hAnsi="Times New Roman"/>
        </w:rPr>
        <w:t xml:space="preserve"> for her dispersal”. </w:t>
      </w:r>
      <w:r w:rsidR="00F27146" w:rsidRPr="00602F08">
        <w:rPr>
          <w:rFonts w:ascii="Times New Roman" w:hAnsi="Times New Roman"/>
        </w:rPr>
        <w:t>The r</w:t>
      </w:r>
      <w:r w:rsidR="005E474E" w:rsidRPr="00602F08">
        <w:rPr>
          <w:rFonts w:ascii="Times New Roman" w:hAnsi="Times New Roman"/>
        </w:rPr>
        <w:t xml:space="preserve">eply from </w:t>
      </w:r>
      <w:r w:rsidR="00F27146" w:rsidRPr="00602F08">
        <w:rPr>
          <w:rFonts w:ascii="Times New Roman" w:hAnsi="Times New Roman"/>
        </w:rPr>
        <w:t xml:space="preserve">the section 4 accommodation booking team </w:t>
      </w:r>
      <w:r w:rsidR="005E474E" w:rsidRPr="00602F08">
        <w:rPr>
          <w:rFonts w:ascii="Times New Roman" w:hAnsi="Times New Roman"/>
        </w:rPr>
        <w:t>was</w:t>
      </w:r>
      <w:r w:rsidR="00F27146" w:rsidRPr="00602F08">
        <w:rPr>
          <w:rFonts w:ascii="Times New Roman" w:hAnsi="Times New Roman"/>
        </w:rPr>
        <w:t>:</w:t>
      </w:r>
      <w:r w:rsidR="005E474E" w:rsidRPr="00602F08">
        <w:rPr>
          <w:rFonts w:ascii="Times New Roman" w:hAnsi="Times New Roman"/>
        </w:rPr>
        <w:t xml:space="preserve"> “Deadline for move in should be end of this week. Provider should be in touch”</w:t>
      </w:r>
      <w:r w:rsidR="00521CA9" w:rsidRPr="00602F08">
        <w:rPr>
          <w:rFonts w:ascii="Times New Roman" w:hAnsi="Times New Roman"/>
        </w:rPr>
        <w:t>.</w:t>
      </w:r>
    </w:p>
    <w:p w14:paraId="2777B236" w14:textId="77777777" w:rsidR="00A25CC2" w:rsidRPr="00602F08" w:rsidRDefault="00A25CC2" w:rsidP="00B6212D"/>
    <w:p w14:paraId="5AAEBD79" w14:textId="77777777" w:rsidR="0052332F" w:rsidRPr="00602F08" w:rsidRDefault="00793F42"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The questionnaire </w:t>
      </w:r>
      <w:r w:rsidR="00793B36" w:rsidRPr="00602F08">
        <w:rPr>
          <w:rFonts w:ascii="Times New Roman" w:hAnsi="Times New Roman"/>
        </w:rPr>
        <w:t xml:space="preserve">previously mentioned </w:t>
      </w:r>
      <w:r w:rsidR="006A29FC" w:rsidRPr="00602F08">
        <w:rPr>
          <w:rFonts w:ascii="Times New Roman" w:hAnsi="Times New Roman"/>
        </w:rPr>
        <w:t>also lists ELN</w:t>
      </w:r>
      <w:r w:rsidR="005E474E" w:rsidRPr="00602F08">
        <w:rPr>
          <w:rFonts w:ascii="Times New Roman" w:hAnsi="Times New Roman"/>
        </w:rPr>
        <w:t xml:space="preserve"> on 18 October </w:t>
      </w:r>
      <w:r w:rsidR="006A29FC" w:rsidRPr="00602F08">
        <w:rPr>
          <w:rFonts w:ascii="Times New Roman" w:hAnsi="Times New Roman"/>
        </w:rPr>
        <w:t xml:space="preserve">2019 as </w:t>
      </w:r>
      <w:r w:rsidR="005E474E" w:rsidRPr="00602F08">
        <w:rPr>
          <w:rFonts w:ascii="Times New Roman" w:hAnsi="Times New Roman"/>
        </w:rPr>
        <w:t>informed by telephone of disp</w:t>
      </w:r>
      <w:r w:rsidR="006A29FC" w:rsidRPr="00602F08">
        <w:rPr>
          <w:rFonts w:ascii="Times New Roman" w:hAnsi="Times New Roman"/>
        </w:rPr>
        <w:t>ers</w:t>
      </w:r>
      <w:r w:rsidR="005E474E" w:rsidRPr="00602F08">
        <w:rPr>
          <w:rFonts w:ascii="Times New Roman" w:hAnsi="Times New Roman"/>
        </w:rPr>
        <w:t xml:space="preserve">al on 24 October </w:t>
      </w:r>
      <w:r w:rsidR="006A29FC" w:rsidRPr="00602F08">
        <w:rPr>
          <w:rFonts w:ascii="Times New Roman" w:hAnsi="Times New Roman"/>
        </w:rPr>
        <w:t>2019</w:t>
      </w:r>
      <w:r w:rsidR="00A53268" w:rsidRPr="00602F08">
        <w:rPr>
          <w:rFonts w:ascii="Times New Roman" w:hAnsi="Times New Roman"/>
        </w:rPr>
        <w:t xml:space="preserve"> and notes:</w:t>
      </w:r>
      <w:r w:rsidR="006A29FC" w:rsidRPr="00602F08">
        <w:rPr>
          <w:rFonts w:ascii="Times New Roman" w:hAnsi="Times New Roman"/>
        </w:rPr>
        <w:t xml:space="preserve"> </w:t>
      </w:r>
      <w:r w:rsidR="005E474E" w:rsidRPr="00602F08">
        <w:rPr>
          <w:rFonts w:ascii="Times New Roman" w:hAnsi="Times New Roman"/>
        </w:rPr>
        <w:t>“No answer at the collection address”.</w:t>
      </w:r>
      <w:r w:rsidR="00A53268" w:rsidRPr="00602F08">
        <w:rPr>
          <w:rFonts w:ascii="Times New Roman" w:hAnsi="Times New Roman"/>
        </w:rPr>
        <w:t xml:space="preserve"> ELN responds in</w:t>
      </w:r>
      <w:r w:rsidR="005E474E" w:rsidRPr="00602F08">
        <w:rPr>
          <w:rFonts w:ascii="Times New Roman" w:hAnsi="Times New Roman"/>
        </w:rPr>
        <w:t xml:space="preserve"> a note to a chronol</w:t>
      </w:r>
      <w:r w:rsidR="00A53268" w:rsidRPr="00602F08">
        <w:rPr>
          <w:rFonts w:ascii="Times New Roman" w:hAnsi="Times New Roman"/>
        </w:rPr>
        <w:t>ogy</w:t>
      </w:r>
      <w:r w:rsidR="005E474E" w:rsidRPr="00602F08">
        <w:rPr>
          <w:rFonts w:ascii="Times New Roman" w:hAnsi="Times New Roman"/>
        </w:rPr>
        <w:t xml:space="preserve"> that</w:t>
      </w:r>
      <w:r w:rsidR="00042162" w:rsidRPr="00602F08">
        <w:rPr>
          <w:rFonts w:ascii="Times New Roman" w:hAnsi="Times New Roman"/>
        </w:rPr>
        <w:t xml:space="preserve"> she</w:t>
      </w:r>
      <w:r w:rsidR="005E474E" w:rsidRPr="00602F08">
        <w:rPr>
          <w:rFonts w:ascii="Times New Roman" w:hAnsi="Times New Roman"/>
        </w:rPr>
        <w:t xml:space="preserve"> </w:t>
      </w:r>
      <w:r w:rsidR="00042162" w:rsidRPr="00602F08">
        <w:rPr>
          <w:rFonts w:ascii="Times New Roman" w:hAnsi="Times New Roman"/>
        </w:rPr>
        <w:t>“</w:t>
      </w:r>
      <w:r w:rsidR="005E474E" w:rsidRPr="00602F08">
        <w:rPr>
          <w:rFonts w:ascii="Times New Roman" w:hAnsi="Times New Roman"/>
        </w:rPr>
        <w:t>avers she received no notification of the proposed dispersal”</w:t>
      </w:r>
      <w:r w:rsidR="00042162" w:rsidRPr="00602F08">
        <w:rPr>
          <w:rFonts w:ascii="Times New Roman" w:hAnsi="Times New Roman"/>
        </w:rPr>
        <w:t>.</w:t>
      </w:r>
      <w:r w:rsidR="00DC6B31" w:rsidRPr="00602F08">
        <w:rPr>
          <w:rFonts w:ascii="Times New Roman" w:hAnsi="Times New Roman"/>
        </w:rPr>
        <w:t xml:space="preserve"> No reference to a</w:t>
      </w:r>
      <w:r w:rsidR="00CF16CD" w:rsidRPr="00602F08">
        <w:rPr>
          <w:rFonts w:ascii="Times New Roman" w:hAnsi="Times New Roman"/>
        </w:rPr>
        <w:t>n alleged</w:t>
      </w:r>
      <w:r w:rsidR="00DC6B31" w:rsidRPr="00602F08">
        <w:rPr>
          <w:rFonts w:ascii="Times New Roman" w:hAnsi="Times New Roman"/>
        </w:rPr>
        <w:t xml:space="preserve"> failure to travel on 24 October </w:t>
      </w:r>
      <w:r w:rsidR="00CF16CD" w:rsidRPr="00602F08">
        <w:rPr>
          <w:rFonts w:ascii="Times New Roman" w:hAnsi="Times New Roman"/>
        </w:rPr>
        <w:t xml:space="preserve">2019 </w:t>
      </w:r>
      <w:r w:rsidR="00DC6B31" w:rsidRPr="00602F08">
        <w:rPr>
          <w:rFonts w:ascii="Times New Roman" w:hAnsi="Times New Roman"/>
        </w:rPr>
        <w:t xml:space="preserve">was made in </w:t>
      </w:r>
      <w:r w:rsidR="00A80830" w:rsidRPr="00602F08">
        <w:rPr>
          <w:rFonts w:ascii="Times New Roman" w:hAnsi="Times New Roman"/>
        </w:rPr>
        <w:t xml:space="preserve">the Secretary of State’s Summary Grounds of Defence served </w:t>
      </w:r>
      <w:r w:rsidR="00CF16CD" w:rsidRPr="00602F08">
        <w:rPr>
          <w:rFonts w:ascii="Times New Roman" w:hAnsi="Times New Roman"/>
        </w:rPr>
        <w:t>two weeks later</w:t>
      </w:r>
      <w:r w:rsidR="00ED4860" w:rsidRPr="00602F08">
        <w:rPr>
          <w:rFonts w:ascii="Times New Roman" w:hAnsi="Times New Roman"/>
        </w:rPr>
        <w:t xml:space="preserve"> </w:t>
      </w:r>
      <w:r w:rsidR="00CF16CD" w:rsidRPr="00602F08">
        <w:rPr>
          <w:rFonts w:ascii="Times New Roman" w:hAnsi="Times New Roman"/>
        </w:rPr>
        <w:t>on 8 November 2019</w:t>
      </w:r>
      <w:r w:rsidR="00656518" w:rsidRPr="00602F08">
        <w:rPr>
          <w:rFonts w:ascii="Times New Roman" w:hAnsi="Times New Roman"/>
        </w:rPr>
        <w:t xml:space="preserve"> although it</w:t>
      </w:r>
      <w:r w:rsidR="001D1B7A" w:rsidRPr="00602F08">
        <w:rPr>
          <w:rFonts w:ascii="Times New Roman" w:hAnsi="Times New Roman"/>
        </w:rPr>
        <w:t xml:space="preserve"> appears in Detailed Grounds of Defence on 20 January 2020.</w:t>
      </w:r>
      <w:r w:rsidR="00044DDA" w:rsidRPr="00602F08">
        <w:rPr>
          <w:rFonts w:ascii="Times New Roman" w:hAnsi="Times New Roman"/>
        </w:rPr>
        <w:t xml:space="preserve"> </w:t>
      </w:r>
    </w:p>
    <w:p w14:paraId="7CA7B760" w14:textId="77777777" w:rsidR="0052332F" w:rsidRPr="00602F08" w:rsidRDefault="0052332F" w:rsidP="00B6212D">
      <w:pPr>
        <w:pStyle w:val="ListParagraph"/>
        <w:rPr>
          <w:rFonts w:ascii="Times New Roman" w:hAnsi="Times New Roman"/>
        </w:rPr>
      </w:pPr>
    </w:p>
    <w:p w14:paraId="08A07EEA" w14:textId="056FB537" w:rsidR="008D151B" w:rsidRPr="00602F08" w:rsidRDefault="00044DDA"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Ms Bond says of the alleged “Failure to Travel” on 20 September 2019 and 24 October 2019:</w:t>
      </w:r>
    </w:p>
    <w:p w14:paraId="50CC9B46" w14:textId="77777777" w:rsidR="00044DDA" w:rsidRPr="00602F08" w:rsidRDefault="00044DDA" w:rsidP="00B6212D">
      <w:pPr>
        <w:pStyle w:val="ListParagraph"/>
        <w:rPr>
          <w:rFonts w:ascii="Times New Roman" w:hAnsi="Times New Roman"/>
        </w:rPr>
      </w:pPr>
    </w:p>
    <w:p w14:paraId="1E377693" w14:textId="4014F026" w:rsidR="00044DDA" w:rsidRPr="00602F08" w:rsidRDefault="00044DDA" w:rsidP="00B6212D">
      <w:pPr>
        <w:pStyle w:val="ListParagraph"/>
        <w:widowControl w:val="0"/>
        <w:tabs>
          <w:tab w:val="left" w:pos="688"/>
        </w:tabs>
        <w:autoSpaceDE w:val="0"/>
        <w:autoSpaceDN w:val="0"/>
        <w:spacing w:before="11"/>
        <w:ind w:left="1440" w:hanging="753"/>
        <w:jc w:val="both"/>
        <w:rPr>
          <w:rFonts w:ascii="Times New Roman" w:hAnsi="Times New Roman"/>
        </w:rPr>
      </w:pPr>
      <w:r w:rsidRPr="00602F08">
        <w:rPr>
          <w:rFonts w:ascii="Times New Roman" w:hAnsi="Times New Roman"/>
        </w:rPr>
        <w:tab/>
      </w:r>
      <w:r w:rsidRPr="00602F08">
        <w:rPr>
          <w:rFonts w:ascii="Times New Roman" w:hAnsi="Times New Roman"/>
        </w:rPr>
        <w:tab/>
        <w:t>“</w:t>
      </w:r>
      <w:r w:rsidR="00D801A6" w:rsidRPr="00602F08">
        <w:rPr>
          <w:rFonts w:ascii="Times New Roman" w:hAnsi="Times New Roman"/>
        </w:rPr>
        <w:t xml:space="preserve">ELN subsequently “Failed to Travel” on two separate occasions. Firstly, on </w:t>
      </w:r>
      <w:r w:rsidR="000619F3" w:rsidRPr="00602F08">
        <w:rPr>
          <w:rFonts w:ascii="Times New Roman" w:hAnsi="Times New Roman"/>
        </w:rPr>
        <w:t>20 September 2019 …</w:t>
      </w:r>
      <w:r w:rsidR="00D801A6" w:rsidRPr="00602F08">
        <w:rPr>
          <w:rFonts w:ascii="Times New Roman" w:hAnsi="Times New Roman"/>
        </w:rPr>
        <w:t xml:space="preserve"> </w:t>
      </w:r>
      <w:r w:rsidR="000619F3" w:rsidRPr="00602F08">
        <w:rPr>
          <w:rFonts w:ascii="Times New Roman" w:hAnsi="Times New Roman"/>
        </w:rPr>
        <w:t xml:space="preserve">and again on 24 October 2019 </w:t>
      </w:r>
      <w:r w:rsidR="00E7016F" w:rsidRPr="00602F08">
        <w:rPr>
          <w:rFonts w:ascii="Times New Roman" w:hAnsi="Times New Roman"/>
        </w:rPr>
        <w:t>… after S4 re-booked the accommodation on 3 October 2019. The reason given for both on our system</w:t>
      </w:r>
      <w:r w:rsidR="00021997" w:rsidRPr="00602F08">
        <w:rPr>
          <w:rFonts w:ascii="Times New Roman" w:hAnsi="Times New Roman"/>
        </w:rPr>
        <w:t xml:space="preserve"> was because [ELN] was not at the collection point. Serco confirmed that the driver attended the property on 20 September 2019 but the claimant was not in the property and was unreachable </w:t>
      </w:r>
      <w:r w:rsidR="004B3D95" w:rsidRPr="00602F08">
        <w:rPr>
          <w:rFonts w:ascii="Times New Roman" w:hAnsi="Times New Roman"/>
        </w:rPr>
        <w:t>by phone. Serco do not have any further details on the failure to travel on 2</w:t>
      </w:r>
      <w:r w:rsidR="000D7CC7" w:rsidRPr="00602F08">
        <w:rPr>
          <w:rFonts w:ascii="Times New Roman" w:hAnsi="Times New Roman"/>
        </w:rPr>
        <w:t>[4]</w:t>
      </w:r>
      <w:r w:rsidR="004B3D95" w:rsidRPr="00602F08">
        <w:rPr>
          <w:rFonts w:ascii="Times New Roman" w:hAnsi="Times New Roman"/>
        </w:rPr>
        <w:t xml:space="preserve"> October 2019.”</w:t>
      </w:r>
      <w:r w:rsidR="00021997" w:rsidRPr="00602F08">
        <w:rPr>
          <w:rFonts w:ascii="Times New Roman" w:hAnsi="Times New Roman"/>
        </w:rPr>
        <w:t xml:space="preserve"> </w:t>
      </w:r>
      <w:r w:rsidR="00E7016F" w:rsidRPr="00602F08">
        <w:rPr>
          <w:rFonts w:ascii="Times New Roman" w:hAnsi="Times New Roman"/>
        </w:rPr>
        <w:t xml:space="preserve"> </w:t>
      </w:r>
    </w:p>
    <w:p w14:paraId="4C86D8EE" w14:textId="77777777" w:rsidR="00005A29" w:rsidRPr="00602F08" w:rsidRDefault="00005A29" w:rsidP="00B6212D"/>
    <w:p w14:paraId="37686B3A" w14:textId="0F157386" w:rsidR="005E474E" w:rsidRPr="00602F08" w:rsidRDefault="00B41A95"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The summary advanced on behalf of the Secretary of State is in these terms:</w:t>
      </w:r>
    </w:p>
    <w:p w14:paraId="29B19881" w14:textId="4E272C7D" w:rsidR="00B41A95" w:rsidRPr="00602F08" w:rsidRDefault="00B41A95" w:rsidP="00B6212D">
      <w:pPr>
        <w:spacing w:before="100" w:beforeAutospacing="1" w:after="100" w:afterAutospacing="1"/>
        <w:ind w:left="1440" w:hanging="33"/>
        <w:jc w:val="both"/>
        <w:textAlignment w:val="baseline"/>
        <w:rPr>
          <w:lang w:eastAsia="en-GB"/>
        </w:rPr>
      </w:pPr>
      <w:r w:rsidRPr="00602F08">
        <w:rPr>
          <w:lang w:eastAsia="en-GB"/>
        </w:rPr>
        <w:t>“</w:t>
      </w:r>
      <w:r w:rsidR="003D6344" w:rsidRPr="00602F08">
        <w:rPr>
          <w:lang w:eastAsia="en-GB"/>
        </w:rPr>
        <w:t>ELN was granted s4 support on 10 September 2019, having previously had her support withdrawn due to her repeated failures to travel – a decision she did not appeal. On the same day, the Section 4 Team referred ELN to Serco for accommodation. On 17 September 2019, the Section 4 Team accepted a proposal from Serco for ELN to be accommodated in Nottingham, with a proposed travel date of 20 September 2019. However, ELN failed to travel on that date. On 3 October 2019, the Section 4 Team sent a fresh request for ELN to be accommodated. On 24 October 2019, however, ELN again failed to travel.</w:t>
      </w:r>
      <w:r w:rsidR="00AE2DE2" w:rsidRPr="00602F08">
        <w:rPr>
          <w:lang w:eastAsia="en-GB"/>
        </w:rPr>
        <w:t xml:space="preserve"> …</w:t>
      </w:r>
      <w:r w:rsidR="003D6344" w:rsidRPr="00602F08">
        <w:rPr>
          <w:lang w:eastAsia="en-GB"/>
        </w:rPr>
        <w:t xml:space="preserve">. In all the circumstances, it is clear that the primary source of delay in accommodating ELN was ELN’s own repeated failure to travel when required. </w:t>
      </w:r>
      <w:r w:rsidRPr="00602F08">
        <w:rPr>
          <w:lang w:eastAsia="en-GB"/>
        </w:rPr>
        <w:t>…”</w:t>
      </w:r>
    </w:p>
    <w:p w14:paraId="6C085DF1" w14:textId="0C18DDFE" w:rsidR="00005A29" w:rsidRPr="00602F08" w:rsidRDefault="00AA74E2"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The position with ELN over alleged failure to travel is clearly more complex than with DMA, AHK and BK. I am not persuaded that the alleged failures to travel were the fault of ELN. I see no all</w:t>
      </w:r>
      <w:r w:rsidR="00BD24AA" w:rsidRPr="00602F08">
        <w:rPr>
          <w:rFonts w:ascii="Times New Roman" w:hAnsi="Times New Roman"/>
        </w:rPr>
        <w:t>owance being made for her mental health difficulties or vulnerability</w:t>
      </w:r>
      <w:r w:rsidR="00670006" w:rsidRPr="00602F08">
        <w:rPr>
          <w:rFonts w:ascii="Times New Roman" w:hAnsi="Times New Roman"/>
        </w:rPr>
        <w:t xml:space="preserve"> generally</w:t>
      </w:r>
      <w:r w:rsidR="00BD24AA" w:rsidRPr="00602F08">
        <w:rPr>
          <w:rFonts w:ascii="Times New Roman" w:hAnsi="Times New Roman"/>
        </w:rPr>
        <w:t xml:space="preserve">. </w:t>
      </w:r>
      <w:r w:rsidRPr="00602F08">
        <w:rPr>
          <w:rFonts w:ascii="Times New Roman" w:hAnsi="Times New Roman"/>
          <w:lang w:eastAsia="en-GB"/>
        </w:rPr>
        <w:t>On any view, in</w:t>
      </w:r>
      <w:r w:rsidR="00B41A95" w:rsidRPr="00602F08">
        <w:rPr>
          <w:rFonts w:ascii="Times New Roman" w:hAnsi="Times New Roman"/>
          <w:lang w:eastAsia="en-GB"/>
        </w:rPr>
        <w:t xml:space="preserve"> my judgment </w:t>
      </w:r>
      <w:r w:rsidR="003B728D" w:rsidRPr="00602F08">
        <w:rPr>
          <w:rFonts w:ascii="Times New Roman" w:hAnsi="Times New Roman"/>
          <w:lang w:eastAsia="en-GB"/>
        </w:rPr>
        <w:t xml:space="preserve">ELN </w:t>
      </w:r>
      <w:r w:rsidR="00DC5986" w:rsidRPr="00602F08">
        <w:rPr>
          <w:rFonts w:ascii="Times New Roman" w:hAnsi="Times New Roman"/>
          <w:lang w:eastAsia="en-GB"/>
        </w:rPr>
        <w:t>cannot sensibly be described</w:t>
      </w:r>
      <w:r w:rsidR="003B728D" w:rsidRPr="00602F08">
        <w:rPr>
          <w:rFonts w:ascii="Times New Roman" w:hAnsi="Times New Roman"/>
          <w:lang w:eastAsia="en-GB"/>
        </w:rPr>
        <w:t xml:space="preserve"> </w:t>
      </w:r>
      <w:r w:rsidR="00ED6A19" w:rsidRPr="00602F08">
        <w:rPr>
          <w:rFonts w:ascii="Times New Roman" w:hAnsi="Times New Roman"/>
          <w:lang w:eastAsia="en-GB"/>
        </w:rPr>
        <w:t xml:space="preserve">as </w:t>
      </w:r>
      <w:r w:rsidR="003B728D" w:rsidRPr="00602F08">
        <w:rPr>
          <w:rFonts w:ascii="Times New Roman" w:hAnsi="Times New Roman"/>
          <w:lang w:eastAsia="en-GB"/>
        </w:rPr>
        <w:t xml:space="preserve">the “primary source of delay”. </w:t>
      </w:r>
    </w:p>
    <w:p w14:paraId="26E59EBE" w14:textId="77777777" w:rsidR="00005A29" w:rsidRPr="00602F08" w:rsidRDefault="00005A29" w:rsidP="00B6212D">
      <w:pPr>
        <w:pStyle w:val="ListParagraph"/>
        <w:spacing w:before="100" w:beforeAutospacing="1" w:after="100" w:afterAutospacing="1"/>
        <w:ind w:left="687"/>
        <w:jc w:val="both"/>
        <w:textAlignment w:val="baseline"/>
        <w:rPr>
          <w:rFonts w:ascii="Times New Roman" w:hAnsi="Times New Roman"/>
          <w:lang w:eastAsia="en-GB"/>
        </w:rPr>
      </w:pPr>
    </w:p>
    <w:p w14:paraId="0C7431A9" w14:textId="77777777" w:rsidR="00005A29" w:rsidRPr="00602F08" w:rsidRDefault="00005A29" w:rsidP="00B6212D">
      <w:pPr>
        <w:pStyle w:val="ListParagraph"/>
        <w:spacing w:before="100" w:beforeAutospacing="1" w:after="100" w:afterAutospacing="1"/>
        <w:ind w:left="687"/>
        <w:jc w:val="both"/>
        <w:textAlignment w:val="baseline"/>
        <w:rPr>
          <w:rFonts w:ascii="Times New Roman" w:hAnsi="Times New Roman"/>
          <w:u w:val="single"/>
          <w:lang w:eastAsia="en-GB"/>
        </w:rPr>
      </w:pPr>
    </w:p>
    <w:p w14:paraId="7DE77739" w14:textId="4B4C99E4" w:rsidR="00DC5986" w:rsidRPr="00602F08" w:rsidRDefault="002461DF" w:rsidP="00B6212D">
      <w:pPr>
        <w:pStyle w:val="ListParagraph"/>
        <w:spacing w:before="100" w:beforeAutospacing="1" w:after="100" w:afterAutospacing="1"/>
        <w:ind w:left="687"/>
        <w:jc w:val="both"/>
        <w:textAlignment w:val="baseline"/>
        <w:rPr>
          <w:rFonts w:ascii="Times New Roman" w:hAnsi="Times New Roman"/>
          <w:u w:val="single"/>
          <w:lang w:eastAsia="en-GB"/>
        </w:rPr>
      </w:pPr>
      <w:r w:rsidRPr="00602F08">
        <w:rPr>
          <w:rFonts w:ascii="Times New Roman" w:hAnsi="Times New Roman"/>
          <w:u w:val="single"/>
          <w:lang w:eastAsia="en-GB"/>
        </w:rPr>
        <w:t>Overall</w:t>
      </w:r>
    </w:p>
    <w:p w14:paraId="54B89FA9" w14:textId="77777777" w:rsidR="00F47C13" w:rsidRPr="00602F08" w:rsidRDefault="00F47C13" w:rsidP="00B6212D">
      <w:pPr>
        <w:pStyle w:val="ListParagraph"/>
        <w:spacing w:before="100" w:beforeAutospacing="1" w:after="100" w:afterAutospacing="1"/>
        <w:ind w:left="687"/>
        <w:jc w:val="both"/>
        <w:textAlignment w:val="baseline"/>
        <w:rPr>
          <w:rFonts w:ascii="Times New Roman" w:hAnsi="Times New Roman"/>
          <w:lang w:eastAsia="en-GB"/>
        </w:rPr>
      </w:pPr>
    </w:p>
    <w:p w14:paraId="473766D0" w14:textId="33702217" w:rsidR="00A1576F" w:rsidRPr="00602F08" w:rsidRDefault="006360F5" w:rsidP="00B6212D">
      <w:pPr>
        <w:pStyle w:val="ListParagraph"/>
        <w:numPr>
          <w:ilvl w:val="0"/>
          <w:numId w:val="10"/>
        </w:numPr>
        <w:spacing w:before="100" w:beforeAutospacing="1" w:after="100" w:afterAutospacing="1"/>
        <w:jc w:val="both"/>
        <w:textAlignment w:val="baseline"/>
        <w:rPr>
          <w:rFonts w:ascii="Times New Roman" w:hAnsi="Times New Roman"/>
          <w:lang w:eastAsia="en-GB"/>
        </w:rPr>
      </w:pPr>
      <w:r w:rsidRPr="00602F08">
        <w:rPr>
          <w:rFonts w:ascii="Times New Roman" w:hAnsi="Times New Roman"/>
          <w:lang w:eastAsia="en-GB"/>
        </w:rPr>
        <w:t xml:space="preserve">I </w:t>
      </w:r>
      <w:r w:rsidR="00AC6109" w:rsidRPr="00602F08">
        <w:rPr>
          <w:rFonts w:ascii="Times New Roman" w:hAnsi="Times New Roman"/>
          <w:lang w:eastAsia="en-GB"/>
        </w:rPr>
        <w:t xml:space="preserve">regret to come from this </w:t>
      </w:r>
      <w:r w:rsidR="00670006" w:rsidRPr="00602F08">
        <w:rPr>
          <w:rFonts w:ascii="Times New Roman" w:hAnsi="Times New Roman"/>
          <w:lang w:eastAsia="en-GB"/>
        </w:rPr>
        <w:t xml:space="preserve">review </w:t>
      </w:r>
      <w:r w:rsidR="00AC6109" w:rsidRPr="00602F08">
        <w:rPr>
          <w:rFonts w:ascii="Times New Roman" w:hAnsi="Times New Roman"/>
          <w:lang w:eastAsia="en-GB"/>
        </w:rPr>
        <w:t xml:space="preserve">with the sense that the worst is assumed of the claimants, with no </w:t>
      </w:r>
      <w:r w:rsidR="00B76790" w:rsidRPr="00602F08">
        <w:rPr>
          <w:rFonts w:ascii="Times New Roman" w:hAnsi="Times New Roman"/>
          <w:lang w:eastAsia="en-GB"/>
        </w:rPr>
        <w:t>room for reflection that there may be good reasons or if there is fault</w:t>
      </w:r>
      <w:r w:rsidR="00670006" w:rsidRPr="00602F08">
        <w:rPr>
          <w:rFonts w:ascii="Times New Roman" w:hAnsi="Times New Roman"/>
          <w:lang w:eastAsia="en-GB"/>
        </w:rPr>
        <w:t xml:space="preserve"> that</w:t>
      </w:r>
      <w:r w:rsidR="00B76790" w:rsidRPr="00602F08">
        <w:rPr>
          <w:rFonts w:ascii="Times New Roman" w:hAnsi="Times New Roman"/>
          <w:lang w:eastAsia="en-GB"/>
        </w:rPr>
        <w:t xml:space="preserve"> it may lie elsewhere</w:t>
      </w:r>
      <w:r w:rsidR="00DC5986" w:rsidRPr="00602F08">
        <w:rPr>
          <w:rFonts w:ascii="Times New Roman" w:hAnsi="Times New Roman"/>
          <w:lang w:eastAsia="en-GB"/>
        </w:rPr>
        <w:t>.</w:t>
      </w:r>
      <w:r w:rsidR="004D0220" w:rsidRPr="00602F08">
        <w:rPr>
          <w:rFonts w:ascii="Times New Roman" w:hAnsi="Times New Roman"/>
          <w:lang w:eastAsia="en-GB"/>
        </w:rPr>
        <w:t xml:space="preserve"> </w:t>
      </w:r>
    </w:p>
    <w:p w14:paraId="6FD88EBD" w14:textId="77777777" w:rsidR="00A1576F" w:rsidRPr="00602F08" w:rsidRDefault="00A1576F" w:rsidP="00B6212D">
      <w:pPr>
        <w:pStyle w:val="ListParagraph"/>
        <w:spacing w:before="100" w:beforeAutospacing="1" w:after="100" w:afterAutospacing="1"/>
        <w:ind w:left="687"/>
        <w:jc w:val="both"/>
        <w:textAlignment w:val="baseline"/>
        <w:rPr>
          <w:rFonts w:ascii="Times New Roman" w:hAnsi="Times New Roman"/>
          <w:lang w:eastAsia="en-GB"/>
        </w:rPr>
      </w:pPr>
    </w:p>
    <w:p w14:paraId="78FFB464" w14:textId="073CEC06" w:rsidR="003E67A7" w:rsidRPr="00602F08" w:rsidRDefault="004D0220" w:rsidP="00B6212D">
      <w:pPr>
        <w:pStyle w:val="ListParagraph"/>
        <w:numPr>
          <w:ilvl w:val="0"/>
          <w:numId w:val="10"/>
        </w:numPr>
        <w:spacing w:before="100" w:beforeAutospacing="1" w:after="100" w:afterAutospacing="1"/>
        <w:jc w:val="both"/>
        <w:textAlignment w:val="baseline"/>
        <w:rPr>
          <w:rFonts w:ascii="Times New Roman" w:hAnsi="Times New Roman"/>
          <w:lang w:eastAsia="en-GB"/>
        </w:rPr>
      </w:pPr>
      <w:r w:rsidRPr="00602F08">
        <w:rPr>
          <w:rFonts w:ascii="Times New Roman" w:hAnsi="Times New Roman"/>
          <w:lang w:eastAsia="en-GB"/>
        </w:rPr>
        <w:t xml:space="preserve">This is unhappy in any situation but especially so where the claimants are individuals </w:t>
      </w:r>
      <w:r w:rsidR="000E0817" w:rsidRPr="00602F08">
        <w:rPr>
          <w:rFonts w:ascii="Times New Roman" w:hAnsi="Times New Roman"/>
          <w:lang w:eastAsia="en-GB"/>
        </w:rPr>
        <w:t xml:space="preserve">whom the Secretary of State </w:t>
      </w:r>
      <w:r w:rsidR="00790187" w:rsidRPr="00602F08">
        <w:rPr>
          <w:rFonts w:ascii="Times New Roman" w:hAnsi="Times New Roman"/>
          <w:lang w:eastAsia="en-GB"/>
        </w:rPr>
        <w:t xml:space="preserve">through her officials </w:t>
      </w:r>
      <w:r w:rsidR="00CC3C8A" w:rsidRPr="00602F08">
        <w:rPr>
          <w:rFonts w:ascii="Times New Roman" w:hAnsi="Times New Roman"/>
          <w:lang w:eastAsia="en-GB"/>
        </w:rPr>
        <w:t xml:space="preserve">has accepted </w:t>
      </w:r>
      <w:r w:rsidR="00776B6A" w:rsidRPr="00602F08">
        <w:rPr>
          <w:rFonts w:ascii="Times New Roman" w:hAnsi="Times New Roman"/>
          <w:lang w:eastAsia="en-GB"/>
        </w:rPr>
        <w:t xml:space="preserve">need </w:t>
      </w:r>
      <w:r w:rsidR="00FE555B" w:rsidRPr="00602F08">
        <w:rPr>
          <w:rFonts w:ascii="Times New Roman" w:hAnsi="Times New Roman"/>
          <w:lang w:eastAsia="en-GB"/>
        </w:rPr>
        <w:t>accommodation</w:t>
      </w:r>
      <w:r w:rsidR="000075D9" w:rsidRPr="00602F08">
        <w:rPr>
          <w:rFonts w:ascii="Times New Roman" w:hAnsi="Times New Roman"/>
          <w:lang w:eastAsia="en-GB"/>
        </w:rPr>
        <w:t>.</w:t>
      </w:r>
      <w:r w:rsidR="00CC3C8A" w:rsidRPr="00602F08">
        <w:rPr>
          <w:rFonts w:ascii="Times New Roman" w:hAnsi="Times New Roman"/>
          <w:lang w:eastAsia="en-GB"/>
        </w:rPr>
        <w:t xml:space="preserve"> </w:t>
      </w:r>
    </w:p>
    <w:p w14:paraId="04B868A0" w14:textId="77777777" w:rsidR="003E67A7" w:rsidRPr="00602F08" w:rsidRDefault="003E67A7" w:rsidP="00B6212D">
      <w:pPr>
        <w:pStyle w:val="ListParagraph"/>
        <w:jc w:val="both"/>
        <w:rPr>
          <w:rFonts w:ascii="Times New Roman" w:hAnsi="Times New Roman"/>
        </w:rPr>
      </w:pPr>
    </w:p>
    <w:p w14:paraId="529F136A" w14:textId="4AF6D16A" w:rsidR="00006068" w:rsidRPr="00602F08" w:rsidRDefault="00ED32FB" w:rsidP="00B6212D">
      <w:pPr>
        <w:pStyle w:val="ListParagraph"/>
        <w:numPr>
          <w:ilvl w:val="0"/>
          <w:numId w:val="10"/>
        </w:numPr>
        <w:spacing w:before="100" w:beforeAutospacing="1" w:after="100" w:afterAutospacing="1"/>
        <w:jc w:val="both"/>
        <w:textAlignment w:val="baseline"/>
        <w:rPr>
          <w:rFonts w:ascii="Times New Roman" w:hAnsi="Times New Roman"/>
        </w:rPr>
      </w:pPr>
      <w:r w:rsidRPr="00602F08">
        <w:rPr>
          <w:rFonts w:ascii="Times New Roman" w:hAnsi="Times New Roman"/>
        </w:rPr>
        <w:t xml:space="preserve">It is not as though other </w:t>
      </w:r>
      <w:r w:rsidR="00CC6E1B" w:rsidRPr="00602F08">
        <w:rPr>
          <w:rFonts w:ascii="Times New Roman" w:hAnsi="Times New Roman"/>
        </w:rPr>
        <w:t>evidence</w:t>
      </w:r>
      <w:r w:rsidRPr="00602F08">
        <w:rPr>
          <w:rFonts w:ascii="Times New Roman" w:hAnsi="Times New Roman"/>
        </w:rPr>
        <w:t xml:space="preserve"> </w:t>
      </w:r>
      <w:r w:rsidR="00CC6E1B" w:rsidRPr="00602F08">
        <w:rPr>
          <w:rFonts w:ascii="Times New Roman" w:hAnsi="Times New Roman"/>
        </w:rPr>
        <w:t>might</w:t>
      </w:r>
      <w:r w:rsidRPr="00602F08">
        <w:rPr>
          <w:rFonts w:ascii="Times New Roman" w:hAnsi="Times New Roman"/>
        </w:rPr>
        <w:t xml:space="preserve"> bear out the </w:t>
      </w:r>
      <w:r w:rsidR="00CC6E1B" w:rsidRPr="00602F08">
        <w:rPr>
          <w:rFonts w:ascii="Times New Roman" w:hAnsi="Times New Roman"/>
        </w:rPr>
        <w:t xml:space="preserve">allegations. </w:t>
      </w:r>
      <w:r w:rsidRPr="00602F08">
        <w:rPr>
          <w:rFonts w:ascii="Times New Roman" w:hAnsi="Times New Roman"/>
        </w:rPr>
        <w:t xml:space="preserve">The Secretary of State has had every opportunity </w:t>
      </w:r>
      <w:r w:rsidR="00CC6E1B" w:rsidRPr="00602F08">
        <w:rPr>
          <w:rFonts w:ascii="Times New Roman" w:hAnsi="Times New Roman"/>
        </w:rPr>
        <w:t xml:space="preserve">to put </w:t>
      </w:r>
      <w:r w:rsidR="004D0220" w:rsidRPr="00602F08">
        <w:rPr>
          <w:rFonts w:ascii="Times New Roman" w:hAnsi="Times New Roman"/>
        </w:rPr>
        <w:t xml:space="preserve">evidence before the Court. </w:t>
      </w:r>
      <w:r w:rsidR="00C17755" w:rsidRPr="00602F08">
        <w:rPr>
          <w:rFonts w:ascii="Times New Roman" w:hAnsi="Times New Roman"/>
        </w:rPr>
        <w:t>On 18 November 2019 the Court (Mr Dan Squires QC sitting as a Deputy High Court Judge</w:t>
      </w:r>
      <w:r w:rsidR="002461DF" w:rsidRPr="00602F08">
        <w:rPr>
          <w:rFonts w:ascii="Times New Roman" w:hAnsi="Times New Roman"/>
        </w:rPr>
        <w:t>)</w:t>
      </w:r>
      <w:r w:rsidR="00C17755" w:rsidRPr="00602F08">
        <w:rPr>
          <w:rFonts w:ascii="Times New Roman" w:hAnsi="Times New Roman"/>
        </w:rPr>
        <w:t xml:space="preserve"> stated “if the parties have any relevant evidence on the issue of refusal to travel it should be disclosed as soon as possible”</w:t>
      </w:r>
      <w:r w:rsidR="00485E6D" w:rsidRPr="00602F08">
        <w:rPr>
          <w:rFonts w:ascii="Times New Roman" w:hAnsi="Times New Roman"/>
        </w:rPr>
        <w:t>.</w:t>
      </w:r>
    </w:p>
    <w:p w14:paraId="0EAD3FA2" w14:textId="77777777" w:rsidR="00CA17A0" w:rsidRPr="00602F08" w:rsidRDefault="00CA17A0" w:rsidP="00B6212D">
      <w:pPr>
        <w:pStyle w:val="ListParagraph"/>
        <w:jc w:val="both"/>
        <w:rPr>
          <w:rFonts w:ascii="Times New Roman" w:hAnsi="Times New Roman"/>
        </w:rPr>
      </w:pPr>
    </w:p>
    <w:p w14:paraId="2A11F9EA" w14:textId="43D2DAF6" w:rsidR="00CA17A0" w:rsidRPr="00602F08" w:rsidRDefault="00CA17A0" w:rsidP="00B6212D">
      <w:pPr>
        <w:pStyle w:val="ListParagraph"/>
        <w:numPr>
          <w:ilvl w:val="0"/>
          <w:numId w:val="10"/>
        </w:numPr>
        <w:spacing w:before="100" w:beforeAutospacing="1" w:after="100" w:afterAutospacing="1"/>
        <w:jc w:val="both"/>
        <w:textAlignment w:val="baseline"/>
        <w:rPr>
          <w:rFonts w:ascii="Times New Roman" w:hAnsi="Times New Roman"/>
        </w:rPr>
      </w:pPr>
      <w:r w:rsidRPr="00602F08">
        <w:rPr>
          <w:rFonts w:ascii="Times New Roman" w:hAnsi="Times New Roman"/>
        </w:rPr>
        <w:t xml:space="preserve">Ms Bond described </w:t>
      </w:r>
      <w:r w:rsidR="00242974" w:rsidRPr="00602F08">
        <w:rPr>
          <w:rFonts w:ascii="Times New Roman" w:hAnsi="Times New Roman"/>
        </w:rPr>
        <w:t xml:space="preserve">what she termed </w:t>
      </w:r>
      <w:r w:rsidRPr="00602F08">
        <w:rPr>
          <w:rFonts w:ascii="Times New Roman" w:hAnsi="Times New Roman"/>
        </w:rPr>
        <w:t xml:space="preserve">the </w:t>
      </w:r>
      <w:r w:rsidR="00242974" w:rsidRPr="00602F08">
        <w:rPr>
          <w:rFonts w:ascii="Times New Roman" w:hAnsi="Times New Roman"/>
        </w:rPr>
        <w:t>“policy around failure to travel” as follows:</w:t>
      </w:r>
    </w:p>
    <w:p w14:paraId="62E8B359" w14:textId="7D627B4F" w:rsidR="00242974" w:rsidRPr="00602F08" w:rsidRDefault="00242974" w:rsidP="00B6212D">
      <w:pPr>
        <w:ind w:left="1440"/>
        <w:jc w:val="both"/>
      </w:pPr>
      <w:r w:rsidRPr="00602F08">
        <w:t xml:space="preserve">“The policy around failure to travel dictates that, upon notification of an applicant failing to travel to their allocated accommodation, we await an explanation from the applicant or their representative for the reason the applicant has failed to travel. </w:t>
      </w:r>
      <w:r w:rsidR="005231D6" w:rsidRPr="00602F08">
        <w:t>This is stipulated in paragraph 4 of the grant of support letter where it states ‘</w:t>
      </w:r>
      <w:r w:rsidR="005231D6" w:rsidRPr="00602F08">
        <w:rPr>
          <w:i/>
          <w:iCs/>
        </w:rPr>
        <w:t>If you fail, without reas</w:t>
      </w:r>
      <w:r w:rsidR="000E1368" w:rsidRPr="00602F08">
        <w:rPr>
          <w:i/>
          <w:iCs/>
        </w:rPr>
        <w:t>onable explanation, to travel to the accommodation arranged for you there should be no expectation that alternative accommodation with be arranged for you</w:t>
      </w:r>
      <w:r w:rsidR="000E1368" w:rsidRPr="00602F08">
        <w:t>.</w:t>
      </w:r>
      <w:r w:rsidR="0007426B" w:rsidRPr="00602F08">
        <w:t>’</w:t>
      </w:r>
    </w:p>
    <w:p w14:paraId="4621818E" w14:textId="0E74082B" w:rsidR="0007426B" w:rsidRPr="00602F08" w:rsidRDefault="0007426B" w:rsidP="00B6212D">
      <w:pPr>
        <w:ind w:left="1440"/>
        <w:jc w:val="both"/>
      </w:pPr>
    </w:p>
    <w:p w14:paraId="4A752C9A" w14:textId="4D07DAB5" w:rsidR="00503F1D" w:rsidRPr="00602F08" w:rsidRDefault="0007426B" w:rsidP="00B6212D">
      <w:pPr>
        <w:ind w:left="1440"/>
        <w:jc w:val="both"/>
      </w:pPr>
      <w:r w:rsidRPr="00602F08">
        <w:t>Upon receipt of reasons for failure to travel these are assessed and if deemed reasonable accommodation is rebooked immediately</w:t>
      </w:r>
      <w:r w:rsidR="0003711C" w:rsidRPr="00602F08">
        <w:t>. The applicant or representative will be advised that the reasons for failing to travel has been accepted</w:t>
      </w:r>
      <w:r w:rsidR="00503F1D" w:rsidRPr="00602F08">
        <w:t xml:space="preserve"> …”</w:t>
      </w:r>
    </w:p>
    <w:p w14:paraId="4959774A" w14:textId="77777777" w:rsidR="00587DDB" w:rsidRPr="00602F08" w:rsidRDefault="00587DDB" w:rsidP="00B6212D">
      <w:pPr>
        <w:jc w:val="both"/>
      </w:pPr>
    </w:p>
    <w:p w14:paraId="67F3BCCA" w14:textId="73E633F7" w:rsidR="008523F1" w:rsidRPr="00602F08" w:rsidRDefault="00C451F4" w:rsidP="00B6212D">
      <w:pPr>
        <w:ind w:firstLine="720"/>
        <w:jc w:val="both"/>
        <w:rPr>
          <w:rStyle w:val="normaltextrun"/>
          <w:b/>
          <w:bCs/>
          <w:u w:val="single"/>
          <w:lang w:val="en-US"/>
        </w:rPr>
      </w:pPr>
      <w:r w:rsidRPr="00602F08">
        <w:t>The cases of the claimants show</w:t>
      </w:r>
      <w:r w:rsidR="002C7325" w:rsidRPr="00602F08">
        <w:t xml:space="preserve"> rebooking of accommodation</w:t>
      </w:r>
      <w:r w:rsidR="00585AC6" w:rsidRPr="00602F08">
        <w:t xml:space="preserve">. </w:t>
      </w:r>
    </w:p>
    <w:p w14:paraId="37EB3432" w14:textId="74ED295A" w:rsidR="008523F1" w:rsidRPr="00602F08" w:rsidRDefault="008523F1" w:rsidP="00B6212D">
      <w:pPr>
        <w:ind w:left="119"/>
        <w:jc w:val="both"/>
        <w:rPr>
          <w:rStyle w:val="normaltextrun"/>
          <w:b/>
          <w:bCs/>
          <w:u w:val="single"/>
          <w:lang w:val="en-US"/>
        </w:rPr>
      </w:pPr>
    </w:p>
    <w:p w14:paraId="49584F8A" w14:textId="77777777" w:rsidR="0015290C" w:rsidRPr="00602F08" w:rsidRDefault="0015290C" w:rsidP="00B6212D">
      <w:pPr>
        <w:ind w:left="119"/>
        <w:jc w:val="both"/>
        <w:rPr>
          <w:rStyle w:val="normaltextrun"/>
          <w:b/>
          <w:bCs/>
          <w:u w:val="single"/>
          <w:lang w:val="en-US"/>
        </w:rPr>
      </w:pPr>
    </w:p>
    <w:p w14:paraId="64EEAB3D" w14:textId="77777777" w:rsidR="008523F1" w:rsidRPr="00602F08" w:rsidRDefault="008523F1" w:rsidP="00B6212D">
      <w:pPr>
        <w:ind w:left="119"/>
        <w:jc w:val="both"/>
        <w:rPr>
          <w:rStyle w:val="normaltextrun"/>
          <w:b/>
          <w:bCs/>
          <w:u w:val="single"/>
          <w:lang w:val="en-US"/>
        </w:rPr>
      </w:pPr>
    </w:p>
    <w:p w14:paraId="4BF48BBF" w14:textId="27709C3C" w:rsidR="00CA20F7" w:rsidRPr="00602F08" w:rsidRDefault="00CA20F7" w:rsidP="00B6212D">
      <w:pPr>
        <w:ind w:left="119"/>
        <w:jc w:val="both"/>
        <w:rPr>
          <w:rStyle w:val="normaltextrun"/>
        </w:rPr>
      </w:pPr>
      <w:r w:rsidRPr="00602F08">
        <w:rPr>
          <w:rStyle w:val="normaltextrun"/>
          <w:b/>
          <w:bCs/>
          <w:u w:val="single"/>
          <w:lang w:val="en-US"/>
        </w:rPr>
        <w:t>C</w:t>
      </w:r>
      <w:r w:rsidR="008F1152" w:rsidRPr="00602F08">
        <w:rPr>
          <w:rStyle w:val="normaltextrun"/>
          <w:b/>
          <w:bCs/>
          <w:u w:val="single"/>
          <w:lang w:val="en-US"/>
        </w:rPr>
        <w:t>o</w:t>
      </w:r>
      <w:r w:rsidR="00B664E5" w:rsidRPr="00602F08">
        <w:rPr>
          <w:rStyle w:val="normaltextrun"/>
          <w:b/>
          <w:bCs/>
          <w:u w:val="single"/>
          <w:lang w:val="en-US"/>
        </w:rPr>
        <w:t>ntext</w:t>
      </w:r>
    </w:p>
    <w:p w14:paraId="51C6E8DA" w14:textId="77777777" w:rsidR="008523F1" w:rsidRPr="00602F08" w:rsidRDefault="008523F1" w:rsidP="00B6212D">
      <w:pPr>
        <w:ind w:left="687"/>
        <w:jc w:val="both"/>
        <w:rPr>
          <w:rStyle w:val="normaltextrun"/>
          <w:lang w:val="en-US"/>
        </w:rPr>
      </w:pPr>
    </w:p>
    <w:p w14:paraId="091FEF8D" w14:textId="5E4C0C2A" w:rsidR="00C07A79" w:rsidRPr="00602F08" w:rsidRDefault="00336B01" w:rsidP="00B6212D">
      <w:pPr>
        <w:numPr>
          <w:ilvl w:val="0"/>
          <w:numId w:val="10"/>
        </w:numPr>
        <w:jc w:val="both"/>
        <w:rPr>
          <w:rStyle w:val="normaltextrun"/>
          <w:lang w:val="en-US"/>
        </w:rPr>
      </w:pPr>
      <w:r w:rsidRPr="00602F08">
        <w:rPr>
          <w:rStyle w:val="normaltextrun"/>
          <w:lang w:val="en-US"/>
        </w:rPr>
        <w:t>In Summary Grounds of Defence in the case of DMA, AHK, BK and ELN</w:t>
      </w:r>
      <w:r w:rsidR="00614266" w:rsidRPr="00602F08">
        <w:rPr>
          <w:rStyle w:val="normaltextrun"/>
          <w:lang w:val="en-US"/>
        </w:rPr>
        <w:t>, settled by the Government Legal Department,</w:t>
      </w:r>
      <w:r w:rsidRPr="00602F08">
        <w:rPr>
          <w:rStyle w:val="normaltextrun"/>
          <w:lang w:val="en-US"/>
        </w:rPr>
        <w:t xml:space="preserve"> it is said on behalf of the Secretary of State</w:t>
      </w:r>
      <w:r w:rsidR="00AB4715" w:rsidRPr="00602F08">
        <w:rPr>
          <w:rStyle w:val="normaltextrun"/>
          <w:lang w:val="en-US"/>
        </w:rPr>
        <w:t xml:space="preserve"> that:</w:t>
      </w:r>
    </w:p>
    <w:p w14:paraId="2C4ECB36" w14:textId="65D68F43" w:rsidR="00AB4715" w:rsidRPr="00602F08" w:rsidRDefault="00AB4715" w:rsidP="00B6212D">
      <w:pPr>
        <w:jc w:val="both"/>
        <w:rPr>
          <w:rStyle w:val="normaltextrun"/>
          <w:lang w:val="en-US"/>
        </w:rPr>
      </w:pPr>
    </w:p>
    <w:p w14:paraId="7342FA78" w14:textId="2272E1A2" w:rsidR="00AB4715" w:rsidRPr="00602F08" w:rsidRDefault="00AB4715" w:rsidP="00B6212D">
      <w:pPr>
        <w:ind w:left="1440"/>
        <w:jc w:val="both"/>
        <w:rPr>
          <w:rStyle w:val="normaltextrun"/>
          <w:lang w:val="en-US"/>
        </w:rPr>
      </w:pPr>
      <w:r w:rsidRPr="00602F08">
        <w:rPr>
          <w:rStyle w:val="normaltextrun"/>
          <w:lang w:val="en-US"/>
        </w:rPr>
        <w:t>“Although [the Secretary of State</w:t>
      </w:r>
      <w:r w:rsidR="00C80D76" w:rsidRPr="00602F08">
        <w:rPr>
          <w:rStyle w:val="normaltextrun"/>
          <w:lang w:val="en-US"/>
        </w:rPr>
        <w:t>]</w:t>
      </w:r>
      <w:r w:rsidRPr="00602F08">
        <w:rPr>
          <w:rStyle w:val="normaltextrun"/>
          <w:lang w:val="en-US"/>
        </w:rPr>
        <w:t xml:space="preserve"> regrets the delay</w:t>
      </w:r>
      <w:r w:rsidR="007E6718" w:rsidRPr="00602F08">
        <w:rPr>
          <w:rStyle w:val="normaltextrun"/>
          <w:lang w:val="en-US"/>
        </w:rPr>
        <w:t xml:space="preserve"> in providing each Claimant with accommodation and financial payments under s4, she denies that any of their circumstances came anywhere close </w:t>
      </w:r>
      <w:r w:rsidR="001D3F16" w:rsidRPr="00602F08">
        <w:rPr>
          <w:rStyle w:val="normaltextrun"/>
          <w:lang w:val="en-US"/>
        </w:rPr>
        <w:t>to reaching the threshold under article 3 EHCR. Though the Claimants had been assessed as being destitut</w:t>
      </w:r>
      <w:r w:rsidR="00667392" w:rsidRPr="00602F08">
        <w:rPr>
          <w:rStyle w:val="normaltextrun"/>
          <w:lang w:val="en-US"/>
        </w:rPr>
        <w:t xml:space="preserve">e, in the sense of lacking adequate accommodation and/or sufficient support to meet their living needs, none of the </w:t>
      </w:r>
      <w:r w:rsidR="004B3C37" w:rsidRPr="00602F08">
        <w:rPr>
          <w:rStyle w:val="normaltextrun"/>
          <w:lang w:val="en-US"/>
        </w:rPr>
        <w:t>Claimants were street homeless in the relevant period and all appear t</w:t>
      </w:r>
      <w:r w:rsidR="009D6216" w:rsidRPr="00602F08">
        <w:rPr>
          <w:rStyle w:val="normaltextrun"/>
          <w:lang w:val="en-US"/>
        </w:rPr>
        <w:t>o have the benefit of (albeit very limited) subsistence support from other sources.”</w:t>
      </w:r>
    </w:p>
    <w:p w14:paraId="23AB1A64" w14:textId="77777777" w:rsidR="009D6216" w:rsidRPr="00602F08" w:rsidRDefault="009D6216" w:rsidP="00B6212D">
      <w:pPr>
        <w:ind w:left="1440"/>
        <w:jc w:val="both"/>
        <w:rPr>
          <w:rStyle w:val="normaltextrun"/>
          <w:lang w:val="en-US"/>
        </w:rPr>
      </w:pPr>
    </w:p>
    <w:p w14:paraId="7FA1FC6B" w14:textId="7D73C1F4" w:rsidR="00CA20F7" w:rsidRPr="00602F08" w:rsidRDefault="009D6216" w:rsidP="00B6212D">
      <w:pPr>
        <w:numPr>
          <w:ilvl w:val="0"/>
          <w:numId w:val="10"/>
        </w:numPr>
        <w:jc w:val="both"/>
        <w:rPr>
          <w:rStyle w:val="normaltextrun"/>
          <w:lang w:val="en-US"/>
        </w:rPr>
      </w:pPr>
      <w:r w:rsidRPr="00602F08">
        <w:rPr>
          <w:rStyle w:val="normaltextrun"/>
          <w:lang w:val="en-US"/>
        </w:rPr>
        <w:t>I cannot accept</w:t>
      </w:r>
      <w:r w:rsidR="003F270A" w:rsidRPr="00602F08">
        <w:rPr>
          <w:rStyle w:val="normaltextrun"/>
          <w:lang w:val="en-US"/>
        </w:rPr>
        <w:t xml:space="preserve"> a</w:t>
      </w:r>
      <w:r w:rsidR="00833DD8" w:rsidRPr="00602F08">
        <w:rPr>
          <w:rStyle w:val="normaltextrun"/>
          <w:lang w:val="en-US"/>
        </w:rPr>
        <w:t xml:space="preserve"> contention</w:t>
      </w:r>
      <w:r w:rsidR="00270928" w:rsidRPr="00602F08">
        <w:rPr>
          <w:rStyle w:val="normaltextrun"/>
          <w:lang w:val="en-US"/>
        </w:rPr>
        <w:t xml:space="preserve"> that </w:t>
      </w:r>
      <w:r w:rsidR="00D97BD9" w:rsidRPr="00602F08">
        <w:rPr>
          <w:rStyle w:val="normaltextrun"/>
          <w:lang w:val="en-US"/>
        </w:rPr>
        <w:t xml:space="preserve">the circumstances </w:t>
      </w:r>
      <w:r w:rsidR="00F168BD" w:rsidRPr="00602F08">
        <w:rPr>
          <w:rStyle w:val="normaltextrun"/>
          <w:lang w:val="en-US"/>
        </w:rPr>
        <w:t>of the claimants did not come</w:t>
      </w:r>
      <w:r w:rsidR="00D97BD9" w:rsidRPr="00602F08">
        <w:rPr>
          <w:rStyle w:val="normaltextrun"/>
          <w:lang w:val="en-US"/>
        </w:rPr>
        <w:t xml:space="preserve"> close to reaching the threshold under article 3 EHCR</w:t>
      </w:r>
      <w:r w:rsidRPr="00602F08">
        <w:rPr>
          <w:rStyle w:val="normaltextrun"/>
          <w:lang w:val="en-US"/>
        </w:rPr>
        <w:t xml:space="preserve">. </w:t>
      </w:r>
      <w:r w:rsidR="004B5FBB" w:rsidRPr="00602F08">
        <w:rPr>
          <w:rStyle w:val="normaltextrun"/>
          <w:lang w:val="en-US"/>
        </w:rPr>
        <w:t>This is because f</w:t>
      </w:r>
      <w:r w:rsidR="00211B9B" w:rsidRPr="00602F08">
        <w:rPr>
          <w:rStyle w:val="normaltextrun"/>
          <w:lang w:val="en-US"/>
        </w:rPr>
        <w:t>or each claimant</w:t>
      </w:r>
      <w:r w:rsidR="00CA20F7" w:rsidRPr="00602F08">
        <w:rPr>
          <w:rStyle w:val="normaltextrun"/>
          <w:lang w:val="en-US"/>
        </w:rPr>
        <w:t xml:space="preserve"> </w:t>
      </w:r>
      <w:r w:rsidR="00211B9B" w:rsidRPr="00602F08">
        <w:rPr>
          <w:rStyle w:val="normaltextrun"/>
          <w:lang w:val="en-US"/>
        </w:rPr>
        <w:t xml:space="preserve">in the present proceedings </w:t>
      </w:r>
      <w:r w:rsidR="00CA20F7" w:rsidRPr="00602F08">
        <w:rPr>
          <w:rStyle w:val="normaltextrun"/>
          <w:lang w:val="en-US"/>
        </w:rPr>
        <w:t>the Secretary of State accept</w:t>
      </w:r>
      <w:r w:rsidRPr="00602F08">
        <w:rPr>
          <w:rStyle w:val="normaltextrun"/>
          <w:lang w:val="en-US"/>
        </w:rPr>
        <w:t>ed</w:t>
      </w:r>
      <w:r w:rsidR="00CA20F7" w:rsidRPr="00602F08">
        <w:rPr>
          <w:rStyle w:val="normaltextrun"/>
          <w:lang w:val="en-US"/>
        </w:rPr>
        <w:t xml:space="preserve"> a duty </w:t>
      </w:r>
      <w:r w:rsidR="00211B9B" w:rsidRPr="00602F08">
        <w:rPr>
          <w:rStyle w:val="normaltextrun"/>
          <w:lang w:val="en-US"/>
        </w:rPr>
        <w:t xml:space="preserve">to accommodate </w:t>
      </w:r>
      <w:r w:rsidR="00CA20F7" w:rsidRPr="00602F08">
        <w:rPr>
          <w:rStyle w:val="normaltextrun"/>
          <w:lang w:val="en-US"/>
        </w:rPr>
        <w:t>under section 4</w:t>
      </w:r>
      <w:r w:rsidR="0029537C" w:rsidRPr="00602F08">
        <w:rPr>
          <w:rStyle w:val="normaltextrun"/>
          <w:lang w:val="en-US"/>
        </w:rPr>
        <w:t>(2)</w:t>
      </w:r>
      <w:r w:rsidR="00CA20F7" w:rsidRPr="00602F08">
        <w:rPr>
          <w:rStyle w:val="normaltextrun"/>
          <w:lang w:val="en-US"/>
        </w:rPr>
        <w:t xml:space="preserve">. </w:t>
      </w:r>
      <w:r w:rsidR="008D5E91" w:rsidRPr="00602F08">
        <w:rPr>
          <w:rStyle w:val="normaltextrun"/>
          <w:lang w:val="en-US"/>
        </w:rPr>
        <w:t>T</w:t>
      </w:r>
      <w:r w:rsidR="00CA20F7" w:rsidRPr="00602F08">
        <w:rPr>
          <w:rStyle w:val="normaltextrun"/>
          <w:lang w:val="en-US"/>
        </w:rPr>
        <w:t>he co</w:t>
      </w:r>
      <w:r w:rsidR="008F1152" w:rsidRPr="00602F08">
        <w:rPr>
          <w:rStyle w:val="normaltextrun"/>
          <w:lang w:val="en-US"/>
        </w:rPr>
        <w:t>ntext</w:t>
      </w:r>
      <w:r w:rsidR="00CA20F7" w:rsidRPr="00602F08">
        <w:rPr>
          <w:rStyle w:val="normaltextrun"/>
          <w:lang w:val="en-US"/>
        </w:rPr>
        <w:t xml:space="preserve"> that must underpin that acceptance</w:t>
      </w:r>
      <w:r w:rsidR="008D5E91" w:rsidRPr="00602F08">
        <w:rPr>
          <w:rStyle w:val="normaltextrun"/>
          <w:lang w:val="en-US"/>
        </w:rPr>
        <w:t xml:space="preserve"> is as follows</w:t>
      </w:r>
      <w:r w:rsidR="00CA20F7" w:rsidRPr="00602F08">
        <w:rPr>
          <w:rStyle w:val="normaltextrun"/>
          <w:lang w:val="en-US"/>
        </w:rPr>
        <w:t>:</w:t>
      </w:r>
    </w:p>
    <w:p w14:paraId="045D9381" w14:textId="77777777" w:rsidR="00CA20F7" w:rsidRPr="00602F08" w:rsidRDefault="00CA20F7" w:rsidP="00B6212D">
      <w:pPr>
        <w:ind w:left="687"/>
        <w:jc w:val="both"/>
        <w:rPr>
          <w:rStyle w:val="normaltextrun"/>
          <w:lang w:val="en-US"/>
        </w:rPr>
      </w:pPr>
    </w:p>
    <w:p w14:paraId="14F06E71" w14:textId="77777777" w:rsidR="00CA20F7" w:rsidRPr="00602F08" w:rsidRDefault="00CA20F7" w:rsidP="00B6212D">
      <w:pPr>
        <w:numPr>
          <w:ilvl w:val="0"/>
          <w:numId w:val="12"/>
        </w:numPr>
        <w:ind w:left="1043" w:hanging="357"/>
        <w:jc w:val="both"/>
        <w:rPr>
          <w:rStyle w:val="normaltextrun"/>
          <w:lang w:val="en-US"/>
        </w:rPr>
      </w:pPr>
      <w:r w:rsidRPr="00602F08">
        <w:rPr>
          <w:rStyle w:val="normaltextrun"/>
          <w:lang w:val="en-US"/>
        </w:rPr>
        <w:t>The claimants appeared to the Secretary of State to be destitute at the point of the decision by the Secretary of State to provide or arrange for the provision of accommodation: see regulation 3(1)(a).</w:t>
      </w:r>
    </w:p>
    <w:p w14:paraId="66C9AFD4" w14:textId="77777777" w:rsidR="00CA20F7" w:rsidRPr="00602F08" w:rsidRDefault="00CA20F7" w:rsidP="00B6212D">
      <w:pPr>
        <w:ind w:left="1043"/>
        <w:jc w:val="both"/>
        <w:rPr>
          <w:rStyle w:val="normaltextrun"/>
          <w:lang w:val="en-US"/>
        </w:rPr>
      </w:pPr>
    </w:p>
    <w:p w14:paraId="626B3C7E" w14:textId="0860D99A" w:rsidR="00CA20F7" w:rsidRPr="00602F08" w:rsidRDefault="00CA20F7" w:rsidP="00B6212D">
      <w:pPr>
        <w:numPr>
          <w:ilvl w:val="0"/>
          <w:numId w:val="12"/>
        </w:numPr>
        <w:ind w:left="1043" w:hanging="357"/>
        <w:jc w:val="both"/>
        <w:rPr>
          <w:rStyle w:val="normaltextrun"/>
          <w:lang w:val="en-US"/>
        </w:rPr>
      </w:pPr>
      <w:r w:rsidRPr="00602F08">
        <w:rPr>
          <w:rStyle w:val="normaltextrun"/>
          <w:lang w:val="en-US"/>
        </w:rPr>
        <w:t xml:space="preserve">That is to say, </w:t>
      </w:r>
      <w:r w:rsidRPr="00602F08">
        <w:t>they did not</w:t>
      </w:r>
      <w:r w:rsidRPr="00602F08">
        <w:rPr>
          <w:spacing w:val="-6"/>
        </w:rPr>
        <w:t xml:space="preserve"> </w:t>
      </w:r>
      <w:r w:rsidRPr="00602F08">
        <w:t>have</w:t>
      </w:r>
      <w:r w:rsidRPr="00602F08">
        <w:rPr>
          <w:spacing w:val="-4"/>
        </w:rPr>
        <w:t xml:space="preserve"> </w:t>
      </w:r>
      <w:r w:rsidRPr="00602F08">
        <w:t>adequate</w:t>
      </w:r>
      <w:r w:rsidRPr="00602F08">
        <w:rPr>
          <w:spacing w:val="-5"/>
        </w:rPr>
        <w:t xml:space="preserve"> </w:t>
      </w:r>
      <w:r w:rsidRPr="00602F08">
        <w:t>accommodation</w:t>
      </w:r>
      <w:r w:rsidRPr="00602F08">
        <w:rPr>
          <w:spacing w:val="-5"/>
        </w:rPr>
        <w:t xml:space="preserve"> </w:t>
      </w:r>
      <w:r w:rsidRPr="00602F08">
        <w:t>or</w:t>
      </w:r>
      <w:r w:rsidRPr="00602F08">
        <w:rPr>
          <w:spacing w:val="-5"/>
        </w:rPr>
        <w:t xml:space="preserve"> </w:t>
      </w:r>
      <w:r w:rsidRPr="00602F08">
        <w:t>any</w:t>
      </w:r>
      <w:r w:rsidRPr="00602F08">
        <w:rPr>
          <w:spacing w:val="-6"/>
        </w:rPr>
        <w:t xml:space="preserve"> </w:t>
      </w:r>
      <w:r w:rsidRPr="00602F08">
        <w:t>means</w:t>
      </w:r>
      <w:r w:rsidRPr="00602F08">
        <w:rPr>
          <w:spacing w:val="-4"/>
        </w:rPr>
        <w:t xml:space="preserve"> </w:t>
      </w:r>
      <w:r w:rsidRPr="00602F08">
        <w:t>of</w:t>
      </w:r>
      <w:r w:rsidRPr="00602F08">
        <w:rPr>
          <w:spacing w:val="-5"/>
        </w:rPr>
        <w:t xml:space="preserve"> </w:t>
      </w:r>
      <w:r w:rsidRPr="00602F08">
        <w:t>obtaining</w:t>
      </w:r>
      <w:r w:rsidRPr="00602F08">
        <w:rPr>
          <w:spacing w:val="-6"/>
        </w:rPr>
        <w:t xml:space="preserve"> </w:t>
      </w:r>
      <w:r w:rsidRPr="00602F08">
        <w:t>it</w:t>
      </w:r>
      <w:r w:rsidRPr="00602F08">
        <w:rPr>
          <w:spacing w:val="-4"/>
        </w:rPr>
        <w:t xml:space="preserve"> </w:t>
      </w:r>
      <w:r w:rsidRPr="00602F08">
        <w:t>(whether</w:t>
      </w:r>
      <w:r w:rsidRPr="00602F08">
        <w:rPr>
          <w:spacing w:val="-5"/>
        </w:rPr>
        <w:t xml:space="preserve"> </w:t>
      </w:r>
      <w:r w:rsidRPr="00602F08">
        <w:t>or</w:t>
      </w:r>
      <w:r w:rsidRPr="00602F08">
        <w:rPr>
          <w:spacing w:val="-6"/>
        </w:rPr>
        <w:t xml:space="preserve"> </w:t>
      </w:r>
      <w:r w:rsidRPr="00602F08">
        <w:t>not</w:t>
      </w:r>
      <w:r w:rsidRPr="00602F08">
        <w:rPr>
          <w:spacing w:val="-5"/>
        </w:rPr>
        <w:t xml:space="preserve"> </w:t>
      </w:r>
      <w:r w:rsidRPr="00602F08">
        <w:t>his</w:t>
      </w:r>
      <w:r w:rsidRPr="00602F08">
        <w:rPr>
          <w:spacing w:val="-5"/>
        </w:rPr>
        <w:t xml:space="preserve"> </w:t>
      </w:r>
      <w:r w:rsidR="00105CBB" w:rsidRPr="00602F08">
        <w:rPr>
          <w:spacing w:val="-5"/>
        </w:rPr>
        <w:t xml:space="preserve">or her </w:t>
      </w:r>
      <w:r w:rsidRPr="00602F08">
        <w:t xml:space="preserve">other essential living needs </w:t>
      </w:r>
      <w:r w:rsidR="00105CBB" w:rsidRPr="00602F08">
        <w:t>were</w:t>
      </w:r>
      <w:r w:rsidRPr="00602F08">
        <w:t xml:space="preserve"> met) or had adequate accommodation or the means of obtaining it, but could not meet other essential</w:t>
      </w:r>
      <w:r w:rsidRPr="00602F08">
        <w:rPr>
          <w:spacing w:val="-2"/>
        </w:rPr>
        <w:t xml:space="preserve"> </w:t>
      </w:r>
      <w:r w:rsidRPr="00602F08">
        <w:t>needs: see regulation 2 of the 2005 Regulations, and the Policy.</w:t>
      </w:r>
    </w:p>
    <w:p w14:paraId="46FC9DDE" w14:textId="77777777" w:rsidR="00CA20F7" w:rsidRPr="00602F08" w:rsidRDefault="00CA20F7" w:rsidP="00B6212D">
      <w:pPr>
        <w:ind w:left="1043"/>
        <w:jc w:val="both"/>
        <w:rPr>
          <w:rStyle w:val="normaltextrun"/>
          <w:lang w:val="en-US"/>
        </w:rPr>
      </w:pPr>
    </w:p>
    <w:p w14:paraId="56D8D2C5" w14:textId="77777777" w:rsidR="00963D92" w:rsidRPr="00602F08" w:rsidRDefault="00CA20F7" w:rsidP="00B6212D">
      <w:pPr>
        <w:numPr>
          <w:ilvl w:val="0"/>
          <w:numId w:val="12"/>
        </w:numPr>
        <w:ind w:left="1043" w:hanging="357"/>
        <w:jc w:val="both"/>
        <w:rPr>
          <w:rStyle w:val="normaltextrun"/>
          <w:lang w:val="en-US"/>
        </w:rPr>
      </w:pPr>
      <w:r w:rsidRPr="00602F08">
        <w:rPr>
          <w:rStyle w:val="normaltextrun"/>
          <w:lang w:val="en-US"/>
        </w:rPr>
        <w:t>Further, o</w:t>
      </w:r>
      <w:r w:rsidRPr="00602F08">
        <w:t>n a fair and objective assessment the claimants faced an imminent prospect of serious suffering caused or materially aggravated by denial of shelter, food or the most basic necessities of life</w:t>
      </w:r>
      <w:r w:rsidRPr="00602F08">
        <w:rPr>
          <w:rStyle w:val="normaltextrun"/>
          <w:lang w:val="en-US"/>
        </w:rPr>
        <w:t xml:space="preserve">: see regulation 3(2)(e), read with </w:t>
      </w:r>
      <w:r w:rsidRPr="00602F08">
        <w:rPr>
          <w:rStyle w:val="normaltextrun"/>
          <w:u w:val="single"/>
          <w:lang w:val="en-US"/>
        </w:rPr>
        <w:t>Limbuela</w:t>
      </w:r>
      <w:r w:rsidRPr="00602F08">
        <w:rPr>
          <w:rStyle w:val="normaltextrun"/>
          <w:lang w:val="en-US"/>
        </w:rPr>
        <w:t xml:space="preserve"> and </w:t>
      </w:r>
      <w:r w:rsidRPr="00602F08">
        <w:rPr>
          <w:rStyle w:val="normaltextrun"/>
          <w:u w:val="single"/>
          <w:lang w:val="en-US"/>
        </w:rPr>
        <w:t>R</w:t>
      </w:r>
      <w:r w:rsidR="0015483F" w:rsidRPr="00602F08">
        <w:rPr>
          <w:rStyle w:val="normaltextrun"/>
          <w:u w:val="single"/>
          <w:lang w:val="en-US"/>
        </w:rPr>
        <w:t xml:space="preserve"> </w:t>
      </w:r>
      <w:r w:rsidRPr="00602F08">
        <w:rPr>
          <w:rStyle w:val="normaltextrun"/>
          <w:u w:val="single"/>
          <w:lang w:val="en-US"/>
        </w:rPr>
        <w:t>(W)</w:t>
      </w:r>
      <w:r w:rsidRPr="00602F08">
        <w:rPr>
          <w:rStyle w:val="normaltextrun"/>
          <w:lang w:val="en-US"/>
        </w:rPr>
        <w:t>.</w:t>
      </w:r>
    </w:p>
    <w:p w14:paraId="571AA9A1" w14:textId="77777777" w:rsidR="00963D92" w:rsidRPr="00602F08" w:rsidRDefault="00963D92" w:rsidP="00B6212D">
      <w:pPr>
        <w:pStyle w:val="ListParagraph"/>
        <w:jc w:val="both"/>
        <w:rPr>
          <w:rStyle w:val="normaltextrun"/>
          <w:rFonts w:ascii="Times New Roman" w:hAnsi="Times New Roman"/>
          <w:lang w:val="en-US"/>
        </w:rPr>
      </w:pPr>
    </w:p>
    <w:p w14:paraId="244FC474" w14:textId="05C6B29F" w:rsidR="00CA20F7" w:rsidRPr="00602F08" w:rsidRDefault="0083175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It is common ground that t</w:t>
      </w:r>
      <w:r w:rsidR="00E24310" w:rsidRPr="00602F08">
        <w:rPr>
          <w:rStyle w:val="normaltextrun"/>
          <w:rFonts w:ascii="Times New Roman" w:hAnsi="Times New Roman"/>
          <w:lang w:val="en-US"/>
        </w:rPr>
        <w:t>he</w:t>
      </w:r>
      <w:r w:rsidR="00FF0CF1" w:rsidRPr="00602F08">
        <w:rPr>
          <w:rStyle w:val="normaltextrun"/>
          <w:rFonts w:ascii="Times New Roman" w:hAnsi="Times New Roman"/>
          <w:lang w:val="en-US"/>
        </w:rPr>
        <w:t xml:space="preserve"> claimants</w:t>
      </w:r>
      <w:r w:rsidR="00E24310" w:rsidRPr="00602F08">
        <w:rPr>
          <w:rStyle w:val="normaltextrun"/>
          <w:rFonts w:ascii="Times New Roman" w:hAnsi="Times New Roman"/>
          <w:lang w:val="en-US"/>
        </w:rPr>
        <w:t xml:space="preserve"> were “</w:t>
      </w:r>
      <w:r w:rsidR="00181E15" w:rsidRPr="00602F08">
        <w:rPr>
          <w:rStyle w:val="normaltextrun"/>
          <w:rFonts w:ascii="Times New Roman" w:hAnsi="Times New Roman"/>
          <w:lang w:val="en-US"/>
        </w:rPr>
        <w:t>highly</w:t>
      </w:r>
      <w:r w:rsidR="00E24310" w:rsidRPr="00602F08">
        <w:rPr>
          <w:rStyle w:val="normaltextrun"/>
          <w:rFonts w:ascii="Times New Roman" w:hAnsi="Times New Roman"/>
          <w:lang w:val="en-US"/>
        </w:rPr>
        <w:t xml:space="preserve"> vulnerable</w:t>
      </w:r>
      <w:r w:rsidR="00FF0CF1" w:rsidRPr="00602F08">
        <w:rPr>
          <w:rStyle w:val="normaltextrun"/>
          <w:rFonts w:ascii="Times New Roman" w:hAnsi="Times New Roman"/>
          <w:lang w:val="en-US"/>
        </w:rPr>
        <w:t xml:space="preserve"> people</w:t>
      </w:r>
      <w:r w:rsidR="00E24310" w:rsidRPr="00602F08">
        <w:rPr>
          <w:rStyle w:val="normaltextrun"/>
          <w:rFonts w:ascii="Times New Roman" w:hAnsi="Times New Roman"/>
          <w:lang w:val="en-US"/>
        </w:rPr>
        <w:t xml:space="preserve">”: see Ms Bond’s evidence </w:t>
      </w:r>
      <w:r w:rsidR="00FF0CF1" w:rsidRPr="00602F08">
        <w:rPr>
          <w:rStyle w:val="normaltextrun"/>
          <w:rFonts w:ascii="Times New Roman" w:hAnsi="Times New Roman"/>
          <w:lang w:val="en-US"/>
        </w:rPr>
        <w:t>on behalf of the Home Offic</w:t>
      </w:r>
      <w:r w:rsidR="00B664E5" w:rsidRPr="00602F08">
        <w:rPr>
          <w:rStyle w:val="normaltextrun"/>
          <w:rFonts w:ascii="Times New Roman" w:hAnsi="Times New Roman"/>
          <w:lang w:val="en-US"/>
        </w:rPr>
        <w:t>e.</w:t>
      </w:r>
    </w:p>
    <w:p w14:paraId="206190AB" w14:textId="77777777" w:rsidR="005917B5" w:rsidRPr="00602F08" w:rsidRDefault="005917B5" w:rsidP="00B6212D">
      <w:pPr>
        <w:pStyle w:val="ListParagraph"/>
        <w:widowControl w:val="0"/>
        <w:tabs>
          <w:tab w:val="left" w:pos="688"/>
        </w:tabs>
        <w:autoSpaceDE w:val="0"/>
        <w:autoSpaceDN w:val="0"/>
        <w:spacing w:before="11"/>
        <w:ind w:left="0"/>
        <w:contextualSpacing w:val="0"/>
        <w:jc w:val="both"/>
        <w:rPr>
          <w:rStyle w:val="eop"/>
          <w:rFonts w:ascii="Times New Roman" w:hAnsi="Times New Roman"/>
          <w:b/>
          <w:bCs/>
          <w:u w:val="single"/>
        </w:rPr>
      </w:pPr>
    </w:p>
    <w:p w14:paraId="0F7691CA" w14:textId="21921E62" w:rsidR="005917B5" w:rsidRPr="00602F08" w:rsidRDefault="005917B5" w:rsidP="00B6212D">
      <w:pPr>
        <w:pStyle w:val="ListParagraph"/>
        <w:widowControl w:val="0"/>
        <w:tabs>
          <w:tab w:val="left" w:pos="688"/>
        </w:tabs>
        <w:autoSpaceDE w:val="0"/>
        <w:autoSpaceDN w:val="0"/>
        <w:spacing w:before="11"/>
        <w:ind w:left="0"/>
        <w:contextualSpacing w:val="0"/>
        <w:jc w:val="both"/>
        <w:rPr>
          <w:rStyle w:val="eop"/>
          <w:rFonts w:ascii="Times New Roman" w:hAnsi="Times New Roman"/>
          <w:b/>
          <w:bCs/>
          <w:u w:val="single"/>
        </w:rPr>
      </w:pPr>
    </w:p>
    <w:p w14:paraId="7DA46818" w14:textId="77777777" w:rsidR="00C1685E" w:rsidRPr="00602F08" w:rsidRDefault="00C1685E" w:rsidP="00B6212D">
      <w:pPr>
        <w:pStyle w:val="ListParagraph"/>
        <w:widowControl w:val="0"/>
        <w:tabs>
          <w:tab w:val="left" w:pos="688"/>
        </w:tabs>
        <w:autoSpaceDE w:val="0"/>
        <w:autoSpaceDN w:val="0"/>
        <w:spacing w:before="11"/>
        <w:ind w:left="0"/>
        <w:contextualSpacing w:val="0"/>
        <w:jc w:val="both"/>
        <w:rPr>
          <w:rStyle w:val="eop"/>
          <w:rFonts w:ascii="Times New Roman" w:hAnsi="Times New Roman"/>
          <w:b/>
          <w:bCs/>
          <w:u w:val="single"/>
        </w:rPr>
      </w:pPr>
    </w:p>
    <w:p w14:paraId="78DBAB90" w14:textId="59F7B8BA" w:rsidR="005917B5" w:rsidRPr="00602F08" w:rsidRDefault="005917B5" w:rsidP="00B6212D">
      <w:pPr>
        <w:pStyle w:val="ListParagraph"/>
        <w:widowControl w:val="0"/>
        <w:tabs>
          <w:tab w:val="left" w:pos="688"/>
        </w:tabs>
        <w:autoSpaceDE w:val="0"/>
        <w:autoSpaceDN w:val="0"/>
        <w:spacing w:before="11"/>
        <w:ind w:left="0"/>
        <w:contextualSpacing w:val="0"/>
        <w:jc w:val="both"/>
        <w:rPr>
          <w:rStyle w:val="eop"/>
          <w:rFonts w:ascii="Times New Roman" w:hAnsi="Times New Roman"/>
          <w:b/>
          <w:bCs/>
          <w:u w:val="single"/>
        </w:rPr>
      </w:pPr>
      <w:r w:rsidRPr="00602F08">
        <w:rPr>
          <w:rStyle w:val="eop"/>
          <w:rFonts w:ascii="Times New Roman" w:hAnsi="Times New Roman"/>
          <w:b/>
          <w:bCs/>
          <w:u w:val="single"/>
        </w:rPr>
        <w:t xml:space="preserve">Contracting </w:t>
      </w:r>
    </w:p>
    <w:p w14:paraId="1E51A3C8" w14:textId="0A11110A" w:rsidR="005917B5" w:rsidRPr="00602F08" w:rsidRDefault="005917B5" w:rsidP="00B6212D">
      <w:pPr>
        <w:pStyle w:val="ListParagraph"/>
        <w:widowControl w:val="0"/>
        <w:tabs>
          <w:tab w:val="left" w:pos="688"/>
        </w:tabs>
        <w:autoSpaceDE w:val="0"/>
        <w:autoSpaceDN w:val="0"/>
        <w:spacing w:before="11"/>
        <w:ind w:left="0"/>
        <w:contextualSpacing w:val="0"/>
        <w:jc w:val="both"/>
        <w:rPr>
          <w:rStyle w:val="eop"/>
          <w:rFonts w:ascii="Times New Roman" w:hAnsi="Times New Roman"/>
        </w:rPr>
      </w:pPr>
    </w:p>
    <w:p w14:paraId="4BC7710B" w14:textId="399B4027" w:rsidR="00C31F83" w:rsidRPr="00602F08" w:rsidRDefault="00C31F83" w:rsidP="00B6212D">
      <w:pPr>
        <w:pStyle w:val="ListParagraph"/>
        <w:widowControl w:val="0"/>
        <w:tabs>
          <w:tab w:val="left" w:pos="688"/>
        </w:tabs>
        <w:autoSpaceDE w:val="0"/>
        <w:autoSpaceDN w:val="0"/>
        <w:spacing w:before="11"/>
        <w:ind w:left="0"/>
        <w:contextualSpacing w:val="0"/>
        <w:jc w:val="both"/>
        <w:rPr>
          <w:rStyle w:val="eop"/>
          <w:rFonts w:ascii="Times New Roman" w:hAnsi="Times New Roman"/>
          <w:u w:val="single"/>
        </w:rPr>
      </w:pPr>
      <w:r w:rsidRPr="00602F08">
        <w:rPr>
          <w:rStyle w:val="eop"/>
          <w:rFonts w:ascii="Times New Roman" w:hAnsi="Times New Roman"/>
        </w:rPr>
        <w:tab/>
      </w:r>
      <w:r w:rsidR="00F84C0B" w:rsidRPr="00602F08">
        <w:rPr>
          <w:rStyle w:val="eop"/>
          <w:rFonts w:ascii="Times New Roman" w:hAnsi="Times New Roman"/>
          <w:u w:val="single"/>
        </w:rPr>
        <w:t xml:space="preserve">Contracts with </w:t>
      </w:r>
      <w:r w:rsidR="00A50518">
        <w:rPr>
          <w:rStyle w:val="eop"/>
          <w:rFonts w:ascii="Times New Roman" w:hAnsi="Times New Roman"/>
          <w:u w:val="single"/>
        </w:rPr>
        <w:t xml:space="preserve">accommodation </w:t>
      </w:r>
      <w:r w:rsidR="00F84C0B" w:rsidRPr="00602F08">
        <w:rPr>
          <w:rStyle w:val="eop"/>
          <w:rFonts w:ascii="Times New Roman" w:hAnsi="Times New Roman"/>
          <w:u w:val="single"/>
        </w:rPr>
        <w:t>providers</w:t>
      </w:r>
    </w:p>
    <w:p w14:paraId="65CA5C52" w14:textId="77777777" w:rsidR="00C31F83" w:rsidRPr="00602F08" w:rsidRDefault="00C31F83" w:rsidP="00B6212D">
      <w:pPr>
        <w:pStyle w:val="ListParagraph"/>
        <w:widowControl w:val="0"/>
        <w:tabs>
          <w:tab w:val="left" w:pos="688"/>
        </w:tabs>
        <w:autoSpaceDE w:val="0"/>
        <w:autoSpaceDN w:val="0"/>
        <w:spacing w:before="11"/>
        <w:ind w:left="0"/>
        <w:contextualSpacing w:val="0"/>
        <w:jc w:val="both"/>
        <w:rPr>
          <w:rStyle w:val="eop"/>
          <w:rFonts w:ascii="Times New Roman" w:hAnsi="Times New Roman"/>
        </w:rPr>
      </w:pPr>
    </w:p>
    <w:p w14:paraId="51EC7ABC" w14:textId="782D6159" w:rsidR="00675F09" w:rsidRPr="00602F08" w:rsidRDefault="005917B5" w:rsidP="00B6212D">
      <w:pPr>
        <w:pStyle w:val="ListParagraph"/>
        <w:widowControl w:val="0"/>
        <w:numPr>
          <w:ilvl w:val="0"/>
          <w:numId w:val="10"/>
        </w:numPr>
        <w:tabs>
          <w:tab w:val="left" w:pos="688"/>
        </w:tabs>
        <w:autoSpaceDE w:val="0"/>
        <w:autoSpaceDN w:val="0"/>
        <w:contextualSpacing w:val="0"/>
        <w:jc w:val="both"/>
        <w:rPr>
          <w:rFonts w:ascii="Times New Roman" w:hAnsi="Times New Roman"/>
        </w:rPr>
      </w:pPr>
      <w:r w:rsidRPr="00602F08">
        <w:rPr>
          <w:rStyle w:val="eop"/>
          <w:rFonts w:ascii="Times New Roman" w:hAnsi="Times New Roman"/>
        </w:rPr>
        <w:t xml:space="preserve">If her decision is to </w:t>
      </w:r>
      <w:r w:rsidRPr="00602F08">
        <w:rPr>
          <w:rFonts w:ascii="Times New Roman" w:hAnsi="Times New Roman"/>
        </w:rPr>
        <w:t>accept a duty to provide accommodation or arrange for the provision of accommodation</w:t>
      </w:r>
      <w:r w:rsidR="00C16270" w:rsidRPr="00602F08">
        <w:rPr>
          <w:rFonts w:ascii="Times New Roman" w:hAnsi="Times New Roman"/>
        </w:rPr>
        <w:t xml:space="preserve"> to an individual</w:t>
      </w:r>
      <w:r w:rsidRPr="00602F08">
        <w:rPr>
          <w:rFonts w:ascii="Times New Roman" w:hAnsi="Times New Roman"/>
        </w:rPr>
        <w:t xml:space="preserve">, the Secretary of State uses contractors to perform that duty. </w:t>
      </w:r>
    </w:p>
    <w:p w14:paraId="7FFC987A" w14:textId="77777777" w:rsidR="00675F09" w:rsidRPr="00602F08" w:rsidRDefault="00675F09" w:rsidP="00B6212D">
      <w:pPr>
        <w:pStyle w:val="ListParagraph"/>
        <w:widowControl w:val="0"/>
        <w:tabs>
          <w:tab w:val="left" w:pos="688"/>
        </w:tabs>
        <w:autoSpaceDE w:val="0"/>
        <w:autoSpaceDN w:val="0"/>
        <w:ind w:left="687"/>
        <w:contextualSpacing w:val="0"/>
        <w:jc w:val="both"/>
        <w:rPr>
          <w:rFonts w:ascii="Times New Roman" w:hAnsi="Times New Roman"/>
        </w:rPr>
      </w:pPr>
    </w:p>
    <w:p w14:paraId="3D04FBDC" w14:textId="068357F3" w:rsidR="005917B5" w:rsidRPr="00602F08" w:rsidRDefault="005917B5" w:rsidP="00B6212D">
      <w:pPr>
        <w:pStyle w:val="ListParagraph"/>
        <w:widowControl w:val="0"/>
        <w:numPr>
          <w:ilvl w:val="0"/>
          <w:numId w:val="10"/>
        </w:numPr>
        <w:tabs>
          <w:tab w:val="left" w:pos="688"/>
        </w:tabs>
        <w:autoSpaceDE w:val="0"/>
        <w:autoSpaceDN w:val="0"/>
        <w:contextualSpacing w:val="0"/>
        <w:jc w:val="both"/>
        <w:rPr>
          <w:rFonts w:ascii="Times New Roman" w:hAnsi="Times New Roman"/>
        </w:rPr>
      </w:pPr>
      <w:r w:rsidRPr="00602F08">
        <w:rPr>
          <w:rFonts w:ascii="Times New Roman" w:hAnsi="Times New Roman"/>
        </w:rPr>
        <w:t>The Secretary of State is of course free to do this, but the duty remains hers.</w:t>
      </w:r>
      <w:r w:rsidR="008B7B56" w:rsidRPr="00602F08">
        <w:rPr>
          <w:rFonts w:ascii="Times New Roman" w:hAnsi="Times New Roman"/>
        </w:rPr>
        <w:t xml:space="preserve"> </w:t>
      </w:r>
      <w:r w:rsidR="00884B9B" w:rsidRPr="00602F08">
        <w:rPr>
          <w:rFonts w:ascii="Times New Roman" w:hAnsi="Times New Roman"/>
        </w:rPr>
        <w:t xml:space="preserve">This point needs to be made </w:t>
      </w:r>
      <w:r w:rsidR="0080231D" w:rsidRPr="00602F08">
        <w:rPr>
          <w:rFonts w:ascii="Times New Roman" w:hAnsi="Times New Roman"/>
        </w:rPr>
        <w:t xml:space="preserve">specifically </w:t>
      </w:r>
      <w:r w:rsidR="00884B9B" w:rsidRPr="00602F08">
        <w:rPr>
          <w:rFonts w:ascii="Times New Roman" w:hAnsi="Times New Roman"/>
        </w:rPr>
        <w:t>because in a letter dated 22 January 2020 from the Government Legal Department to the claimants’ solicitors it is stated, wrongly, that “The SSHD is not responsibl</w:t>
      </w:r>
      <w:r w:rsidR="00921C03" w:rsidRPr="00602F08">
        <w:rPr>
          <w:rFonts w:ascii="Times New Roman" w:hAnsi="Times New Roman"/>
        </w:rPr>
        <w:t>e for a housing provider</w:t>
      </w:r>
      <w:r w:rsidR="00922EF5" w:rsidRPr="00602F08">
        <w:rPr>
          <w:rFonts w:ascii="Times New Roman" w:hAnsi="Times New Roman"/>
        </w:rPr>
        <w:t>’s performance”.</w:t>
      </w:r>
    </w:p>
    <w:p w14:paraId="033EF65A" w14:textId="77777777" w:rsidR="005917B5" w:rsidRPr="00602F08" w:rsidRDefault="005917B5" w:rsidP="00B6212D">
      <w:pPr>
        <w:pStyle w:val="ListParagraph"/>
        <w:widowControl w:val="0"/>
        <w:tabs>
          <w:tab w:val="left" w:pos="688"/>
        </w:tabs>
        <w:autoSpaceDE w:val="0"/>
        <w:autoSpaceDN w:val="0"/>
        <w:ind w:left="687"/>
        <w:contextualSpacing w:val="0"/>
        <w:jc w:val="both"/>
        <w:rPr>
          <w:rFonts w:ascii="Times New Roman" w:hAnsi="Times New Roman"/>
        </w:rPr>
      </w:pPr>
    </w:p>
    <w:p w14:paraId="440DE42F" w14:textId="659A6169" w:rsidR="00B673A2" w:rsidRPr="00602F08" w:rsidRDefault="005917B5" w:rsidP="00094B60">
      <w:pPr>
        <w:numPr>
          <w:ilvl w:val="0"/>
          <w:numId w:val="10"/>
        </w:numPr>
        <w:jc w:val="both"/>
        <w:rPr>
          <w:rStyle w:val="eop"/>
          <w:lang w:val="en-US"/>
        </w:rPr>
      </w:pPr>
      <w:r w:rsidRPr="00602F08">
        <w:rPr>
          <w:rStyle w:val="eop"/>
        </w:rPr>
        <w:t xml:space="preserve">Until March 2019 there were six regional contracts under arrangements known as Commercial and Operational Managers Procuring Asylum Support Services (“COMPASS”). </w:t>
      </w:r>
      <w:r w:rsidR="0068252C" w:rsidRPr="00602F08">
        <w:rPr>
          <w:rStyle w:val="eop"/>
        </w:rPr>
        <w:t xml:space="preserve">These were replaced by </w:t>
      </w:r>
      <w:r w:rsidR="0068252C" w:rsidRPr="00602F08">
        <w:rPr>
          <w:rStyle w:val="normaltextrun"/>
          <w:lang w:val="en-US"/>
        </w:rPr>
        <w:t>Asylum Accommodation and Support Contracts (“AASC”).</w:t>
      </w:r>
    </w:p>
    <w:p w14:paraId="63F7C8F2" w14:textId="77777777" w:rsidR="00B673A2" w:rsidRPr="00602F08" w:rsidRDefault="00B673A2" w:rsidP="00B673A2">
      <w:pPr>
        <w:pStyle w:val="ListParagraph"/>
        <w:rPr>
          <w:rStyle w:val="normaltextrun"/>
          <w:rFonts w:ascii="Times New Roman" w:hAnsi="Times New Roman"/>
          <w:lang w:val="en-US"/>
        </w:rPr>
      </w:pPr>
    </w:p>
    <w:p w14:paraId="7EBC8BE0" w14:textId="7C81FED3" w:rsidR="00B673A2" w:rsidRPr="00602F08" w:rsidRDefault="00B673A2" w:rsidP="00B673A2">
      <w:pPr>
        <w:numPr>
          <w:ilvl w:val="0"/>
          <w:numId w:val="10"/>
        </w:numPr>
        <w:jc w:val="both"/>
        <w:rPr>
          <w:rStyle w:val="normaltextrun"/>
          <w:lang w:val="en-US"/>
        </w:rPr>
      </w:pPr>
      <w:r w:rsidRPr="00602F08">
        <w:rPr>
          <w:rStyle w:val="normaltextrun"/>
          <w:lang w:val="en-US"/>
        </w:rPr>
        <w:t>Mr Paul Mill has been in post as the Senior Commercial Manager “with responsibility for the commercial management of the UKVI asylum portfolio including management of the AASC contracts” since April 2019. (In later evidence on 10 December 2020 he was described as “Associate Commercial Specialist, Home Office Commercial Directorate)</w:t>
      </w:r>
      <w:r w:rsidR="00CD4A69" w:rsidRPr="00602F08">
        <w:rPr>
          <w:rStyle w:val="normaltextrun"/>
          <w:lang w:val="en-US"/>
        </w:rPr>
        <w:t>.</w:t>
      </w:r>
      <w:r w:rsidRPr="00602F08">
        <w:rPr>
          <w:rStyle w:val="normaltextrun"/>
          <w:lang w:val="en-US"/>
        </w:rPr>
        <w:t xml:space="preserve"> His</w:t>
      </w:r>
      <w:r w:rsidRPr="00602F08">
        <w:rPr>
          <w:rStyle w:val="eop"/>
        </w:rPr>
        <w:t xml:space="preserve"> evidence in a witness statement on 24 June 2020 was that AASC contracts “had been awarded in January 2019 and became operational between September and October following a period of mobilisation and transition in the early parts of 2019”. The contracts under COMPASS came to an end between September and October 2019.</w:t>
      </w:r>
    </w:p>
    <w:p w14:paraId="740BAB6E" w14:textId="77777777" w:rsidR="00B673A2" w:rsidRPr="00602F08" w:rsidRDefault="00B673A2" w:rsidP="00976084">
      <w:pPr>
        <w:ind w:left="687"/>
        <w:jc w:val="both"/>
        <w:rPr>
          <w:rStyle w:val="normaltextrun"/>
          <w:lang w:val="en-US"/>
        </w:rPr>
      </w:pPr>
    </w:p>
    <w:p w14:paraId="75166C51" w14:textId="36C87852" w:rsidR="00860D11" w:rsidRPr="00602F08" w:rsidRDefault="00857D68" w:rsidP="00CE5B04">
      <w:pPr>
        <w:numPr>
          <w:ilvl w:val="0"/>
          <w:numId w:val="10"/>
        </w:numPr>
        <w:jc w:val="both"/>
        <w:rPr>
          <w:rStyle w:val="normaltextrun"/>
          <w:lang w:val="en-US"/>
        </w:rPr>
      </w:pPr>
      <w:r w:rsidRPr="00602F08">
        <w:rPr>
          <w:rStyle w:val="normaltextrun"/>
          <w:lang w:val="en-US"/>
        </w:rPr>
        <w:t xml:space="preserve">Mr </w:t>
      </w:r>
      <w:r w:rsidR="00651ABF" w:rsidRPr="00602F08">
        <w:rPr>
          <w:rStyle w:val="normaltextrun"/>
          <w:lang w:val="en-US"/>
        </w:rPr>
        <w:t xml:space="preserve">Paul </w:t>
      </w:r>
      <w:r w:rsidRPr="00602F08">
        <w:rPr>
          <w:rStyle w:val="normaltextrun"/>
          <w:lang w:val="en-US"/>
        </w:rPr>
        <w:t xml:space="preserve">Bilbao is the Head of Asylum Support Contracts and Finance within Resettlement, Asylum Support and Integration at the part of the Home Office known as the United Kingdom Visa and Immigration Service. He </w:t>
      </w:r>
      <w:r w:rsidR="00185BDC" w:rsidRPr="00602F08">
        <w:rPr>
          <w:rStyle w:val="normaltextrun"/>
          <w:lang w:val="en-US"/>
        </w:rPr>
        <w:t>has provided</w:t>
      </w:r>
      <w:r w:rsidRPr="00602F08">
        <w:rPr>
          <w:rStyle w:val="normaltextrun"/>
          <w:lang w:val="en-US"/>
        </w:rPr>
        <w:t xml:space="preserve"> evidence </w:t>
      </w:r>
      <w:r w:rsidR="00315FBC" w:rsidRPr="00602F08">
        <w:rPr>
          <w:rStyle w:val="normaltextrun"/>
          <w:lang w:val="en-US"/>
        </w:rPr>
        <w:t>on behalf of</w:t>
      </w:r>
      <w:r w:rsidRPr="00602F08">
        <w:rPr>
          <w:rStyle w:val="normaltextrun"/>
          <w:lang w:val="en-US"/>
        </w:rPr>
        <w:t xml:space="preserve"> the Secretary of State </w:t>
      </w:r>
      <w:r w:rsidR="00B4476F" w:rsidRPr="00602F08">
        <w:rPr>
          <w:rStyle w:val="normaltextrun"/>
          <w:lang w:val="en-US"/>
        </w:rPr>
        <w:t>by a witness statement dated 17 August 2020</w:t>
      </w:r>
      <w:r w:rsidR="00477006" w:rsidRPr="00602F08">
        <w:rPr>
          <w:rStyle w:val="normaltextrun"/>
          <w:lang w:val="en-US"/>
        </w:rPr>
        <w:t>, following the oral hearing</w:t>
      </w:r>
      <w:r w:rsidR="00314C18" w:rsidRPr="00602F08">
        <w:rPr>
          <w:rStyle w:val="normaltextrun"/>
          <w:lang w:val="en-US"/>
        </w:rPr>
        <w:t>.</w:t>
      </w:r>
      <w:r w:rsidR="00B4476F" w:rsidRPr="00602F08">
        <w:rPr>
          <w:rStyle w:val="normaltextrun"/>
          <w:lang w:val="en-US"/>
        </w:rPr>
        <w:t xml:space="preserve"> </w:t>
      </w:r>
      <w:r w:rsidR="00CE5B04" w:rsidRPr="00602F08">
        <w:rPr>
          <w:rStyle w:val="normaltextrun"/>
          <w:lang w:val="en-US"/>
        </w:rPr>
        <w:t>In addition to</w:t>
      </w:r>
      <w:r w:rsidRPr="00602F08">
        <w:rPr>
          <w:rStyle w:val="normaltextrun"/>
          <w:lang w:val="en-US"/>
        </w:rPr>
        <w:t xml:space="preserve"> seven regional AASC</w:t>
      </w:r>
      <w:r w:rsidR="00CE5B04" w:rsidRPr="00602F08">
        <w:rPr>
          <w:rStyle w:val="normaltextrun"/>
          <w:lang w:val="en-US"/>
        </w:rPr>
        <w:t>, he referred also to</w:t>
      </w:r>
      <w:r w:rsidRPr="00602F08">
        <w:rPr>
          <w:rStyle w:val="normaltextrun"/>
          <w:lang w:val="en-US"/>
        </w:rPr>
        <w:t xml:space="preserve"> a national Advice Issue Reporting and Eligibility contract”</w:t>
      </w:r>
      <w:r w:rsidR="00CC0D98" w:rsidRPr="00602F08">
        <w:rPr>
          <w:rStyle w:val="normaltextrun"/>
          <w:lang w:val="en-US"/>
        </w:rPr>
        <w:t xml:space="preserve"> with</w:t>
      </w:r>
      <w:r w:rsidRPr="00602F08">
        <w:rPr>
          <w:rStyle w:val="normaltextrun"/>
          <w:lang w:val="en-US"/>
        </w:rPr>
        <w:t xml:space="preserve"> the abbreviation “AIRE”.</w:t>
      </w:r>
    </w:p>
    <w:p w14:paraId="37FB9DBE" w14:textId="77777777" w:rsidR="00404B1F" w:rsidRPr="00602F08" w:rsidRDefault="00404B1F" w:rsidP="00404B1F">
      <w:pPr>
        <w:pStyle w:val="ListParagraph"/>
        <w:rPr>
          <w:rStyle w:val="normaltextrun"/>
          <w:rFonts w:ascii="Times New Roman" w:hAnsi="Times New Roman"/>
          <w:lang w:val="en-US"/>
        </w:rPr>
      </w:pPr>
    </w:p>
    <w:p w14:paraId="43BCAB12" w14:textId="4ADF5172" w:rsidR="00404B1F" w:rsidRPr="00602F08" w:rsidRDefault="00404B1F" w:rsidP="00404B1F">
      <w:pPr>
        <w:ind w:left="687"/>
        <w:jc w:val="both"/>
        <w:rPr>
          <w:rStyle w:val="normaltextrun"/>
          <w:lang w:val="en-US"/>
        </w:rPr>
      </w:pPr>
    </w:p>
    <w:p w14:paraId="744470EE" w14:textId="32E06FCE" w:rsidR="00404B1F" w:rsidRPr="00602F08" w:rsidRDefault="00A85405" w:rsidP="00404B1F">
      <w:pPr>
        <w:ind w:left="687"/>
        <w:jc w:val="both"/>
        <w:rPr>
          <w:rStyle w:val="normaltextrun"/>
          <w:u w:val="single"/>
          <w:lang w:val="en-US"/>
        </w:rPr>
      </w:pPr>
      <w:r w:rsidRPr="00602F08">
        <w:rPr>
          <w:rStyle w:val="normaltextrun"/>
          <w:u w:val="single"/>
          <w:lang w:val="en-US"/>
        </w:rPr>
        <w:t>Operation of contracts</w:t>
      </w:r>
    </w:p>
    <w:p w14:paraId="17276412" w14:textId="77777777" w:rsidR="005917B5" w:rsidRPr="00602F08" w:rsidRDefault="005917B5" w:rsidP="00B6212D">
      <w:pPr>
        <w:jc w:val="both"/>
        <w:rPr>
          <w:rStyle w:val="normaltextrun"/>
          <w:lang w:val="en-US"/>
        </w:rPr>
      </w:pPr>
    </w:p>
    <w:p w14:paraId="5D36CC5F" w14:textId="358B7967" w:rsidR="005917B5" w:rsidRPr="00602F08" w:rsidRDefault="005917B5" w:rsidP="00B6212D">
      <w:pPr>
        <w:numPr>
          <w:ilvl w:val="0"/>
          <w:numId w:val="10"/>
        </w:numPr>
        <w:jc w:val="both"/>
        <w:rPr>
          <w:rStyle w:val="normaltextrun"/>
          <w:lang w:val="en-US"/>
        </w:rPr>
      </w:pPr>
      <w:r w:rsidRPr="00602F08">
        <w:rPr>
          <w:rStyle w:val="normaltextrun"/>
          <w:lang w:val="en-US"/>
        </w:rPr>
        <w:t xml:space="preserve">What Mr Bilbao termed “support eligibility” (which I take to be the decision to accept a duty </w:t>
      </w:r>
      <w:r w:rsidR="00F43DF3" w:rsidRPr="00602F08">
        <w:rPr>
          <w:rStyle w:val="normaltextrun"/>
          <w:lang w:val="en-US"/>
        </w:rPr>
        <w:t xml:space="preserve">under section 4(2) </w:t>
      </w:r>
      <w:r w:rsidRPr="00602F08">
        <w:rPr>
          <w:rStyle w:val="normaltextrun"/>
          <w:lang w:val="en-US"/>
        </w:rPr>
        <w:t xml:space="preserve">to provide accommodation) </w:t>
      </w:r>
      <w:r w:rsidR="00FD4F53" w:rsidRPr="00602F08">
        <w:rPr>
          <w:rStyle w:val="normaltextrun"/>
          <w:lang w:val="en-US"/>
        </w:rPr>
        <w:t xml:space="preserve">was, he said, </w:t>
      </w:r>
      <w:r w:rsidRPr="00602F08">
        <w:rPr>
          <w:rStyle w:val="normaltextrun"/>
          <w:lang w:val="en-US"/>
        </w:rPr>
        <w:t xml:space="preserve">“recorded and managed through [what is known as] the ATLAS case-working database”. He explained that information </w:t>
      </w:r>
      <w:r w:rsidR="00E87FA0" w:rsidRPr="00602F08">
        <w:rPr>
          <w:rStyle w:val="normaltextrun"/>
          <w:lang w:val="en-US"/>
        </w:rPr>
        <w:t>was “</w:t>
      </w:r>
      <w:r w:rsidRPr="00602F08">
        <w:rPr>
          <w:rStyle w:val="normaltextrun"/>
          <w:lang w:val="en-US"/>
        </w:rPr>
        <w:t xml:space="preserve">automatically extracted from ATLAS and channelled via [a secure web-based facility known as CBP (Collaborative Business Portal)] to the relevant service provider to instruct them in relation to a service (e.g. to provide accommodation, provide transport, stop accommodation and so on).” </w:t>
      </w:r>
    </w:p>
    <w:p w14:paraId="5FDDA282" w14:textId="77777777" w:rsidR="004F5D7C" w:rsidRPr="00602F08" w:rsidRDefault="004F5D7C" w:rsidP="00B6212D">
      <w:pPr>
        <w:pStyle w:val="ListParagraph"/>
        <w:jc w:val="both"/>
        <w:rPr>
          <w:rStyle w:val="normaltextrun"/>
          <w:rFonts w:ascii="Times New Roman" w:hAnsi="Times New Roman"/>
          <w:lang w:val="en-US"/>
        </w:rPr>
      </w:pPr>
    </w:p>
    <w:p w14:paraId="3B392055" w14:textId="17B6A1AC" w:rsidR="00082268" w:rsidRPr="00602F08" w:rsidRDefault="00316F2C" w:rsidP="00B6212D">
      <w:pPr>
        <w:numPr>
          <w:ilvl w:val="0"/>
          <w:numId w:val="10"/>
        </w:numPr>
        <w:jc w:val="both"/>
        <w:rPr>
          <w:rStyle w:val="normaltextrun"/>
          <w:lang w:val="en-US"/>
        </w:rPr>
      </w:pPr>
      <w:r w:rsidRPr="00602F08">
        <w:rPr>
          <w:rStyle w:val="normaltextrun"/>
          <w:lang w:val="en-US"/>
        </w:rPr>
        <w:t>In e</w:t>
      </w:r>
      <w:r w:rsidR="004F5D7C" w:rsidRPr="00602F08">
        <w:rPr>
          <w:rStyle w:val="normaltextrun"/>
          <w:lang w:val="en-US"/>
        </w:rPr>
        <w:t>arl</w:t>
      </w:r>
      <w:r w:rsidR="009E24FA" w:rsidRPr="00602F08">
        <w:rPr>
          <w:rStyle w:val="normaltextrun"/>
          <w:lang w:val="en-US"/>
        </w:rPr>
        <w:t xml:space="preserve">ier evidence on behalf of the Secretary of State and dated 20 January 2020 </w:t>
      </w:r>
      <w:r w:rsidR="00801FD9" w:rsidRPr="00602F08">
        <w:rPr>
          <w:rStyle w:val="normaltextrun"/>
          <w:lang w:val="en-US"/>
        </w:rPr>
        <w:t>Ms Bond</w:t>
      </w:r>
      <w:r w:rsidR="00C364B1" w:rsidRPr="00602F08">
        <w:rPr>
          <w:rStyle w:val="normaltextrun"/>
          <w:lang w:val="en-US"/>
        </w:rPr>
        <w:t xml:space="preserve"> </w:t>
      </w:r>
      <w:r w:rsidR="00082268" w:rsidRPr="00602F08">
        <w:rPr>
          <w:rStyle w:val="normaltextrun"/>
          <w:lang w:val="en-US"/>
        </w:rPr>
        <w:t>explained:</w:t>
      </w:r>
    </w:p>
    <w:p w14:paraId="199A36F2" w14:textId="77777777" w:rsidR="00082268" w:rsidRPr="00602F08" w:rsidRDefault="00082268" w:rsidP="00B6212D">
      <w:pPr>
        <w:pStyle w:val="ListParagraph"/>
        <w:jc w:val="both"/>
        <w:rPr>
          <w:rStyle w:val="normaltextrun"/>
          <w:rFonts w:ascii="Times New Roman" w:hAnsi="Times New Roman"/>
          <w:lang w:val="en-US"/>
        </w:rPr>
      </w:pPr>
    </w:p>
    <w:p w14:paraId="3DAAE345" w14:textId="6CA950F4" w:rsidR="004F5D7C" w:rsidRPr="00602F08" w:rsidRDefault="00082268" w:rsidP="00B6212D">
      <w:pPr>
        <w:ind w:left="1440"/>
        <w:jc w:val="both"/>
        <w:rPr>
          <w:rStyle w:val="normaltextrun"/>
          <w:lang w:val="en-US"/>
        </w:rPr>
      </w:pPr>
      <w:r w:rsidRPr="00602F08">
        <w:rPr>
          <w:rStyle w:val="normaltextrun"/>
          <w:lang w:val="en-US"/>
        </w:rPr>
        <w:t xml:space="preserve">“When an accommodation request is </w:t>
      </w:r>
      <w:r w:rsidR="00FC76A2" w:rsidRPr="00602F08">
        <w:rPr>
          <w:rStyle w:val="normaltextrun"/>
          <w:lang w:val="en-US"/>
        </w:rPr>
        <w:t>booked [by the Secretary of State with an accommodation provider]</w:t>
      </w:r>
      <w:r w:rsidR="00735B07" w:rsidRPr="00602F08">
        <w:rPr>
          <w:rStyle w:val="normaltextrun"/>
          <w:lang w:val="en-US"/>
        </w:rPr>
        <w:t>, it is don</w:t>
      </w:r>
      <w:r w:rsidR="00231E46" w:rsidRPr="00602F08">
        <w:rPr>
          <w:rStyle w:val="normaltextrun"/>
          <w:lang w:val="en-US"/>
        </w:rPr>
        <w:t>e</w:t>
      </w:r>
      <w:r w:rsidR="00735B07" w:rsidRPr="00602F08">
        <w:rPr>
          <w:rStyle w:val="normaltextrun"/>
          <w:lang w:val="en-US"/>
        </w:rPr>
        <w:t xml:space="preserve"> as one for three possible priorities. The classification for these is A (24 hours), B (48 hours) and C (9 days). This is an informal system and not set out in policy. Priority A and Priority B</w:t>
      </w:r>
      <w:r w:rsidR="00F054E9" w:rsidRPr="00602F08">
        <w:rPr>
          <w:rStyle w:val="normaltextrun"/>
          <w:lang w:val="en-US"/>
        </w:rPr>
        <w:t xml:space="preserve"> [are]</w:t>
      </w:r>
      <w:r w:rsidR="00735B07" w:rsidRPr="00602F08">
        <w:rPr>
          <w:rStyle w:val="normaltextrun"/>
          <w:lang w:val="en-US"/>
        </w:rPr>
        <w:t xml:space="preserve"> predominantly </w:t>
      </w:r>
      <w:r w:rsidR="00F054E9" w:rsidRPr="00602F08">
        <w:rPr>
          <w:rStyle w:val="normaltextrun"/>
          <w:lang w:val="en-US"/>
        </w:rPr>
        <w:t>used for court orders where interim relief has been ordered or for family cases with dependent minors. Priority C being used in all other cases. Our provider aims to propose the property within the specified time frame.”</w:t>
      </w:r>
      <w:r w:rsidR="009E24FA" w:rsidRPr="00602F08">
        <w:rPr>
          <w:rStyle w:val="normaltextrun"/>
          <w:lang w:val="en-US"/>
        </w:rPr>
        <w:t xml:space="preserve"> </w:t>
      </w:r>
    </w:p>
    <w:p w14:paraId="1A4B3D71" w14:textId="77777777" w:rsidR="005917B5" w:rsidRPr="00602F08" w:rsidRDefault="005917B5" w:rsidP="00B6212D">
      <w:pPr>
        <w:pStyle w:val="ListParagraph"/>
        <w:jc w:val="both"/>
        <w:rPr>
          <w:rStyle w:val="normaltextrun"/>
          <w:rFonts w:ascii="Times New Roman" w:hAnsi="Times New Roman"/>
          <w:lang w:val="en-US"/>
        </w:rPr>
      </w:pPr>
    </w:p>
    <w:p w14:paraId="0D4561BE" w14:textId="51C73047" w:rsidR="00AC12D0" w:rsidRPr="00602F08" w:rsidRDefault="00400D64" w:rsidP="00400D64">
      <w:pPr>
        <w:pStyle w:val="ListParagraph"/>
        <w:widowControl w:val="0"/>
        <w:tabs>
          <w:tab w:val="left" w:pos="688"/>
        </w:tabs>
        <w:autoSpaceDE w:val="0"/>
        <w:autoSpaceDN w:val="0"/>
        <w:spacing w:before="11"/>
        <w:ind w:left="687"/>
        <w:contextualSpacing w:val="0"/>
        <w:jc w:val="both"/>
        <w:rPr>
          <w:rStyle w:val="eop"/>
          <w:rFonts w:ascii="Times New Roman" w:hAnsi="Times New Roman"/>
        </w:rPr>
      </w:pPr>
      <w:r w:rsidRPr="00602F08">
        <w:rPr>
          <w:rStyle w:val="eop"/>
          <w:rFonts w:ascii="Times New Roman" w:hAnsi="Times New Roman"/>
        </w:rPr>
        <w:t>(</w:t>
      </w:r>
      <w:r w:rsidR="00AC12D0" w:rsidRPr="00602F08">
        <w:rPr>
          <w:rStyle w:val="eop"/>
          <w:rFonts w:ascii="Times New Roman" w:hAnsi="Times New Roman"/>
        </w:rPr>
        <w:t>The claimants highlight a number of other features of the new contracts. These include the fact that the new contracts continued from the COMPASS contracts a timeframe of 20 working days within which permanent rather than temporary accommodation should be provided.</w:t>
      </w:r>
      <w:r w:rsidRPr="00602F08">
        <w:rPr>
          <w:rStyle w:val="eop"/>
          <w:rFonts w:ascii="Times New Roman" w:hAnsi="Times New Roman"/>
        </w:rPr>
        <w:t>)</w:t>
      </w:r>
      <w:r w:rsidR="00AC12D0" w:rsidRPr="00602F08">
        <w:rPr>
          <w:rStyle w:val="eop"/>
          <w:rFonts w:ascii="Times New Roman" w:hAnsi="Times New Roman"/>
        </w:rPr>
        <w:t xml:space="preserve"> </w:t>
      </w:r>
    </w:p>
    <w:p w14:paraId="2E8AC680" w14:textId="77777777" w:rsidR="00AC12D0" w:rsidRPr="00602F08" w:rsidRDefault="00AC12D0" w:rsidP="00AC12D0">
      <w:pPr>
        <w:pStyle w:val="ListParagraph"/>
        <w:widowControl w:val="0"/>
        <w:tabs>
          <w:tab w:val="left" w:pos="688"/>
        </w:tabs>
        <w:autoSpaceDE w:val="0"/>
        <w:autoSpaceDN w:val="0"/>
        <w:spacing w:before="11"/>
        <w:ind w:left="687"/>
        <w:contextualSpacing w:val="0"/>
        <w:jc w:val="both"/>
        <w:rPr>
          <w:rStyle w:val="eop"/>
          <w:rFonts w:ascii="Times New Roman" w:hAnsi="Times New Roman"/>
        </w:rPr>
      </w:pPr>
    </w:p>
    <w:p w14:paraId="5380E53A" w14:textId="5485F40E" w:rsidR="005917B5" w:rsidRPr="00602F08" w:rsidRDefault="005917B5" w:rsidP="00B6212D">
      <w:pPr>
        <w:numPr>
          <w:ilvl w:val="0"/>
          <w:numId w:val="10"/>
        </w:numPr>
        <w:jc w:val="both"/>
        <w:rPr>
          <w:rStyle w:val="normaltextrun"/>
          <w:lang w:val="en-US"/>
        </w:rPr>
      </w:pPr>
      <w:r w:rsidRPr="00602F08">
        <w:rPr>
          <w:rStyle w:val="normaltextrun"/>
          <w:lang w:val="en-US"/>
        </w:rPr>
        <w:t>Mr Bilbao said that th</w:t>
      </w:r>
      <w:r w:rsidR="00F054E9" w:rsidRPr="00602F08">
        <w:rPr>
          <w:rStyle w:val="normaltextrun"/>
          <w:lang w:val="en-US"/>
        </w:rPr>
        <w:t>e</w:t>
      </w:r>
      <w:r w:rsidRPr="00602F08">
        <w:rPr>
          <w:rStyle w:val="normaltextrun"/>
          <w:lang w:val="en-US"/>
        </w:rPr>
        <w:t xml:space="preserve"> automatic information exchange system “allows the provider to respond to the instruction in a structured pre-defined process flow.” The instruction is in the form of an “Accommodation Request” and this “contains all relevant details … such as the service user details, group size, support type, accommodation requirements and the timeframe for the providers response”. “[A] provider will update the record by entering a proposed address and move-in date”</w:t>
      </w:r>
      <w:r w:rsidR="000F4F10" w:rsidRPr="00602F08">
        <w:rPr>
          <w:rStyle w:val="normaltextrun"/>
          <w:lang w:val="en-US"/>
        </w:rPr>
        <w:t>, he said</w:t>
      </w:r>
      <w:r w:rsidRPr="00602F08">
        <w:rPr>
          <w:rStyle w:val="normaltextrun"/>
          <w:lang w:val="en-US"/>
        </w:rPr>
        <w:t xml:space="preserve">. </w:t>
      </w:r>
      <w:r w:rsidR="005117D8" w:rsidRPr="00602F08">
        <w:rPr>
          <w:rStyle w:val="normaltextrun"/>
          <w:lang w:val="en-US"/>
        </w:rPr>
        <w:t xml:space="preserve">It is not clear from the evidence given what </w:t>
      </w:r>
      <w:r w:rsidR="00227C57" w:rsidRPr="00602F08">
        <w:rPr>
          <w:rStyle w:val="normaltextrun"/>
          <w:lang w:val="en-US"/>
        </w:rPr>
        <w:t xml:space="preserve">in practice </w:t>
      </w:r>
      <w:r w:rsidR="005117D8" w:rsidRPr="00602F08">
        <w:rPr>
          <w:rStyle w:val="normaltextrun"/>
          <w:lang w:val="en-US"/>
        </w:rPr>
        <w:t xml:space="preserve">happens </w:t>
      </w:r>
      <w:r w:rsidR="002E1BA1" w:rsidRPr="00602F08">
        <w:rPr>
          <w:rStyle w:val="normaltextrun"/>
          <w:lang w:val="en-US"/>
        </w:rPr>
        <w:t xml:space="preserve">at this stage </w:t>
      </w:r>
      <w:r w:rsidR="001056ED" w:rsidRPr="00602F08">
        <w:rPr>
          <w:rStyle w:val="normaltextrun"/>
          <w:lang w:val="en-US"/>
        </w:rPr>
        <w:t xml:space="preserve">if </w:t>
      </w:r>
      <w:r w:rsidR="0062151E" w:rsidRPr="00602F08">
        <w:rPr>
          <w:rStyle w:val="normaltextrun"/>
          <w:lang w:val="en-US"/>
        </w:rPr>
        <w:t>no property is proposed or a property is proposed with</w:t>
      </w:r>
      <w:r w:rsidR="00770F06" w:rsidRPr="00602F08">
        <w:rPr>
          <w:rStyle w:val="normaltextrun"/>
          <w:lang w:val="en-US"/>
        </w:rPr>
        <w:t xml:space="preserve"> a</w:t>
      </w:r>
      <w:r w:rsidR="001056ED" w:rsidRPr="00602F08">
        <w:rPr>
          <w:rStyle w:val="normaltextrun"/>
          <w:lang w:val="en-US"/>
        </w:rPr>
        <w:t xml:space="preserve"> “move-in date” </w:t>
      </w:r>
      <w:r w:rsidR="0075243E" w:rsidRPr="00602F08">
        <w:rPr>
          <w:rStyle w:val="normaltextrun"/>
          <w:lang w:val="en-US"/>
        </w:rPr>
        <w:t xml:space="preserve">that </w:t>
      </w:r>
      <w:r w:rsidR="001056ED" w:rsidRPr="00602F08">
        <w:rPr>
          <w:rStyle w:val="normaltextrun"/>
          <w:lang w:val="en-US"/>
        </w:rPr>
        <w:t xml:space="preserve">is not within the </w:t>
      </w:r>
      <w:r w:rsidR="00795018" w:rsidRPr="00602F08">
        <w:rPr>
          <w:rStyle w:val="normaltextrun"/>
          <w:lang w:val="en-US"/>
        </w:rPr>
        <w:t>time frame specified by the priority</w:t>
      </w:r>
      <w:r w:rsidR="00C00896" w:rsidRPr="00602F08">
        <w:rPr>
          <w:rStyle w:val="normaltextrun"/>
          <w:lang w:val="en-US"/>
        </w:rPr>
        <w:t>.</w:t>
      </w:r>
    </w:p>
    <w:p w14:paraId="12E6BF5C" w14:textId="77777777" w:rsidR="005917B5" w:rsidRPr="00602F08" w:rsidRDefault="005917B5" w:rsidP="00B6212D">
      <w:pPr>
        <w:pStyle w:val="ListParagraph"/>
        <w:jc w:val="both"/>
        <w:rPr>
          <w:rStyle w:val="normaltextrun"/>
          <w:rFonts w:ascii="Times New Roman" w:hAnsi="Times New Roman"/>
          <w:lang w:val="en-US"/>
        </w:rPr>
      </w:pPr>
    </w:p>
    <w:p w14:paraId="3947E55E" w14:textId="5292360A" w:rsidR="005917B5" w:rsidRPr="00602F08" w:rsidRDefault="00012493" w:rsidP="00B6212D">
      <w:pPr>
        <w:numPr>
          <w:ilvl w:val="0"/>
          <w:numId w:val="10"/>
        </w:numPr>
        <w:jc w:val="both"/>
        <w:rPr>
          <w:rStyle w:val="normaltextrun"/>
          <w:lang w:val="en-US"/>
        </w:rPr>
      </w:pPr>
      <w:r w:rsidRPr="00602F08">
        <w:rPr>
          <w:rStyle w:val="normaltextrun"/>
          <w:lang w:val="en-US"/>
        </w:rPr>
        <w:t>A</w:t>
      </w:r>
      <w:r w:rsidR="005917B5" w:rsidRPr="00602F08">
        <w:rPr>
          <w:rStyle w:val="normaltextrun"/>
          <w:lang w:val="en-US"/>
        </w:rPr>
        <w:t>s I understand Mr Bilbao’s evidence</w:t>
      </w:r>
      <w:r w:rsidR="00B860AF" w:rsidRPr="00602F08">
        <w:rPr>
          <w:rStyle w:val="normaltextrun"/>
          <w:lang w:val="en-US"/>
        </w:rPr>
        <w:t xml:space="preserve"> and that of Ms Bond</w:t>
      </w:r>
      <w:r w:rsidR="005917B5" w:rsidRPr="00602F08">
        <w:rPr>
          <w:rStyle w:val="normaltextrun"/>
          <w:lang w:val="en-US"/>
        </w:rPr>
        <w:t xml:space="preserve">, </w:t>
      </w:r>
      <w:r w:rsidRPr="00602F08">
        <w:rPr>
          <w:rStyle w:val="normaltextrun"/>
          <w:lang w:val="en-US"/>
        </w:rPr>
        <w:t xml:space="preserve">if a proposal is made </w:t>
      </w:r>
      <w:r w:rsidR="005917B5" w:rsidRPr="00602F08">
        <w:rPr>
          <w:rStyle w:val="normaltextrun"/>
          <w:lang w:val="en-US"/>
        </w:rPr>
        <w:t xml:space="preserve">the Home Office has then to accept or reject the proposal from the provider. </w:t>
      </w:r>
    </w:p>
    <w:p w14:paraId="163722CA" w14:textId="77777777" w:rsidR="005917B5" w:rsidRPr="00602F08" w:rsidRDefault="005917B5" w:rsidP="00B6212D">
      <w:pPr>
        <w:pStyle w:val="ListParagraph"/>
        <w:jc w:val="both"/>
        <w:rPr>
          <w:rStyle w:val="normaltextrun"/>
          <w:rFonts w:ascii="Times New Roman" w:hAnsi="Times New Roman"/>
          <w:lang w:val="en-US"/>
        </w:rPr>
      </w:pPr>
    </w:p>
    <w:p w14:paraId="5C3E587A" w14:textId="1F6F49FE" w:rsidR="005917B5" w:rsidRPr="00602F08" w:rsidRDefault="005917B5" w:rsidP="00B6212D">
      <w:pPr>
        <w:numPr>
          <w:ilvl w:val="0"/>
          <w:numId w:val="10"/>
        </w:numPr>
        <w:jc w:val="both"/>
        <w:rPr>
          <w:rStyle w:val="normaltextrun"/>
          <w:lang w:val="en-US"/>
        </w:rPr>
      </w:pPr>
      <w:r w:rsidRPr="00602F08">
        <w:rPr>
          <w:rStyle w:val="normaltextrun"/>
          <w:lang w:val="en-US"/>
        </w:rPr>
        <w:t xml:space="preserve">When and if the provider’s proposal of accommodation is accepted by the Home Office </w:t>
      </w:r>
      <w:r w:rsidR="00B860AF" w:rsidRPr="00602F08">
        <w:rPr>
          <w:rStyle w:val="normaltextrun"/>
          <w:lang w:val="en-US"/>
        </w:rPr>
        <w:t>Mr Bilbao explain</w:t>
      </w:r>
      <w:r w:rsidR="00E66273" w:rsidRPr="00602F08">
        <w:rPr>
          <w:rStyle w:val="normaltextrun"/>
          <w:lang w:val="en-US"/>
        </w:rPr>
        <w:t>ed</w:t>
      </w:r>
      <w:r w:rsidR="00B860AF" w:rsidRPr="00602F08">
        <w:rPr>
          <w:rStyle w:val="normaltextrun"/>
          <w:lang w:val="en-US"/>
        </w:rPr>
        <w:t xml:space="preserve"> that </w:t>
      </w:r>
      <w:r w:rsidRPr="00602F08">
        <w:rPr>
          <w:rStyle w:val="normaltextrun"/>
          <w:lang w:val="en-US"/>
        </w:rPr>
        <w:t xml:space="preserve">“this is done by recording this in ATLAS, and that system automatically updates the record in CBP.” </w:t>
      </w:r>
      <w:r w:rsidR="00E66273" w:rsidRPr="00602F08">
        <w:rPr>
          <w:rStyle w:val="normaltextrun"/>
          <w:lang w:val="en-US"/>
        </w:rPr>
        <w:t xml:space="preserve">He said that </w:t>
      </w:r>
      <w:r w:rsidRPr="00602F08">
        <w:rPr>
          <w:rStyle w:val="normaltextrun"/>
          <w:lang w:val="en-US"/>
        </w:rPr>
        <w:t>“</w:t>
      </w:r>
      <w:r w:rsidR="00E66273" w:rsidRPr="00602F08">
        <w:rPr>
          <w:rStyle w:val="normaltextrun"/>
          <w:lang w:val="en-US"/>
        </w:rPr>
        <w:t>[a]</w:t>
      </w:r>
      <w:r w:rsidRPr="00602F08">
        <w:rPr>
          <w:rStyle w:val="normaltextrun"/>
          <w:lang w:val="en-US"/>
        </w:rPr>
        <w:t xml:space="preserve"> provider will [then] confirm a successful move to accommodation or notify the Home Office of an individual’s ‘failure to travel’ to the accommodation by updating CBP.” </w:t>
      </w:r>
      <w:r w:rsidR="00322D2F" w:rsidRPr="00602F08">
        <w:rPr>
          <w:rStyle w:val="normaltextrun"/>
          <w:lang w:val="en-US"/>
        </w:rPr>
        <w:t xml:space="preserve">It will be noted that these alternatives do not include </w:t>
      </w:r>
      <w:r w:rsidR="002A187F" w:rsidRPr="00602F08">
        <w:rPr>
          <w:rStyle w:val="normaltextrun"/>
          <w:lang w:val="en-US"/>
        </w:rPr>
        <w:t xml:space="preserve">a failure to move to accommodation </w:t>
      </w:r>
      <w:r w:rsidR="00F22840" w:rsidRPr="00602F08">
        <w:rPr>
          <w:rStyle w:val="normaltextrun"/>
          <w:lang w:val="en-US"/>
        </w:rPr>
        <w:t>where the individual has not “failed to travel”</w:t>
      </w:r>
      <w:r w:rsidR="001841EF" w:rsidRPr="00602F08">
        <w:rPr>
          <w:rStyle w:val="normaltextrun"/>
          <w:lang w:val="en-US"/>
        </w:rPr>
        <w:t>.</w:t>
      </w:r>
    </w:p>
    <w:p w14:paraId="5ED529E5" w14:textId="77777777" w:rsidR="005917B5" w:rsidRPr="00602F08" w:rsidRDefault="005917B5" w:rsidP="00B6212D">
      <w:pPr>
        <w:pStyle w:val="ListParagraph"/>
        <w:jc w:val="both"/>
        <w:rPr>
          <w:rStyle w:val="normaltextrun"/>
          <w:rFonts w:ascii="Times New Roman" w:hAnsi="Times New Roman"/>
          <w:lang w:val="en-US"/>
        </w:rPr>
      </w:pPr>
    </w:p>
    <w:p w14:paraId="32B50D69" w14:textId="48C7FC19" w:rsidR="005917B5" w:rsidRPr="00602F08" w:rsidRDefault="005917B5" w:rsidP="00D47172">
      <w:pPr>
        <w:numPr>
          <w:ilvl w:val="0"/>
          <w:numId w:val="10"/>
        </w:numPr>
        <w:jc w:val="both"/>
        <w:rPr>
          <w:rStyle w:val="normaltextrun"/>
          <w:lang w:val="en-US"/>
        </w:rPr>
      </w:pPr>
      <w:r w:rsidRPr="00602F08">
        <w:rPr>
          <w:rStyle w:val="normaltextrun"/>
          <w:lang w:val="en-US"/>
        </w:rPr>
        <w:t xml:space="preserve">When and if the provider’s proposal of accommodation is rejected by the Home Office </w:t>
      </w:r>
      <w:r w:rsidR="00E75C13" w:rsidRPr="00602F08">
        <w:rPr>
          <w:rStyle w:val="normaltextrun"/>
          <w:lang w:val="en-US"/>
        </w:rPr>
        <w:t>Mr Bilbao explain</w:t>
      </w:r>
      <w:r w:rsidR="00E66273" w:rsidRPr="00602F08">
        <w:rPr>
          <w:rStyle w:val="normaltextrun"/>
          <w:lang w:val="en-US"/>
        </w:rPr>
        <w:t>ed</w:t>
      </w:r>
      <w:r w:rsidR="00E75C13" w:rsidRPr="00602F08">
        <w:rPr>
          <w:rStyle w:val="normaltextrun"/>
          <w:lang w:val="en-US"/>
        </w:rPr>
        <w:t xml:space="preserve"> that </w:t>
      </w:r>
      <w:r w:rsidRPr="00602F08">
        <w:rPr>
          <w:rStyle w:val="normaltextrun"/>
          <w:lang w:val="en-US"/>
        </w:rPr>
        <w:t>“the provider is notified of the reason via CBP and the CBP record remains open for the provider to propose a new address that meets the request within the original request timescale”, and “until the request is either fulfilled by the provider or cancelled by the Home Office”</w:t>
      </w:r>
      <w:r w:rsidR="00D47172" w:rsidRPr="00602F08">
        <w:rPr>
          <w:rStyle w:val="normaltextrun"/>
          <w:lang w:val="en-US"/>
        </w:rPr>
        <w:t>.</w:t>
      </w:r>
      <w:r w:rsidR="00250D38" w:rsidRPr="00602F08">
        <w:rPr>
          <w:rStyle w:val="normaltextrun"/>
          <w:lang w:val="en-US"/>
        </w:rPr>
        <w:t xml:space="preserve"> </w:t>
      </w:r>
      <w:r w:rsidR="0099432A" w:rsidRPr="00602F08">
        <w:rPr>
          <w:rStyle w:val="normaltextrun"/>
          <w:lang w:val="en-US"/>
        </w:rPr>
        <w:t xml:space="preserve">I assume the Home Office </w:t>
      </w:r>
      <w:r w:rsidR="00160746" w:rsidRPr="00602F08">
        <w:rPr>
          <w:rStyle w:val="normaltextrun"/>
          <w:lang w:val="en-US"/>
        </w:rPr>
        <w:t>will then have to accept o</w:t>
      </w:r>
      <w:r w:rsidR="004022D5" w:rsidRPr="00602F08">
        <w:rPr>
          <w:rStyle w:val="normaltextrun"/>
          <w:lang w:val="en-US"/>
        </w:rPr>
        <w:t>r</w:t>
      </w:r>
      <w:r w:rsidR="00160746" w:rsidRPr="00602F08">
        <w:rPr>
          <w:rStyle w:val="normaltextrun"/>
          <w:lang w:val="en-US"/>
        </w:rPr>
        <w:t xml:space="preserve"> reject the new proposal.</w:t>
      </w:r>
      <w:r w:rsidR="00D47172" w:rsidRPr="00602F08">
        <w:rPr>
          <w:rStyle w:val="normaltextrun"/>
          <w:lang w:val="en-US"/>
        </w:rPr>
        <w:t xml:space="preserve"> It is not clear from the evidence given what </w:t>
      </w:r>
      <w:r w:rsidR="00227C57" w:rsidRPr="00602F08">
        <w:rPr>
          <w:rStyle w:val="normaltextrun"/>
          <w:lang w:val="en-US"/>
        </w:rPr>
        <w:t xml:space="preserve">in practice </w:t>
      </w:r>
      <w:r w:rsidR="00D47172" w:rsidRPr="00602F08">
        <w:rPr>
          <w:rStyle w:val="normaltextrun"/>
          <w:lang w:val="en-US"/>
        </w:rPr>
        <w:t xml:space="preserve">happens at this stage if </w:t>
      </w:r>
      <w:r w:rsidR="00A57908" w:rsidRPr="00602F08">
        <w:rPr>
          <w:rStyle w:val="normaltextrun"/>
          <w:lang w:val="en-US"/>
        </w:rPr>
        <w:t xml:space="preserve">the “original request timescale” </w:t>
      </w:r>
      <w:r w:rsidR="00A977B3" w:rsidRPr="00602F08">
        <w:rPr>
          <w:rStyle w:val="normaltextrun"/>
          <w:lang w:val="en-US"/>
        </w:rPr>
        <w:t xml:space="preserve">has expired </w:t>
      </w:r>
      <w:r w:rsidR="00D47172" w:rsidRPr="00602F08">
        <w:rPr>
          <w:rStyle w:val="normaltextrun"/>
          <w:lang w:val="en-US"/>
        </w:rPr>
        <w:t xml:space="preserve">or a </w:t>
      </w:r>
      <w:r w:rsidR="00A00052" w:rsidRPr="00602F08">
        <w:rPr>
          <w:rStyle w:val="normaltextrun"/>
          <w:lang w:val="en-US"/>
        </w:rPr>
        <w:t>new address</w:t>
      </w:r>
      <w:r w:rsidR="00D47172" w:rsidRPr="00602F08">
        <w:rPr>
          <w:rStyle w:val="normaltextrun"/>
          <w:lang w:val="en-US"/>
        </w:rPr>
        <w:t xml:space="preserve"> is proposed</w:t>
      </w:r>
      <w:r w:rsidR="00A00052" w:rsidRPr="00602F08">
        <w:rPr>
          <w:rStyle w:val="normaltextrun"/>
          <w:lang w:val="en-US"/>
        </w:rPr>
        <w:t xml:space="preserve"> that is not w</w:t>
      </w:r>
      <w:r w:rsidR="00A977B3" w:rsidRPr="00602F08">
        <w:rPr>
          <w:rStyle w:val="normaltextrun"/>
          <w:lang w:val="en-US"/>
        </w:rPr>
        <w:t>ithin that “original request timescale”</w:t>
      </w:r>
      <w:r w:rsidR="00D47172" w:rsidRPr="00602F08">
        <w:rPr>
          <w:rStyle w:val="normaltextrun"/>
          <w:lang w:val="en-US"/>
        </w:rPr>
        <w:t>.</w:t>
      </w:r>
    </w:p>
    <w:p w14:paraId="66D0391A" w14:textId="77777777" w:rsidR="005917B5" w:rsidRPr="00602F08" w:rsidRDefault="005917B5" w:rsidP="00B6212D">
      <w:pPr>
        <w:pStyle w:val="ListParagraph"/>
        <w:jc w:val="both"/>
        <w:rPr>
          <w:rStyle w:val="normaltextrun"/>
          <w:rFonts w:ascii="Times New Roman" w:hAnsi="Times New Roman"/>
          <w:lang w:val="en-US"/>
        </w:rPr>
      </w:pPr>
    </w:p>
    <w:p w14:paraId="6B65D4A8" w14:textId="67173E41" w:rsidR="005917B5" w:rsidRPr="00602F08" w:rsidRDefault="005917B5" w:rsidP="00B6212D">
      <w:pPr>
        <w:numPr>
          <w:ilvl w:val="0"/>
          <w:numId w:val="10"/>
        </w:numPr>
        <w:jc w:val="both"/>
        <w:rPr>
          <w:rStyle w:val="eop"/>
          <w:lang w:val="en-US"/>
        </w:rPr>
      </w:pPr>
      <w:r w:rsidRPr="00602F08">
        <w:rPr>
          <w:rStyle w:val="normaltextrun"/>
          <w:lang w:val="en-US"/>
        </w:rPr>
        <w:t>Mr Bilbao add</w:t>
      </w:r>
      <w:r w:rsidR="00092E07" w:rsidRPr="00602F08">
        <w:rPr>
          <w:rStyle w:val="normaltextrun"/>
          <w:lang w:val="en-US"/>
        </w:rPr>
        <w:t>ed</w:t>
      </w:r>
      <w:r w:rsidRPr="00602F08">
        <w:rPr>
          <w:rStyle w:val="normaltextrun"/>
          <w:lang w:val="en-US"/>
        </w:rPr>
        <w:t xml:space="preserve"> that “</w:t>
      </w:r>
      <w:r w:rsidR="00EB6C26" w:rsidRPr="00602F08">
        <w:rPr>
          <w:rStyle w:val="normaltextrun"/>
          <w:lang w:val="en-US"/>
        </w:rPr>
        <w:t>[i]</w:t>
      </w:r>
      <w:r w:rsidRPr="00602F08">
        <w:rPr>
          <w:rStyle w:val="normaltextrun"/>
          <w:lang w:val="en-US"/>
        </w:rPr>
        <w:t>n addition, in some cases supplementary information is sometimes … exchanged by email between Home Office and [a] provider operation team.”</w:t>
      </w:r>
    </w:p>
    <w:p w14:paraId="4E3686AF" w14:textId="77777777" w:rsidR="005917B5" w:rsidRPr="00602F08" w:rsidRDefault="005917B5" w:rsidP="00B6212D">
      <w:pPr>
        <w:pStyle w:val="ListParagraph"/>
        <w:jc w:val="both"/>
        <w:rPr>
          <w:rStyle w:val="normaltextrun"/>
          <w:rFonts w:ascii="Times New Roman" w:hAnsi="Times New Roman"/>
          <w:lang w:val="en-US"/>
        </w:rPr>
      </w:pPr>
    </w:p>
    <w:p w14:paraId="12C205BC" w14:textId="41B71B26" w:rsidR="003613D6" w:rsidRPr="00602F08" w:rsidRDefault="005917B5" w:rsidP="00B6212D">
      <w:pPr>
        <w:pStyle w:val="ListParagraph"/>
        <w:widowControl w:val="0"/>
        <w:numPr>
          <w:ilvl w:val="0"/>
          <w:numId w:val="10"/>
        </w:numPr>
        <w:tabs>
          <w:tab w:val="left" w:pos="688"/>
        </w:tabs>
        <w:autoSpaceDE w:val="0"/>
        <w:autoSpaceDN w:val="0"/>
        <w:spacing w:before="11"/>
        <w:jc w:val="both"/>
        <w:rPr>
          <w:rStyle w:val="eop"/>
          <w:rFonts w:ascii="Times New Roman" w:hAnsi="Times New Roman"/>
        </w:rPr>
      </w:pPr>
      <w:r w:rsidRPr="00602F08">
        <w:rPr>
          <w:rStyle w:val="eop"/>
          <w:rFonts w:ascii="Times New Roman" w:hAnsi="Times New Roman"/>
        </w:rPr>
        <w:t>Mr Mill</w:t>
      </w:r>
      <w:r w:rsidR="002C0B0E" w:rsidRPr="00602F08">
        <w:rPr>
          <w:rStyle w:val="eop"/>
          <w:rFonts w:ascii="Times New Roman" w:hAnsi="Times New Roman"/>
        </w:rPr>
        <w:t>’s evidence</w:t>
      </w:r>
      <w:r w:rsidRPr="00602F08">
        <w:rPr>
          <w:rStyle w:val="eop"/>
          <w:rFonts w:ascii="Times New Roman" w:hAnsi="Times New Roman"/>
        </w:rPr>
        <w:t xml:space="preserve"> </w:t>
      </w:r>
      <w:r w:rsidR="00A4566D" w:rsidRPr="00602F08">
        <w:rPr>
          <w:rStyle w:val="eop"/>
          <w:rFonts w:ascii="Times New Roman" w:hAnsi="Times New Roman"/>
        </w:rPr>
        <w:t>reference</w:t>
      </w:r>
      <w:r w:rsidR="002C0B0E" w:rsidRPr="00602F08">
        <w:rPr>
          <w:rStyle w:val="eop"/>
          <w:rFonts w:ascii="Times New Roman" w:hAnsi="Times New Roman"/>
        </w:rPr>
        <w:t>d</w:t>
      </w:r>
      <w:r w:rsidR="00A4566D" w:rsidRPr="00602F08">
        <w:rPr>
          <w:rStyle w:val="eop"/>
          <w:rFonts w:ascii="Times New Roman" w:hAnsi="Times New Roman"/>
        </w:rPr>
        <w:t xml:space="preserve"> the Secretary of State’s</w:t>
      </w:r>
      <w:r w:rsidRPr="00602F08">
        <w:rPr>
          <w:rStyle w:val="eop"/>
          <w:rFonts w:ascii="Times New Roman" w:hAnsi="Times New Roman"/>
        </w:rPr>
        <w:t xml:space="preserve"> accommodation policy</w:t>
      </w:r>
      <w:r w:rsidR="00A4566D" w:rsidRPr="00602F08">
        <w:rPr>
          <w:rStyle w:val="eop"/>
          <w:rFonts w:ascii="Times New Roman" w:hAnsi="Times New Roman"/>
        </w:rPr>
        <w:t xml:space="preserve"> to the effect that</w:t>
      </w:r>
      <w:r w:rsidRPr="00602F08">
        <w:rPr>
          <w:rStyle w:val="eop"/>
          <w:rFonts w:ascii="Times New Roman" w:hAnsi="Times New Roman"/>
        </w:rPr>
        <w:t xml:space="preserve"> accommodation “as a general rule is provided outside London and the South East”</w:t>
      </w:r>
      <w:r w:rsidR="00033FD1" w:rsidRPr="00602F08">
        <w:rPr>
          <w:rStyle w:val="eop"/>
          <w:rFonts w:ascii="Times New Roman" w:hAnsi="Times New Roman"/>
        </w:rPr>
        <w:t>, but</w:t>
      </w:r>
      <w:r w:rsidRPr="00602F08">
        <w:rPr>
          <w:rStyle w:val="eop"/>
          <w:rFonts w:ascii="Times New Roman" w:hAnsi="Times New Roman"/>
        </w:rPr>
        <w:t xml:space="preserve"> “in areas of the UK where the Home Office has a ready supply”.</w:t>
      </w:r>
      <w:r w:rsidR="001D7707" w:rsidRPr="00602F08">
        <w:rPr>
          <w:rStyle w:val="eop"/>
          <w:rFonts w:ascii="Times New Roman" w:hAnsi="Times New Roman"/>
        </w:rPr>
        <w:t xml:space="preserve"> </w:t>
      </w:r>
    </w:p>
    <w:p w14:paraId="1BEFB7DE" w14:textId="77777777" w:rsidR="00AE155A" w:rsidRPr="00602F08" w:rsidRDefault="00AE155A" w:rsidP="00AE155A">
      <w:pPr>
        <w:pStyle w:val="ListParagraph"/>
        <w:rPr>
          <w:rStyle w:val="eop"/>
          <w:rFonts w:ascii="Times New Roman" w:hAnsi="Times New Roman"/>
        </w:rPr>
      </w:pPr>
    </w:p>
    <w:p w14:paraId="28994B6F" w14:textId="41716476" w:rsidR="00AE155A" w:rsidRPr="00602F08" w:rsidRDefault="00AE155A" w:rsidP="00AE155A">
      <w:pPr>
        <w:widowControl w:val="0"/>
        <w:tabs>
          <w:tab w:val="left" w:pos="688"/>
        </w:tabs>
        <w:autoSpaceDE w:val="0"/>
        <w:autoSpaceDN w:val="0"/>
        <w:spacing w:before="11"/>
        <w:jc w:val="both"/>
        <w:rPr>
          <w:rStyle w:val="eop"/>
        </w:rPr>
      </w:pPr>
    </w:p>
    <w:p w14:paraId="3627DF1B" w14:textId="408F551E" w:rsidR="00AE155A" w:rsidRPr="00602F08" w:rsidRDefault="00AE155A" w:rsidP="00A50518">
      <w:pPr>
        <w:widowControl w:val="0"/>
        <w:tabs>
          <w:tab w:val="left" w:pos="688"/>
        </w:tabs>
        <w:autoSpaceDE w:val="0"/>
        <w:autoSpaceDN w:val="0"/>
        <w:spacing w:before="11"/>
        <w:ind w:left="687"/>
        <w:jc w:val="both"/>
        <w:rPr>
          <w:rStyle w:val="eop"/>
          <w:u w:val="single"/>
        </w:rPr>
      </w:pPr>
      <w:r w:rsidRPr="00602F08">
        <w:rPr>
          <w:rStyle w:val="eop"/>
          <w:u w:val="single"/>
        </w:rPr>
        <w:t>Affordability</w:t>
      </w:r>
      <w:r w:rsidR="00A50518">
        <w:rPr>
          <w:rStyle w:val="eop"/>
          <w:u w:val="single"/>
        </w:rPr>
        <w:t xml:space="preserve"> of accommodation</w:t>
      </w:r>
    </w:p>
    <w:p w14:paraId="3862C740" w14:textId="77777777" w:rsidR="003613D6" w:rsidRPr="00602F08" w:rsidRDefault="003613D6" w:rsidP="003613D6">
      <w:pPr>
        <w:pStyle w:val="ListParagraph"/>
        <w:rPr>
          <w:rStyle w:val="normaltextrun"/>
          <w:rFonts w:ascii="Times New Roman" w:hAnsi="Times New Roman"/>
          <w:lang w:val="en-US"/>
        </w:rPr>
      </w:pPr>
    </w:p>
    <w:p w14:paraId="4D852E88" w14:textId="7E2A847E" w:rsidR="005917B5" w:rsidRPr="00602F08" w:rsidRDefault="005917B5" w:rsidP="00B6212D">
      <w:pPr>
        <w:pStyle w:val="ListParagraph"/>
        <w:widowControl w:val="0"/>
        <w:numPr>
          <w:ilvl w:val="0"/>
          <w:numId w:val="10"/>
        </w:numPr>
        <w:tabs>
          <w:tab w:val="left" w:pos="688"/>
        </w:tabs>
        <w:autoSpaceDE w:val="0"/>
        <w:autoSpaceDN w:val="0"/>
        <w:spacing w:before="11"/>
        <w:jc w:val="both"/>
        <w:rPr>
          <w:rStyle w:val="normaltextrun"/>
          <w:rFonts w:ascii="Times New Roman" w:hAnsi="Times New Roman"/>
        </w:rPr>
      </w:pPr>
      <w:r w:rsidRPr="00602F08">
        <w:rPr>
          <w:rStyle w:val="normaltextrun"/>
          <w:rFonts w:ascii="Times New Roman" w:hAnsi="Times New Roman"/>
          <w:lang w:val="en-US"/>
        </w:rPr>
        <w:t>In a witness statement dated 24 June 2020 Mr Mill explai</w:t>
      </w:r>
      <w:r w:rsidR="0030781A" w:rsidRPr="00602F08">
        <w:rPr>
          <w:rStyle w:val="normaltextrun"/>
          <w:rFonts w:ascii="Times New Roman" w:hAnsi="Times New Roman"/>
          <w:lang w:val="en-US"/>
        </w:rPr>
        <w:t>ned</w:t>
      </w:r>
      <w:r w:rsidRPr="00602F08">
        <w:rPr>
          <w:rStyle w:val="normaltextrun"/>
          <w:rFonts w:ascii="Times New Roman" w:hAnsi="Times New Roman"/>
          <w:lang w:val="en-US"/>
        </w:rPr>
        <w:t xml:space="preserve"> that he ha</w:t>
      </w:r>
      <w:r w:rsidR="0030781A" w:rsidRPr="00602F08">
        <w:rPr>
          <w:rStyle w:val="normaltextrun"/>
          <w:rFonts w:ascii="Times New Roman" w:hAnsi="Times New Roman"/>
          <w:lang w:val="en-US"/>
        </w:rPr>
        <w:t>d</w:t>
      </w:r>
      <w:r w:rsidRPr="00602F08">
        <w:rPr>
          <w:rStyle w:val="normaltextrun"/>
          <w:rFonts w:ascii="Times New Roman" w:hAnsi="Times New Roman"/>
          <w:lang w:val="en-US"/>
        </w:rPr>
        <w:t xml:space="preserve"> “been asked to explain some of the aspects of the way in which the AASC contracts operate”. He s</w:t>
      </w:r>
      <w:r w:rsidR="0030781A" w:rsidRPr="00602F08">
        <w:rPr>
          <w:rStyle w:val="normaltextrun"/>
          <w:rFonts w:ascii="Times New Roman" w:hAnsi="Times New Roman"/>
          <w:lang w:val="en-US"/>
        </w:rPr>
        <w:t>aid</w:t>
      </w:r>
      <w:r w:rsidRPr="00602F08">
        <w:rPr>
          <w:rStyle w:val="normaltextrun"/>
          <w:rFonts w:ascii="Times New Roman" w:hAnsi="Times New Roman"/>
          <w:lang w:val="en-US"/>
        </w:rPr>
        <w:t xml:space="preserve"> that he has been asked to do this “partly because of misapprehensions that have become eviden</w:t>
      </w:r>
      <w:r w:rsidR="003C6527" w:rsidRPr="00602F08">
        <w:rPr>
          <w:rStyle w:val="normaltextrun"/>
          <w:rFonts w:ascii="Times New Roman" w:hAnsi="Times New Roman"/>
          <w:lang w:val="en-US"/>
        </w:rPr>
        <w:t>t</w:t>
      </w:r>
      <w:r w:rsidRPr="00602F08">
        <w:rPr>
          <w:rStyle w:val="normaltextrun"/>
          <w:rFonts w:ascii="Times New Roman" w:hAnsi="Times New Roman"/>
          <w:lang w:val="en-US"/>
        </w:rPr>
        <w:t xml:space="preserve"> in the course of litigation concerning them.”</w:t>
      </w:r>
    </w:p>
    <w:p w14:paraId="0956F3F2" w14:textId="77777777" w:rsidR="005917B5" w:rsidRPr="00602F08" w:rsidRDefault="005917B5" w:rsidP="00B6212D">
      <w:pPr>
        <w:pStyle w:val="ListParagraph"/>
        <w:jc w:val="both"/>
        <w:rPr>
          <w:rStyle w:val="eop"/>
          <w:rFonts w:ascii="Times New Roman" w:hAnsi="Times New Roman"/>
          <w:lang w:val="en-US"/>
        </w:rPr>
      </w:pPr>
    </w:p>
    <w:p w14:paraId="67D94AE7" w14:textId="213BFB66" w:rsidR="005917B5" w:rsidRPr="00602F08" w:rsidRDefault="005917B5" w:rsidP="00B6212D">
      <w:pPr>
        <w:numPr>
          <w:ilvl w:val="0"/>
          <w:numId w:val="10"/>
        </w:numPr>
        <w:jc w:val="both"/>
        <w:rPr>
          <w:rStyle w:val="eop"/>
          <w:lang w:val="en-US"/>
        </w:rPr>
      </w:pPr>
      <w:r w:rsidRPr="00602F08">
        <w:rPr>
          <w:rStyle w:val="eop"/>
          <w:lang w:val="en-US"/>
        </w:rPr>
        <w:t>Mr Mill summarise</w:t>
      </w:r>
      <w:r w:rsidR="0030781A" w:rsidRPr="00602F08">
        <w:rPr>
          <w:rStyle w:val="eop"/>
          <w:lang w:val="en-US"/>
        </w:rPr>
        <w:t>d</w:t>
      </w:r>
      <w:r w:rsidRPr="00602F08">
        <w:rPr>
          <w:rStyle w:val="eop"/>
          <w:lang w:val="en-US"/>
        </w:rPr>
        <w:t xml:space="preserve"> the position:</w:t>
      </w:r>
    </w:p>
    <w:p w14:paraId="161B5E68" w14:textId="77777777" w:rsidR="005917B5" w:rsidRPr="00602F08" w:rsidRDefault="005917B5" w:rsidP="00B6212D">
      <w:pPr>
        <w:pStyle w:val="ListParagraph"/>
        <w:jc w:val="both"/>
        <w:rPr>
          <w:rStyle w:val="eop"/>
          <w:rFonts w:ascii="Times New Roman" w:hAnsi="Times New Roman"/>
          <w:lang w:val="en-US"/>
        </w:rPr>
      </w:pPr>
    </w:p>
    <w:p w14:paraId="33017122" w14:textId="77777777" w:rsidR="005917B5" w:rsidRPr="00602F08" w:rsidRDefault="005917B5" w:rsidP="00B6212D">
      <w:pPr>
        <w:ind w:left="1440"/>
        <w:jc w:val="both"/>
        <w:rPr>
          <w:rStyle w:val="eop"/>
          <w:lang w:val="en-US"/>
        </w:rPr>
      </w:pPr>
      <w:r w:rsidRPr="00602F08">
        <w:rPr>
          <w:rStyle w:val="eop"/>
          <w:lang w:val="en-US"/>
        </w:rPr>
        <w:t>“Under the contracts, the providers are required to accommodate individuals whom the Home Office is required to support … When the Home Office requires a provider to accommodate and individual, the Home Office notifies the provider, who is then under a contractual obligation to accommodate that individual.</w:t>
      </w:r>
    </w:p>
    <w:p w14:paraId="595DE56A" w14:textId="77777777" w:rsidR="005917B5" w:rsidRPr="00602F08" w:rsidRDefault="005917B5" w:rsidP="00B6212D">
      <w:pPr>
        <w:ind w:left="1440"/>
        <w:jc w:val="both"/>
        <w:rPr>
          <w:rStyle w:val="eop"/>
          <w:lang w:val="en-US"/>
        </w:rPr>
      </w:pPr>
    </w:p>
    <w:p w14:paraId="0236F8F7" w14:textId="77777777" w:rsidR="005917B5" w:rsidRPr="00602F08" w:rsidRDefault="005917B5" w:rsidP="00B6212D">
      <w:pPr>
        <w:ind w:left="1440"/>
        <w:jc w:val="both"/>
        <w:rPr>
          <w:rStyle w:val="eop"/>
          <w:lang w:val="en-US"/>
        </w:rPr>
      </w:pPr>
      <w:r w:rsidRPr="00602F08">
        <w:rPr>
          <w:rStyle w:val="eop"/>
          <w:lang w:val="en-US"/>
        </w:rPr>
        <w:t>…</w:t>
      </w:r>
    </w:p>
    <w:p w14:paraId="11F9CCF6" w14:textId="77777777" w:rsidR="005917B5" w:rsidRPr="00602F08" w:rsidRDefault="005917B5" w:rsidP="00B6212D">
      <w:pPr>
        <w:ind w:left="1440"/>
        <w:jc w:val="both"/>
        <w:rPr>
          <w:rStyle w:val="eop"/>
          <w:lang w:val="en-US"/>
        </w:rPr>
      </w:pPr>
    </w:p>
    <w:p w14:paraId="3738B9CF" w14:textId="77777777" w:rsidR="005917B5" w:rsidRPr="00602F08" w:rsidRDefault="005917B5" w:rsidP="00B6212D">
      <w:pPr>
        <w:ind w:left="1440"/>
        <w:jc w:val="both"/>
        <w:rPr>
          <w:rStyle w:val="eop"/>
          <w:lang w:val="en-US"/>
        </w:rPr>
      </w:pPr>
      <w:r w:rsidRPr="00602F08">
        <w:rPr>
          <w:rStyle w:val="eop"/>
          <w:lang w:val="en-US"/>
        </w:rPr>
        <w:t>The contracts prescribe that the Home Office pays the provider a specified amount per accommodated individual per night. The way in which property is sourced, prepared and provided is a matter for the provider. One of the reasons for discharging these statutory obligations by way of the contracts is to make use of the provider’s experience and expertise in doing this. The Home Office expects that when a company bids for a contract, it will deploy its experience and expertise when assessing the amount that it would require to be paid in order to operate the contract viably from a commercial point of view, given that there is a fixed-rate payment per accommodated individual per night.</w:t>
      </w:r>
    </w:p>
    <w:p w14:paraId="163D0CC6" w14:textId="77777777" w:rsidR="005917B5" w:rsidRPr="00602F08" w:rsidRDefault="005917B5" w:rsidP="00B6212D">
      <w:pPr>
        <w:ind w:left="1440"/>
        <w:jc w:val="both"/>
        <w:rPr>
          <w:rStyle w:val="eop"/>
          <w:lang w:val="en-US"/>
        </w:rPr>
      </w:pPr>
    </w:p>
    <w:p w14:paraId="3F1FC1DA" w14:textId="77777777" w:rsidR="005917B5" w:rsidRPr="00602F08" w:rsidRDefault="005917B5" w:rsidP="00B6212D">
      <w:pPr>
        <w:ind w:left="1440"/>
        <w:jc w:val="both"/>
        <w:rPr>
          <w:rStyle w:val="eop"/>
          <w:lang w:val="en-US"/>
        </w:rPr>
      </w:pPr>
      <w:r w:rsidRPr="00602F08">
        <w:rPr>
          <w:rStyle w:val="eop"/>
          <w:lang w:val="en-US"/>
        </w:rPr>
        <w:t>The contracts contain no cost or affordability caps on how much the provider may spend to secure accommodation for any particular individual whom the Home Office requires that provider to accommodate. … [A]n allegation that the search for property for accommodating a particular individual is limited by costs or affordability caps imposed by the Home Office misunderstands the contracts, which do not contain any such caps.</w:t>
      </w:r>
    </w:p>
    <w:p w14:paraId="405C8B55" w14:textId="77777777" w:rsidR="005917B5" w:rsidRPr="00602F08" w:rsidRDefault="005917B5" w:rsidP="00B6212D">
      <w:pPr>
        <w:ind w:left="1440"/>
        <w:jc w:val="both"/>
        <w:rPr>
          <w:rStyle w:val="eop"/>
          <w:lang w:val="en-US"/>
        </w:rPr>
      </w:pPr>
    </w:p>
    <w:p w14:paraId="395A0C21" w14:textId="77777777" w:rsidR="005917B5" w:rsidRPr="00602F08" w:rsidRDefault="005917B5" w:rsidP="00B6212D">
      <w:pPr>
        <w:ind w:left="1440"/>
        <w:jc w:val="both"/>
        <w:rPr>
          <w:rStyle w:val="eop"/>
          <w:lang w:val="en-US"/>
        </w:rPr>
      </w:pPr>
      <w:r w:rsidRPr="00602F08">
        <w:rPr>
          <w:rStyle w:val="eop"/>
          <w:lang w:val="en-US"/>
        </w:rPr>
        <w:t xml:space="preserve">When an individual is accommodated by a provider, the provider is responsible for meeting all of the costs involved. The provider has no recourse to the Home Office for reimbursement or recompense if the provider spends more on providing accommodation for a particular individual than the payment rate specified in the contract. It is entirely a matter for the provider as to how it will accommodate that individual and how much it spends in order to do so. The essence of the contract is that the provider must, regardless, accommodate the individual because it is contractually obliged to do so.” </w:t>
      </w:r>
    </w:p>
    <w:p w14:paraId="4E901612" w14:textId="77777777" w:rsidR="005917B5" w:rsidRPr="00602F08" w:rsidRDefault="005917B5" w:rsidP="00B6212D">
      <w:pPr>
        <w:pStyle w:val="ListParagraph"/>
        <w:jc w:val="both"/>
        <w:rPr>
          <w:rStyle w:val="eop"/>
          <w:rFonts w:ascii="Times New Roman" w:hAnsi="Times New Roman"/>
        </w:rPr>
      </w:pPr>
    </w:p>
    <w:p w14:paraId="199B44ED" w14:textId="6098C0F0" w:rsidR="000E147D" w:rsidRPr="00602F08" w:rsidRDefault="005917B5" w:rsidP="00B6212D">
      <w:pPr>
        <w:pStyle w:val="ListParagraph"/>
        <w:widowControl w:val="0"/>
        <w:numPr>
          <w:ilvl w:val="0"/>
          <w:numId w:val="10"/>
        </w:numPr>
        <w:tabs>
          <w:tab w:val="left" w:pos="688"/>
        </w:tabs>
        <w:autoSpaceDE w:val="0"/>
        <w:autoSpaceDN w:val="0"/>
        <w:spacing w:before="11"/>
        <w:contextualSpacing w:val="0"/>
        <w:jc w:val="both"/>
        <w:rPr>
          <w:rStyle w:val="eop"/>
          <w:rFonts w:ascii="Times New Roman" w:hAnsi="Times New Roman"/>
        </w:rPr>
      </w:pPr>
      <w:r w:rsidRPr="00602F08">
        <w:rPr>
          <w:rStyle w:val="eop"/>
          <w:rFonts w:ascii="Times New Roman" w:hAnsi="Times New Roman"/>
        </w:rPr>
        <w:t xml:space="preserve">Pausing here, it is Mr Mill’s point that the Home Office need not be concerned that the public purse will face increased cost in a particular case. </w:t>
      </w:r>
      <w:r w:rsidR="00CF2D84" w:rsidRPr="00602F08">
        <w:rPr>
          <w:rStyle w:val="eop"/>
          <w:rFonts w:ascii="Times New Roman" w:hAnsi="Times New Roman"/>
        </w:rPr>
        <w:t xml:space="preserve">The Secretary of State’s written argument </w:t>
      </w:r>
      <w:r w:rsidR="000E147D" w:rsidRPr="00602F08">
        <w:rPr>
          <w:rStyle w:val="eop"/>
          <w:rFonts w:ascii="Times New Roman" w:hAnsi="Times New Roman"/>
        </w:rPr>
        <w:t>g</w:t>
      </w:r>
      <w:r w:rsidR="00051B13" w:rsidRPr="00602F08">
        <w:rPr>
          <w:rStyle w:val="eop"/>
          <w:rFonts w:ascii="Times New Roman" w:hAnsi="Times New Roman"/>
        </w:rPr>
        <w:t>ave</w:t>
      </w:r>
      <w:r w:rsidR="000E147D" w:rsidRPr="00602F08">
        <w:rPr>
          <w:rStyle w:val="eop"/>
          <w:rFonts w:ascii="Times New Roman" w:hAnsi="Times New Roman"/>
        </w:rPr>
        <w:t xml:space="preserve"> particular emphasis to this. Thus:</w:t>
      </w:r>
    </w:p>
    <w:p w14:paraId="1DDBA1D5" w14:textId="77777777" w:rsidR="000E147D" w:rsidRPr="00602F08" w:rsidRDefault="000E147D" w:rsidP="00B6212D">
      <w:pPr>
        <w:pStyle w:val="ListParagraph"/>
        <w:widowControl w:val="0"/>
        <w:tabs>
          <w:tab w:val="left" w:pos="688"/>
        </w:tabs>
        <w:autoSpaceDE w:val="0"/>
        <w:autoSpaceDN w:val="0"/>
        <w:spacing w:before="11"/>
        <w:ind w:left="687"/>
        <w:contextualSpacing w:val="0"/>
        <w:jc w:val="both"/>
        <w:rPr>
          <w:rStyle w:val="eop"/>
          <w:rFonts w:ascii="Times New Roman" w:hAnsi="Times New Roman"/>
        </w:rPr>
      </w:pPr>
    </w:p>
    <w:p w14:paraId="57701873" w14:textId="52480CD6" w:rsidR="000E147D" w:rsidRPr="00602F08" w:rsidRDefault="000E147D" w:rsidP="00B6212D">
      <w:pPr>
        <w:pStyle w:val="ListParagraph"/>
        <w:widowControl w:val="0"/>
        <w:tabs>
          <w:tab w:val="left" w:pos="688"/>
        </w:tabs>
        <w:autoSpaceDE w:val="0"/>
        <w:autoSpaceDN w:val="0"/>
        <w:spacing w:before="11"/>
        <w:ind w:left="1440" w:hanging="753"/>
        <w:contextualSpacing w:val="0"/>
        <w:jc w:val="both"/>
        <w:rPr>
          <w:rFonts w:ascii="Times New Roman" w:hAnsi="Times New Roman"/>
          <w:lang w:eastAsia="en-GB"/>
        </w:rPr>
      </w:pPr>
      <w:r w:rsidRPr="00602F08">
        <w:rPr>
          <w:rStyle w:val="eop"/>
          <w:rFonts w:ascii="Times New Roman" w:hAnsi="Times New Roman"/>
        </w:rPr>
        <w:tab/>
      </w:r>
      <w:r w:rsidRPr="00602F08">
        <w:rPr>
          <w:rStyle w:val="eop"/>
          <w:rFonts w:ascii="Times New Roman" w:hAnsi="Times New Roman"/>
        </w:rPr>
        <w:tab/>
        <w:t>“</w:t>
      </w:r>
      <w:r w:rsidR="00CF2D84" w:rsidRPr="00602F08">
        <w:rPr>
          <w:rFonts w:ascii="Times New Roman" w:hAnsi="Times New Roman"/>
          <w:lang w:eastAsia="en-GB"/>
        </w:rPr>
        <w:t>Pursuant to the AASC contracts the Home Office pays the provider a set amount per individual per night accommodated.</w:t>
      </w:r>
    </w:p>
    <w:p w14:paraId="40DBEAAD" w14:textId="77777777" w:rsidR="000E147D" w:rsidRPr="00602F08" w:rsidRDefault="000E147D" w:rsidP="00B6212D">
      <w:pPr>
        <w:pStyle w:val="ListParagraph"/>
        <w:widowControl w:val="0"/>
        <w:tabs>
          <w:tab w:val="left" w:pos="688"/>
        </w:tabs>
        <w:autoSpaceDE w:val="0"/>
        <w:autoSpaceDN w:val="0"/>
        <w:spacing w:before="11"/>
        <w:ind w:left="687"/>
        <w:contextualSpacing w:val="0"/>
        <w:jc w:val="both"/>
        <w:rPr>
          <w:rFonts w:ascii="Times New Roman" w:hAnsi="Times New Roman"/>
          <w:lang w:eastAsia="en-GB"/>
        </w:rPr>
      </w:pPr>
    </w:p>
    <w:p w14:paraId="5109A0C9" w14:textId="231C5E9E" w:rsidR="000E147D" w:rsidRPr="00602F08" w:rsidRDefault="003872D0" w:rsidP="00B6212D">
      <w:pPr>
        <w:pStyle w:val="ListParagraph"/>
        <w:widowControl w:val="0"/>
        <w:tabs>
          <w:tab w:val="left" w:pos="688"/>
        </w:tabs>
        <w:autoSpaceDE w:val="0"/>
        <w:autoSpaceDN w:val="0"/>
        <w:spacing w:before="11"/>
        <w:ind w:left="1440" w:hanging="753"/>
        <w:contextualSpacing w:val="0"/>
        <w:jc w:val="both"/>
        <w:rPr>
          <w:rFonts w:ascii="Times New Roman" w:hAnsi="Times New Roman"/>
          <w:lang w:eastAsia="en-GB"/>
        </w:rPr>
      </w:pPr>
      <w:r w:rsidRPr="00602F08">
        <w:rPr>
          <w:rFonts w:ascii="Times New Roman" w:hAnsi="Times New Roman"/>
          <w:lang w:eastAsia="en-GB"/>
        </w:rPr>
        <w:tab/>
      </w:r>
      <w:r w:rsidRPr="00602F08">
        <w:rPr>
          <w:rFonts w:ascii="Times New Roman" w:hAnsi="Times New Roman"/>
          <w:lang w:eastAsia="en-GB"/>
        </w:rPr>
        <w:tab/>
      </w:r>
      <w:r w:rsidR="00CF2D84" w:rsidRPr="00602F08">
        <w:rPr>
          <w:rFonts w:ascii="Times New Roman" w:hAnsi="Times New Roman"/>
          <w:lang w:eastAsia="en-GB"/>
        </w:rPr>
        <w:t>There is no ‘cost cap’ or ‘affordability constraint’ on the amount a provider may spend to secure appropriate accommodation for any particular individual. The essence of the contract is that the provider must, regardless, accommodate the individual because it is contractually obliged to do so</w:t>
      </w:r>
      <w:r w:rsidR="000E147D" w:rsidRPr="00602F08">
        <w:rPr>
          <w:rFonts w:ascii="Times New Roman" w:hAnsi="Times New Roman"/>
          <w:lang w:eastAsia="en-GB"/>
        </w:rPr>
        <w:t>.</w:t>
      </w:r>
    </w:p>
    <w:p w14:paraId="76DDFADE" w14:textId="77777777" w:rsidR="000E147D" w:rsidRPr="00602F08" w:rsidRDefault="000E147D" w:rsidP="00B6212D">
      <w:pPr>
        <w:pStyle w:val="ListParagraph"/>
        <w:widowControl w:val="0"/>
        <w:tabs>
          <w:tab w:val="left" w:pos="688"/>
        </w:tabs>
        <w:autoSpaceDE w:val="0"/>
        <w:autoSpaceDN w:val="0"/>
        <w:spacing w:before="11"/>
        <w:ind w:left="687"/>
        <w:contextualSpacing w:val="0"/>
        <w:jc w:val="both"/>
        <w:rPr>
          <w:rFonts w:ascii="Times New Roman" w:hAnsi="Times New Roman"/>
          <w:lang w:eastAsia="en-GB"/>
        </w:rPr>
      </w:pPr>
    </w:p>
    <w:p w14:paraId="050CDD52" w14:textId="0024EB95" w:rsidR="000E147D" w:rsidRPr="00602F08" w:rsidRDefault="003872D0" w:rsidP="00B6212D">
      <w:pPr>
        <w:pStyle w:val="ListParagraph"/>
        <w:widowControl w:val="0"/>
        <w:tabs>
          <w:tab w:val="left" w:pos="688"/>
        </w:tabs>
        <w:autoSpaceDE w:val="0"/>
        <w:autoSpaceDN w:val="0"/>
        <w:spacing w:before="11"/>
        <w:ind w:left="1440" w:hanging="753"/>
        <w:contextualSpacing w:val="0"/>
        <w:jc w:val="both"/>
        <w:rPr>
          <w:rFonts w:ascii="Times New Roman" w:hAnsi="Times New Roman"/>
          <w:lang w:eastAsia="en-GB"/>
        </w:rPr>
      </w:pPr>
      <w:r w:rsidRPr="00602F08">
        <w:rPr>
          <w:rFonts w:ascii="Times New Roman" w:hAnsi="Times New Roman"/>
          <w:lang w:eastAsia="en-GB"/>
        </w:rPr>
        <w:tab/>
      </w:r>
      <w:r w:rsidRPr="00602F08">
        <w:rPr>
          <w:rFonts w:ascii="Times New Roman" w:hAnsi="Times New Roman"/>
          <w:lang w:eastAsia="en-GB"/>
        </w:rPr>
        <w:tab/>
      </w:r>
      <w:r w:rsidR="00CF2D84" w:rsidRPr="00602F08">
        <w:rPr>
          <w:rFonts w:ascii="Times New Roman" w:hAnsi="Times New Roman"/>
          <w:lang w:eastAsia="en-GB"/>
        </w:rPr>
        <w:t>Naturally, the Secretary of State aims to spend public money effectively. The tender process for the AASC contracts assists with this, as it involves each potential provider assessing how much it will cost them to operate the contract and bidding accordingl</w:t>
      </w:r>
      <w:r w:rsidRPr="00602F08">
        <w:rPr>
          <w:rFonts w:ascii="Times New Roman" w:hAnsi="Times New Roman"/>
          <w:lang w:eastAsia="en-GB"/>
        </w:rPr>
        <w:t>y.</w:t>
      </w:r>
    </w:p>
    <w:p w14:paraId="029C6923" w14:textId="77777777" w:rsidR="000E147D" w:rsidRPr="00602F08" w:rsidRDefault="000E147D" w:rsidP="00B6212D">
      <w:pPr>
        <w:pStyle w:val="ListParagraph"/>
        <w:widowControl w:val="0"/>
        <w:tabs>
          <w:tab w:val="left" w:pos="688"/>
        </w:tabs>
        <w:autoSpaceDE w:val="0"/>
        <w:autoSpaceDN w:val="0"/>
        <w:spacing w:before="11"/>
        <w:ind w:left="687"/>
        <w:contextualSpacing w:val="0"/>
        <w:jc w:val="both"/>
        <w:rPr>
          <w:rFonts w:ascii="Times New Roman" w:hAnsi="Times New Roman"/>
          <w:lang w:eastAsia="en-GB"/>
        </w:rPr>
      </w:pPr>
    </w:p>
    <w:p w14:paraId="0A1222FE" w14:textId="2C46D560" w:rsidR="00CF2D84" w:rsidRPr="00602F08" w:rsidRDefault="003872D0" w:rsidP="00B6212D">
      <w:pPr>
        <w:pStyle w:val="ListParagraph"/>
        <w:widowControl w:val="0"/>
        <w:tabs>
          <w:tab w:val="left" w:pos="688"/>
        </w:tabs>
        <w:autoSpaceDE w:val="0"/>
        <w:autoSpaceDN w:val="0"/>
        <w:spacing w:before="11"/>
        <w:ind w:left="1440" w:hanging="753"/>
        <w:contextualSpacing w:val="0"/>
        <w:jc w:val="both"/>
        <w:rPr>
          <w:rFonts w:ascii="Times New Roman" w:hAnsi="Times New Roman"/>
        </w:rPr>
      </w:pPr>
      <w:r w:rsidRPr="00602F08">
        <w:rPr>
          <w:rFonts w:ascii="Times New Roman" w:hAnsi="Times New Roman"/>
          <w:lang w:eastAsia="en-GB"/>
        </w:rPr>
        <w:tab/>
      </w:r>
      <w:r w:rsidRPr="00602F08">
        <w:rPr>
          <w:rFonts w:ascii="Times New Roman" w:hAnsi="Times New Roman"/>
          <w:lang w:eastAsia="en-GB"/>
        </w:rPr>
        <w:tab/>
      </w:r>
      <w:r w:rsidR="00CF2D84" w:rsidRPr="00602F08">
        <w:rPr>
          <w:rFonts w:ascii="Times New Roman" w:hAnsi="Times New Roman"/>
          <w:lang w:eastAsia="en-GB"/>
        </w:rPr>
        <w:t>In addition, the dispersal policy allows individuals to be accommodated in areas in which accommodation is in ready supply and therefore more affordable. However, that does not affect the contractual obligations where the Secretary of State requires the provider to accommodate a person in a particular area - the provider is contractually obliged to do so regardless of the cost to the provider of doing so</w:t>
      </w:r>
      <w:r w:rsidR="00C80D76" w:rsidRPr="00602F08">
        <w:rPr>
          <w:rFonts w:ascii="Times New Roman" w:hAnsi="Times New Roman"/>
          <w:lang w:eastAsia="en-GB"/>
        </w:rPr>
        <w:t>.</w:t>
      </w:r>
      <w:r w:rsidRPr="00602F08">
        <w:rPr>
          <w:rFonts w:ascii="Times New Roman" w:hAnsi="Times New Roman"/>
          <w:lang w:eastAsia="en-GB"/>
        </w:rPr>
        <w:t>”</w:t>
      </w:r>
    </w:p>
    <w:p w14:paraId="72E9223E" w14:textId="77777777" w:rsidR="00CF2D84" w:rsidRPr="00602F08" w:rsidRDefault="00CF2D84" w:rsidP="00B6212D">
      <w:pPr>
        <w:pStyle w:val="ListParagraph"/>
        <w:widowControl w:val="0"/>
        <w:tabs>
          <w:tab w:val="left" w:pos="688"/>
        </w:tabs>
        <w:autoSpaceDE w:val="0"/>
        <w:autoSpaceDN w:val="0"/>
        <w:spacing w:before="11"/>
        <w:ind w:left="687"/>
        <w:contextualSpacing w:val="0"/>
        <w:jc w:val="both"/>
        <w:rPr>
          <w:rStyle w:val="eop"/>
          <w:rFonts w:ascii="Times New Roman" w:hAnsi="Times New Roman"/>
        </w:rPr>
      </w:pPr>
    </w:p>
    <w:p w14:paraId="08AB8057" w14:textId="12CA0FE6" w:rsidR="005917B5" w:rsidRPr="00602F08" w:rsidRDefault="007D6425" w:rsidP="00B6212D">
      <w:pPr>
        <w:pStyle w:val="ListParagraph"/>
        <w:widowControl w:val="0"/>
        <w:numPr>
          <w:ilvl w:val="0"/>
          <w:numId w:val="10"/>
        </w:numPr>
        <w:tabs>
          <w:tab w:val="left" w:pos="688"/>
        </w:tabs>
        <w:autoSpaceDE w:val="0"/>
        <w:autoSpaceDN w:val="0"/>
        <w:spacing w:before="11"/>
        <w:contextualSpacing w:val="0"/>
        <w:jc w:val="both"/>
        <w:rPr>
          <w:rStyle w:val="eop"/>
          <w:rFonts w:ascii="Times New Roman" w:hAnsi="Times New Roman"/>
        </w:rPr>
      </w:pPr>
      <w:r w:rsidRPr="00602F08">
        <w:rPr>
          <w:rStyle w:val="eop"/>
          <w:rFonts w:ascii="Times New Roman" w:hAnsi="Times New Roman"/>
        </w:rPr>
        <w:t>T</w:t>
      </w:r>
      <w:r w:rsidR="00904406" w:rsidRPr="00602F08">
        <w:rPr>
          <w:rStyle w:val="eop"/>
          <w:rFonts w:ascii="Times New Roman" w:hAnsi="Times New Roman"/>
        </w:rPr>
        <w:t xml:space="preserve">his </w:t>
      </w:r>
      <w:r w:rsidRPr="00602F08">
        <w:rPr>
          <w:rStyle w:val="eop"/>
          <w:rFonts w:ascii="Times New Roman" w:hAnsi="Times New Roman"/>
        </w:rPr>
        <w:t xml:space="preserve">evidence and argument </w:t>
      </w:r>
      <w:r w:rsidR="00904406" w:rsidRPr="00602F08">
        <w:rPr>
          <w:rStyle w:val="eop"/>
          <w:rFonts w:ascii="Times New Roman" w:hAnsi="Times New Roman"/>
        </w:rPr>
        <w:t xml:space="preserve">does not address the point that </w:t>
      </w:r>
      <w:r w:rsidR="005917B5" w:rsidRPr="00602F08">
        <w:rPr>
          <w:rStyle w:val="eop"/>
          <w:rFonts w:ascii="Times New Roman" w:hAnsi="Times New Roman"/>
        </w:rPr>
        <w:t>the alignment of interest has changed so as to make the provision of accommodation that needs most resource (in terms of time and money) least profitable (and potentially least sustainable) for the provider. This will be true even where some increased cost has been “priced in” by the provider in negotiating the contract</w:t>
      </w:r>
      <w:r w:rsidR="00B2220A" w:rsidRPr="00602F08">
        <w:rPr>
          <w:rStyle w:val="eop"/>
          <w:rFonts w:ascii="Times New Roman" w:hAnsi="Times New Roman"/>
        </w:rPr>
        <w:t xml:space="preserve"> with the Secretary of State</w:t>
      </w:r>
      <w:r w:rsidR="005917B5" w:rsidRPr="00602F08">
        <w:rPr>
          <w:rStyle w:val="eop"/>
          <w:rFonts w:ascii="Times New Roman" w:hAnsi="Times New Roman"/>
        </w:rPr>
        <w:t xml:space="preserve">. </w:t>
      </w:r>
      <w:r w:rsidR="001D7707" w:rsidRPr="00602F08">
        <w:rPr>
          <w:rStyle w:val="eop"/>
          <w:rFonts w:ascii="Times New Roman" w:hAnsi="Times New Roman"/>
        </w:rPr>
        <w:t>R</w:t>
      </w:r>
      <w:r w:rsidR="005917B5" w:rsidRPr="00602F08">
        <w:rPr>
          <w:rStyle w:val="eop"/>
          <w:rFonts w:ascii="Times New Roman" w:hAnsi="Times New Roman"/>
        </w:rPr>
        <w:t xml:space="preserve">ecognising the disability issues in the present proceedings, </w:t>
      </w:r>
      <w:r w:rsidR="003E1C43" w:rsidRPr="00602F08">
        <w:rPr>
          <w:rStyle w:val="eop"/>
          <w:rFonts w:ascii="Times New Roman" w:hAnsi="Times New Roman"/>
        </w:rPr>
        <w:t xml:space="preserve">considered further below, </w:t>
      </w:r>
      <w:r w:rsidR="005917B5" w:rsidRPr="00602F08">
        <w:rPr>
          <w:rStyle w:val="eop"/>
          <w:rFonts w:ascii="Times New Roman" w:hAnsi="Times New Roman"/>
        </w:rPr>
        <w:t xml:space="preserve">accommodation that has to be provided with particular accessibility requirements or with particular priority may be among the accommodation that needs most resource. </w:t>
      </w:r>
    </w:p>
    <w:p w14:paraId="36674E3E" w14:textId="5D74D02E" w:rsidR="005917B5" w:rsidRPr="00602F08" w:rsidRDefault="005917B5" w:rsidP="00B6212D">
      <w:pPr>
        <w:widowControl w:val="0"/>
        <w:tabs>
          <w:tab w:val="left" w:pos="688"/>
        </w:tabs>
        <w:autoSpaceDE w:val="0"/>
        <w:autoSpaceDN w:val="0"/>
        <w:spacing w:before="11"/>
        <w:jc w:val="both"/>
        <w:rPr>
          <w:rStyle w:val="eop"/>
        </w:rPr>
      </w:pPr>
    </w:p>
    <w:p w14:paraId="65635105" w14:textId="2E2824A1" w:rsidR="008705E2" w:rsidRPr="00602F08" w:rsidRDefault="008705E2" w:rsidP="00B6212D">
      <w:pPr>
        <w:widowControl w:val="0"/>
        <w:tabs>
          <w:tab w:val="left" w:pos="688"/>
        </w:tabs>
        <w:autoSpaceDE w:val="0"/>
        <w:autoSpaceDN w:val="0"/>
        <w:spacing w:before="11"/>
        <w:jc w:val="both"/>
        <w:rPr>
          <w:rStyle w:val="eop"/>
        </w:rPr>
      </w:pPr>
    </w:p>
    <w:p w14:paraId="5511F8F9" w14:textId="5DBDB012" w:rsidR="008705E2" w:rsidRPr="00602F08" w:rsidRDefault="008705E2" w:rsidP="008705E2">
      <w:pPr>
        <w:widowControl w:val="0"/>
        <w:tabs>
          <w:tab w:val="left" w:pos="688"/>
        </w:tabs>
        <w:autoSpaceDE w:val="0"/>
        <w:autoSpaceDN w:val="0"/>
        <w:spacing w:before="11"/>
        <w:ind w:left="687"/>
        <w:jc w:val="both"/>
        <w:rPr>
          <w:rStyle w:val="eop"/>
          <w:u w:val="single"/>
        </w:rPr>
      </w:pPr>
      <w:r w:rsidRPr="00602F08">
        <w:rPr>
          <w:rStyle w:val="eop"/>
          <w:u w:val="single"/>
        </w:rPr>
        <w:t>Securing performance</w:t>
      </w:r>
    </w:p>
    <w:p w14:paraId="6BB949F5" w14:textId="77777777" w:rsidR="008705E2" w:rsidRPr="00602F08" w:rsidRDefault="008705E2" w:rsidP="008705E2">
      <w:pPr>
        <w:widowControl w:val="0"/>
        <w:tabs>
          <w:tab w:val="left" w:pos="688"/>
        </w:tabs>
        <w:autoSpaceDE w:val="0"/>
        <w:autoSpaceDN w:val="0"/>
        <w:spacing w:before="11"/>
        <w:ind w:left="687"/>
        <w:jc w:val="both"/>
        <w:rPr>
          <w:rStyle w:val="eop"/>
        </w:rPr>
      </w:pPr>
    </w:p>
    <w:p w14:paraId="343162B0" w14:textId="1BFA972F" w:rsidR="005917B5" w:rsidRPr="00602F08" w:rsidRDefault="005917B5" w:rsidP="00B6212D">
      <w:pPr>
        <w:pStyle w:val="ListParagraph"/>
        <w:widowControl w:val="0"/>
        <w:numPr>
          <w:ilvl w:val="0"/>
          <w:numId w:val="10"/>
        </w:numPr>
        <w:tabs>
          <w:tab w:val="left" w:pos="688"/>
        </w:tabs>
        <w:autoSpaceDE w:val="0"/>
        <w:autoSpaceDN w:val="0"/>
        <w:spacing w:before="11"/>
        <w:contextualSpacing w:val="0"/>
        <w:jc w:val="both"/>
        <w:rPr>
          <w:rStyle w:val="eop"/>
          <w:rFonts w:ascii="Times New Roman" w:hAnsi="Times New Roman"/>
        </w:rPr>
      </w:pPr>
      <w:r w:rsidRPr="00602F08">
        <w:rPr>
          <w:rStyle w:val="eop"/>
          <w:rFonts w:ascii="Times New Roman" w:hAnsi="Times New Roman"/>
        </w:rPr>
        <w:t>Of course, the provider will have its commercial reputation to consider and contractual compulsion is available to the Secretary of State. Mr Mill deal</w:t>
      </w:r>
      <w:r w:rsidR="003E1C43" w:rsidRPr="00602F08">
        <w:rPr>
          <w:rStyle w:val="eop"/>
          <w:rFonts w:ascii="Times New Roman" w:hAnsi="Times New Roman"/>
        </w:rPr>
        <w:t>t</w:t>
      </w:r>
      <w:r w:rsidRPr="00602F08">
        <w:rPr>
          <w:rStyle w:val="eop"/>
          <w:rFonts w:ascii="Times New Roman" w:hAnsi="Times New Roman"/>
        </w:rPr>
        <w:t xml:space="preserve"> with contractual compulsion in this way:</w:t>
      </w:r>
    </w:p>
    <w:p w14:paraId="65A3BC52" w14:textId="77777777" w:rsidR="005917B5" w:rsidRPr="00602F08" w:rsidRDefault="005917B5" w:rsidP="00B6212D">
      <w:pPr>
        <w:pStyle w:val="ListParagraph"/>
        <w:jc w:val="both"/>
        <w:rPr>
          <w:rStyle w:val="eop"/>
          <w:rFonts w:ascii="Times New Roman" w:hAnsi="Times New Roman"/>
        </w:rPr>
      </w:pPr>
    </w:p>
    <w:p w14:paraId="557C9371" w14:textId="77777777" w:rsidR="005917B5" w:rsidRPr="00602F08" w:rsidRDefault="005917B5" w:rsidP="00B6212D">
      <w:pPr>
        <w:pStyle w:val="ListParagraph"/>
        <w:widowControl w:val="0"/>
        <w:tabs>
          <w:tab w:val="left" w:pos="688"/>
        </w:tabs>
        <w:autoSpaceDE w:val="0"/>
        <w:autoSpaceDN w:val="0"/>
        <w:spacing w:before="11"/>
        <w:ind w:left="1440" w:hanging="753"/>
        <w:contextualSpacing w:val="0"/>
        <w:jc w:val="both"/>
        <w:rPr>
          <w:rStyle w:val="eop"/>
          <w:rFonts w:ascii="Times New Roman" w:hAnsi="Times New Roman"/>
        </w:rPr>
      </w:pPr>
      <w:r w:rsidRPr="00602F08">
        <w:rPr>
          <w:rStyle w:val="eop"/>
          <w:rFonts w:ascii="Times New Roman" w:hAnsi="Times New Roman"/>
        </w:rPr>
        <w:tab/>
      </w:r>
      <w:r w:rsidRPr="00602F08">
        <w:rPr>
          <w:rStyle w:val="eop"/>
          <w:rFonts w:ascii="Times New Roman" w:hAnsi="Times New Roman"/>
        </w:rPr>
        <w:tab/>
        <w:t>“… The provider’s performance in meeting its contractual obligations is measured against Key Performance Indicators set out in the contract. One KPI measures the timeliness of the provision of accommodation. If the provider is able to source appropriate property for a particular individual whom the Home Office requires the provider to accommodate, but declines to do so on the ground that the property is too expensive when compared to the payment rate, that is nevertheless a breach of the provider’s contractual obligations and non-compliance for the purposes of performance measurement, which can have consequences in the form of financial penalties.</w:t>
      </w:r>
    </w:p>
    <w:p w14:paraId="27314758" w14:textId="77777777" w:rsidR="005917B5" w:rsidRPr="00602F08" w:rsidRDefault="005917B5" w:rsidP="00B6212D">
      <w:pPr>
        <w:pStyle w:val="ListParagraph"/>
        <w:widowControl w:val="0"/>
        <w:tabs>
          <w:tab w:val="left" w:pos="688"/>
        </w:tabs>
        <w:autoSpaceDE w:val="0"/>
        <w:autoSpaceDN w:val="0"/>
        <w:spacing w:before="11"/>
        <w:ind w:left="687"/>
        <w:contextualSpacing w:val="0"/>
        <w:jc w:val="both"/>
        <w:rPr>
          <w:rStyle w:val="eop"/>
          <w:rFonts w:ascii="Times New Roman" w:hAnsi="Times New Roman"/>
        </w:rPr>
      </w:pPr>
    </w:p>
    <w:p w14:paraId="6F01F2AA" w14:textId="03F4977E" w:rsidR="005917B5" w:rsidRPr="00602F08" w:rsidRDefault="005917B5" w:rsidP="00B6212D">
      <w:pPr>
        <w:pStyle w:val="ListParagraph"/>
        <w:widowControl w:val="0"/>
        <w:tabs>
          <w:tab w:val="left" w:pos="688"/>
        </w:tabs>
        <w:autoSpaceDE w:val="0"/>
        <w:autoSpaceDN w:val="0"/>
        <w:spacing w:before="11"/>
        <w:ind w:left="1440" w:hanging="753"/>
        <w:contextualSpacing w:val="0"/>
        <w:jc w:val="both"/>
        <w:rPr>
          <w:rStyle w:val="eop"/>
          <w:rFonts w:ascii="Times New Roman" w:hAnsi="Times New Roman"/>
        </w:rPr>
      </w:pPr>
      <w:r w:rsidRPr="00602F08">
        <w:rPr>
          <w:rStyle w:val="eop"/>
          <w:rFonts w:ascii="Times New Roman" w:hAnsi="Times New Roman"/>
        </w:rPr>
        <w:tab/>
      </w:r>
      <w:r w:rsidRPr="00602F08">
        <w:rPr>
          <w:rStyle w:val="eop"/>
          <w:rFonts w:ascii="Times New Roman" w:hAnsi="Times New Roman"/>
        </w:rPr>
        <w:tab/>
        <w:t>In addition, the provider cannot claim to have discharged its contractual obligation to accommodate a particular individual by providing either substandard accommodation or accommodation that did not conform to the specifications set out by the Home Office when it required the provider to accommodate the individual. The provision of substandard or non-conforming accommodation is also a breach of the provider’s contractual obligations and non-compliance for the purposes of performance measurement. If the provider is able to source appropriate property for that individual, but is reluctant to do so on the ground that the property is too expensive, the provider cannot evade the performance measurement regime by purporting to accommodate the individual in some other property that is inadequate or unsuitable for the individual.”</w:t>
      </w:r>
    </w:p>
    <w:p w14:paraId="72A34FBF" w14:textId="77777777" w:rsidR="005917B5" w:rsidRPr="00602F08" w:rsidRDefault="005917B5" w:rsidP="00B6212D">
      <w:pPr>
        <w:jc w:val="both"/>
        <w:rPr>
          <w:rStyle w:val="eop"/>
          <w:b/>
          <w:bCs/>
          <w:lang w:val="en-US"/>
        </w:rPr>
      </w:pPr>
    </w:p>
    <w:p w14:paraId="6A80D4DE" w14:textId="77777777" w:rsidR="00701A3A" w:rsidRDefault="002B5091" w:rsidP="00877D48">
      <w:pPr>
        <w:pStyle w:val="ListParagraph"/>
        <w:widowControl w:val="0"/>
        <w:numPr>
          <w:ilvl w:val="0"/>
          <w:numId w:val="10"/>
        </w:numPr>
        <w:tabs>
          <w:tab w:val="left" w:pos="688"/>
        </w:tabs>
        <w:autoSpaceDE w:val="0"/>
        <w:autoSpaceDN w:val="0"/>
        <w:spacing w:before="11"/>
        <w:contextualSpacing w:val="0"/>
        <w:jc w:val="both"/>
        <w:rPr>
          <w:rStyle w:val="eop"/>
          <w:rFonts w:ascii="Times New Roman" w:hAnsi="Times New Roman"/>
        </w:rPr>
      </w:pPr>
      <w:r w:rsidRPr="00602F08">
        <w:rPr>
          <w:rStyle w:val="eop"/>
          <w:rFonts w:ascii="Times New Roman" w:hAnsi="Times New Roman"/>
        </w:rPr>
        <w:t xml:space="preserve">It will be noted </w:t>
      </w:r>
      <w:r w:rsidR="00ED01AD" w:rsidRPr="00602F08">
        <w:rPr>
          <w:rStyle w:val="eop"/>
          <w:rFonts w:ascii="Times New Roman" w:hAnsi="Times New Roman"/>
        </w:rPr>
        <w:t xml:space="preserve">that </w:t>
      </w:r>
      <w:r w:rsidRPr="00602F08">
        <w:rPr>
          <w:rStyle w:val="eop"/>
          <w:rFonts w:ascii="Times New Roman" w:hAnsi="Times New Roman"/>
        </w:rPr>
        <w:t>this evidence addresse</w:t>
      </w:r>
      <w:r w:rsidR="008C3266" w:rsidRPr="00602F08">
        <w:rPr>
          <w:rStyle w:val="eop"/>
          <w:rFonts w:ascii="Times New Roman" w:hAnsi="Times New Roman"/>
        </w:rPr>
        <w:t>s</w:t>
      </w:r>
      <w:r w:rsidR="00EC66D5" w:rsidRPr="00602F08">
        <w:rPr>
          <w:rStyle w:val="eop"/>
          <w:rFonts w:ascii="Times New Roman" w:hAnsi="Times New Roman"/>
        </w:rPr>
        <w:t xml:space="preserve"> the potential eventual financial consequences for the provider </w:t>
      </w:r>
      <w:r w:rsidR="00104B02" w:rsidRPr="00602F08">
        <w:rPr>
          <w:rStyle w:val="eop"/>
          <w:rFonts w:ascii="Times New Roman" w:hAnsi="Times New Roman"/>
        </w:rPr>
        <w:t xml:space="preserve">who does not </w:t>
      </w:r>
      <w:r w:rsidR="00E02C06" w:rsidRPr="00602F08">
        <w:rPr>
          <w:rStyle w:val="eop"/>
          <w:rFonts w:ascii="Times New Roman" w:hAnsi="Times New Roman"/>
        </w:rPr>
        <w:t>provide required accommodation on time</w:t>
      </w:r>
      <w:r w:rsidR="00ED01AD" w:rsidRPr="00602F08">
        <w:rPr>
          <w:rStyle w:val="eop"/>
          <w:rFonts w:ascii="Times New Roman" w:hAnsi="Times New Roman"/>
        </w:rPr>
        <w:t xml:space="preserve">. It </w:t>
      </w:r>
      <w:r w:rsidR="008C3266" w:rsidRPr="00602F08">
        <w:rPr>
          <w:rStyle w:val="eop"/>
          <w:rFonts w:ascii="Times New Roman" w:hAnsi="Times New Roman"/>
        </w:rPr>
        <w:t xml:space="preserve">does not </w:t>
      </w:r>
      <w:r w:rsidR="00ED01AD" w:rsidRPr="00602F08">
        <w:rPr>
          <w:rStyle w:val="eop"/>
          <w:rFonts w:ascii="Times New Roman" w:hAnsi="Times New Roman"/>
        </w:rPr>
        <w:t xml:space="preserve">however </w:t>
      </w:r>
      <w:r w:rsidR="008C3266" w:rsidRPr="00602F08">
        <w:rPr>
          <w:rStyle w:val="eop"/>
          <w:rFonts w:ascii="Times New Roman" w:hAnsi="Times New Roman"/>
        </w:rPr>
        <w:t xml:space="preserve">deal with </w:t>
      </w:r>
      <w:r w:rsidR="00EE4222" w:rsidRPr="00602F08">
        <w:rPr>
          <w:rStyle w:val="eop"/>
          <w:rFonts w:ascii="Times New Roman" w:hAnsi="Times New Roman"/>
        </w:rPr>
        <w:t>securing</w:t>
      </w:r>
      <w:r w:rsidR="00357FBC" w:rsidRPr="00602F08">
        <w:rPr>
          <w:rStyle w:val="eop"/>
          <w:rFonts w:ascii="Times New Roman" w:hAnsi="Times New Roman"/>
        </w:rPr>
        <w:t xml:space="preserve"> performance </w:t>
      </w:r>
      <w:r w:rsidR="00BF7371" w:rsidRPr="00602F08">
        <w:rPr>
          <w:rStyle w:val="eop"/>
          <w:rFonts w:ascii="Times New Roman" w:hAnsi="Times New Roman"/>
        </w:rPr>
        <w:t xml:space="preserve">in the individual case </w:t>
      </w:r>
      <w:r w:rsidR="008754C4" w:rsidRPr="00602F08">
        <w:rPr>
          <w:rStyle w:val="eop"/>
          <w:rFonts w:ascii="Times New Roman" w:hAnsi="Times New Roman"/>
        </w:rPr>
        <w:t xml:space="preserve">so that the </w:t>
      </w:r>
      <w:r w:rsidR="0031515D" w:rsidRPr="00602F08">
        <w:rPr>
          <w:rStyle w:val="eop"/>
          <w:rFonts w:ascii="Times New Roman" w:hAnsi="Times New Roman"/>
        </w:rPr>
        <w:t xml:space="preserve">particular </w:t>
      </w:r>
      <w:r w:rsidR="008754C4" w:rsidRPr="00602F08">
        <w:rPr>
          <w:rStyle w:val="eop"/>
          <w:rFonts w:ascii="Times New Roman" w:hAnsi="Times New Roman"/>
        </w:rPr>
        <w:t xml:space="preserve">individual is </w:t>
      </w:r>
      <w:r w:rsidR="0031515D" w:rsidRPr="00602F08">
        <w:rPr>
          <w:rStyle w:val="eop"/>
          <w:rFonts w:ascii="Times New Roman" w:hAnsi="Times New Roman"/>
        </w:rPr>
        <w:t xml:space="preserve">in fact </w:t>
      </w:r>
      <w:r w:rsidR="008754C4" w:rsidRPr="00602F08">
        <w:rPr>
          <w:rStyle w:val="eop"/>
          <w:rFonts w:ascii="Times New Roman" w:hAnsi="Times New Roman"/>
        </w:rPr>
        <w:t xml:space="preserve">provided </w:t>
      </w:r>
      <w:r w:rsidR="004956CA" w:rsidRPr="00602F08">
        <w:rPr>
          <w:rStyle w:val="eop"/>
          <w:rFonts w:ascii="Times New Roman" w:hAnsi="Times New Roman"/>
        </w:rPr>
        <w:t xml:space="preserve">with appropriate accommodation </w:t>
      </w:r>
      <w:r w:rsidR="0031515D" w:rsidRPr="00602F08">
        <w:rPr>
          <w:rStyle w:val="eop"/>
          <w:rFonts w:ascii="Times New Roman" w:hAnsi="Times New Roman"/>
        </w:rPr>
        <w:t>within the time required by the Secretary of State.</w:t>
      </w:r>
      <w:r w:rsidR="00807A1C">
        <w:rPr>
          <w:rStyle w:val="eop"/>
          <w:rFonts w:ascii="Times New Roman" w:hAnsi="Times New Roman"/>
        </w:rPr>
        <w:t xml:space="preserve"> Schedule 2 to the AASC comprises a Statement of Requirements. This </w:t>
      </w:r>
      <w:r w:rsidR="00701A3A">
        <w:rPr>
          <w:rStyle w:val="eop"/>
          <w:rFonts w:ascii="Times New Roman" w:hAnsi="Times New Roman"/>
        </w:rPr>
        <w:t>states at paragraph 1.2.8.5 (North West version):</w:t>
      </w:r>
    </w:p>
    <w:p w14:paraId="3F4BD58D" w14:textId="77777777" w:rsidR="00701A3A" w:rsidRDefault="00701A3A" w:rsidP="00701A3A">
      <w:pPr>
        <w:pStyle w:val="ListParagraph"/>
        <w:widowControl w:val="0"/>
        <w:tabs>
          <w:tab w:val="left" w:pos="688"/>
        </w:tabs>
        <w:autoSpaceDE w:val="0"/>
        <w:autoSpaceDN w:val="0"/>
        <w:spacing w:before="11"/>
        <w:ind w:left="687"/>
        <w:contextualSpacing w:val="0"/>
        <w:jc w:val="both"/>
        <w:rPr>
          <w:rStyle w:val="eop"/>
          <w:rFonts w:ascii="Times New Roman" w:hAnsi="Times New Roman"/>
        </w:rPr>
      </w:pPr>
    </w:p>
    <w:p w14:paraId="48AD2D16" w14:textId="0F741ABC" w:rsidR="00877D48" w:rsidRPr="00877D48" w:rsidRDefault="00701A3A" w:rsidP="0063218E">
      <w:pPr>
        <w:pStyle w:val="ListParagraph"/>
        <w:widowControl w:val="0"/>
        <w:tabs>
          <w:tab w:val="left" w:pos="688"/>
        </w:tabs>
        <w:autoSpaceDE w:val="0"/>
        <w:autoSpaceDN w:val="0"/>
        <w:spacing w:before="11"/>
        <w:ind w:left="1440" w:hanging="753"/>
        <w:contextualSpacing w:val="0"/>
        <w:jc w:val="both"/>
        <w:rPr>
          <w:rStyle w:val="eop"/>
          <w:rFonts w:ascii="Times New Roman" w:hAnsi="Times New Roman"/>
        </w:rPr>
      </w:pPr>
      <w:r>
        <w:rPr>
          <w:rStyle w:val="eop"/>
          <w:rFonts w:ascii="Times New Roman" w:hAnsi="Times New Roman"/>
        </w:rPr>
        <w:tab/>
      </w:r>
      <w:r>
        <w:rPr>
          <w:rStyle w:val="eop"/>
          <w:rFonts w:ascii="Times New Roman" w:hAnsi="Times New Roman"/>
        </w:rPr>
        <w:tab/>
        <w:t xml:space="preserve">“The KPIs are not aimed at providing a day-to-day management tool, but are the means by which the Provider may provide compensation to the </w:t>
      </w:r>
      <w:r w:rsidR="0063218E">
        <w:rPr>
          <w:rStyle w:val="eop"/>
          <w:rFonts w:ascii="Times New Roman" w:hAnsi="Times New Roman"/>
        </w:rPr>
        <w:t>Authority for losses which it suffers as a result of failures in service performance.”</w:t>
      </w:r>
      <w:r w:rsidR="00EE4222" w:rsidRPr="00877D48">
        <w:rPr>
          <w:rStyle w:val="eop"/>
          <w:rFonts w:ascii="Times New Roman" w:hAnsi="Times New Roman"/>
        </w:rPr>
        <w:t xml:space="preserve"> </w:t>
      </w:r>
    </w:p>
    <w:p w14:paraId="55BEC043" w14:textId="77777777" w:rsidR="00877D48" w:rsidRDefault="00877D48" w:rsidP="00877D48">
      <w:pPr>
        <w:pStyle w:val="ListParagraph"/>
        <w:widowControl w:val="0"/>
        <w:tabs>
          <w:tab w:val="left" w:pos="688"/>
        </w:tabs>
        <w:autoSpaceDE w:val="0"/>
        <w:autoSpaceDN w:val="0"/>
        <w:spacing w:before="11"/>
        <w:ind w:left="687"/>
        <w:contextualSpacing w:val="0"/>
        <w:jc w:val="both"/>
        <w:rPr>
          <w:rStyle w:val="eop"/>
          <w:rFonts w:ascii="Times New Roman" w:hAnsi="Times New Roman"/>
        </w:rPr>
      </w:pPr>
    </w:p>
    <w:p w14:paraId="62FD952F" w14:textId="1599CF2A" w:rsidR="002B5091" w:rsidRPr="00602F08" w:rsidRDefault="00EE4222" w:rsidP="00CB3A37">
      <w:pPr>
        <w:pStyle w:val="ListParagraph"/>
        <w:widowControl w:val="0"/>
        <w:numPr>
          <w:ilvl w:val="0"/>
          <w:numId w:val="10"/>
        </w:numPr>
        <w:tabs>
          <w:tab w:val="left" w:pos="688"/>
        </w:tabs>
        <w:autoSpaceDE w:val="0"/>
        <w:autoSpaceDN w:val="0"/>
        <w:spacing w:before="11"/>
        <w:contextualSpacing w:val="0"/>
        <w:jc w:val="both"/>
        <w:rPr>
          <w:rStyle w:val="eop"/>
          <w:rFonts w:ascii="Times New Roman" w:hAnsi="Times New Roman"/>
        </w:rPr>
      </w:pPr>
      <w:r w:rsidRPr="00602F08">
        <w:rPr>
          <w:rStyle w:val="eop"/>
          <w:rFonts w:ascii="Times New Roman" w:hAnsi="Times New Roman"/>
        </w:rPr>
        <w:t xml:space="preserve">Further, as will become clear below, the KPI </w:t>
      </w:r>
      <w:r w:rsidR="00874A9F" w:rsidRPr="00602F08">
        <w:rPr>
          <w:rStyle w:val="eop"/>
          <w:rFonts w:ascii="Times New Roman" w:hAnsi="Times New Roman"/>
        </w:rPr>
        <w:t xml:space="preserve">to which Mr Mill referred </w:t>
      </w:r>
      <w:r w:rsidRPr="00602F08">
        <w:rPr>
          <w:rStyle w:val="eop"/>
          <w:rFonts w:ascii="Times New Roman" w:hAnsi="Times New Roman"/>
        </w:rPr>
        <w:t xml:space="preserve">allows a </w:t>
      </w:r>
      <w:r w:rsidR="00626094">
        <w:rPr>
          <w:rStyle w:val="eop"/>
          <w:rFonts w:ascii="Times New Roman" w:hAnsi="Times New Roman"/>
        </w:rPr>
        <w:t>percentage</w:t>
      </w:r>
      <w:r w:rsidRPr="00602F08">
        <w:rPr>
          <w:rStyle w:val="eop"/>
          <w:rFonts w:ascii="Times New Roman" w:hAnsi="Times New Roman"/>
        </w:rPr>
        <w:t xml:space="preserve"> of non-performance</w:t>
      </w:r>
      <w:r w:rsidR="00874A9F" w:rsidRPr="00602F08">
        <w:rPr>
          <w:rStyle w:val="eop"/>
          <w:rFonts w:ascii="Times New Roman" w:hAnsi="Times New Roman"/>
        </w:rPr>
        <w:t xml:space="preserve">. </w:t>
      </w:r>
      <w:r w:rsidR="00B702F1" w:rsidRPr="00602F08">
        <w:rPr>
          <w:rStyle w:val="eop"/>
          <w:rFonts w:ascii="Times New Roman" w:hAnsi="Times New Roman"/>
        </w:rPr>
        <w:t>A</w:t>
      </w:r>
      <w:r w:rsidR="00D25E79" w:rsidRPr="00602F08">
        <w:rPr>
          <w:rStyle w:val="eop"/>
          <w:rFonts w:ascii="Times New Roman" w:hAnsi="Times New Roman"/>
        </w:rPr>
        <w:t xml:space="preserve"> KPI of 98%</w:t>
      </w:r>
      <w:r w:rsidR="00B702F1" w:rsidRPr="00602F08">
        <w:rPr>
          <w:rStyle w:val="eop"/>
          <w:rFonts w:ascii="Times New Roman" w:hAnsi="Times New Roman"/>
        </w:rPr>
        <w:t xml:space="preserve"> will of course be met</w:t>
      </w:r>
      <w:r w:rsidR="00D25E79" w:rsidRPr="00602F08">
        <w:rPr>
          <w:rStyle w:val="eop"/>
          <w:rFonts w:ascii="Times New Roman" w:hAnsi="Times New Roman"/>
        </w:rPr>
        <w:t xml:space="preserve"> if </w:t>
      </w:r>
      <w:r w:rsidR="00B702F1" w:rsidRPr="00602F08">
        <w:rPr>
          <w:rStyle w:val="eop"/>
          <w:rFonts w:ascii="Times New Roman" w:hAnsi="Times New Roman"/>
        </w:rPr>
        <w:t xml:space="preserve">in less than </w:t>
      </w:r>
      <w:r w:rsidR="00D25E79" w:rsidRPr="00602F08">
        <w:rPr>
          <w:rStyle w:val="eop"/>
          <w:rFonts w:ascii="Times New Roman" w:hAnsi="Times New Roman"/>
        </w:rPr>
        <w:t xml:space="preserve">2% of cases </w:t>
      </w:r>
      <w:r w:rsidR="000465A6" w:rsidRPr="00602F08">
        <w:rPr>
          <w:rStyle w:val="eop"/>
          <w:rFonts w:ascii="Times New Roman" w:hAnsi="Times New Roman"/>
        </w:rPr>
        <w:t xml:space="preserve">there is a failure to </w:t>
      </w:r>
      <w:r w:rsidR="008124CC" w:rsidRPr="00602F08">
        <w:rPr>
          <w:rStyle w:val="eop"/>
          <w:rFonts w:ascii="Times New Roman" w:hAnsi="Times New Roman"/>
        </w:rPr>
        <w:t xml:space="preserve">provide in time. It </w:t>
      </w:r>
      <w:r w:rsidR="002369C3" w:rsidRPr="00602F08">
        <w:rPr>
          <w:rStyle w:val="eop"/>
          <w:rFonts w:ascii="Times New Roman" w:hAnsi="Times New Roman"/>
        </w:rPr>
        <w:t xml:space="preserve">would not be difficult to </w:t>
      </w:r>
      <w:r w:rsidR="00C656BB" w:rsidRPr="00602F08">
        <w:rPr>
          <w:rStyle w:val="eop"/>
          <w:rFonts w:ascii="Times New Roman" w:hAnsi="Times New Roman"/>
        </w:rPr>
        <w:t xml:space="preserve">contemplate that the 2% may </w:t>
      </w:r>
      <w:r w:rsidR="00037BE7" w:rsidRPr="00602F08">
        <w:rPr>
          <w:rStyle w:val="eop"/>
          <w:rFonts w:ascii="Times New Roman" w:hAnsi="Times New Roman"/>
        </w:rPr>
        <w:t>be where, in practice</w:t>
      </w:r>
      <w:r w:rsidR="00B05054" w:rsidRPr="00602F08">
        <w:rPr>
          <w:rStyle w:val="eop"/>
          <w:rFonts w:ascii="Times New Roman" w:hAnsi="Times New Roman"/>
        </w:rPr>
        <w:t>,</w:t>
      </w:r>
      <w:r w:rsidR="008124CC" w:rsidRPr="00602F08">
        <w:rPr>
          <w:rStyle w:val="eop"/>
          <w:rFonts w:ascii="Times New Roman" w:hAnsi="Times New Roman"/>
        </w:rPr>
        <w:t xml:space="preserve"> </w:t>
      </w:r>
      <w:r w:rsidR="00037BE7" w:rsidRPr="00602F08">
        <w:rPr>
          <w:rStyle w:val="eop"/>
          <w:rFonts w:ascii="Times New Roman" w:hAnsi="Times New Roman"/>
        </w:rPr>
        <w:t xml:space="preserve">one found a concentration of cases </w:t>
      </w:r>
      <w:r w:rsidR="003549FD" w:rsidRPr="00602F08">
        <w:rPr>
          <w:rStyle w:val="eop"/>
          <w:rFonts w:ascii="Times New Roman" w:hAnsi="Times New Roman"/>
        </w:rPr>
        <w:t xml:space="preserve">where </w:t>
      </w:r>
      <w:r w:rsidR="00D25E79" w:rsidRPr="00602F08">
        <w:rPr>
          <w:rStyle w:val="eop"/>
          <w:rFonts w:ascii="Times New Roman" w:hAnsi="Times New Roman"/>
        </w:rPr>
        <w:t xml:space="preserve">the provision of accommodation that needs most resource (in terms of time and money) </w:t>
      </w:r>
      <w:r w:rsidR="003549FD" w:rsidRPr="00602F08">
        <w:rPr>
          <w:rStyle w:val="eop"/>
          <w:rFonts w:ascii="Times New Roman" w:hAnsi="Times New Roman"/>
        </w:rPr>
        <w:t xml:space="preserve">and is </w:t>
      </w:r>
      <w:r w:rsidR="00D25E79" w:rsidRPr="00602F08">
        <w:rPr>
          <w:rStyle w:val="eop"/>
          <w:rFonts w:ascii="Times New Roman" w:hAnsi="Times New Roman"/>
        </w:rPr>
        <w:t>least profitable (and potentially least sustainable) for the provider</w:t>
      </w:r>
      <w:r w:rsidR="00F619AE" w:rsidRPr="00602F08">
        <w:rPr>
          <w:rStyle w:val="eop"/>
          <w:rFonts w:ascii="Times New Roman" w:hAnsi="Times New Roman"/>
        </w:rPr>
        <w:t>.</w:t>
      </w:r>
      <w:r w:rsidR="00D25E79" w:rsidRPr="00602F08">
        <w:rPr>
          <w:rStyle w:val="eop"/>
          <w:rFonts w:ascii="Times New Roman" w:hAnsi="Times New Roman"/>
        </w:rPr>
        <w:t xml:space="preserve"> </w:t>
      </w:r>
      <w:r w:rsidR="00265FE2" w:rsidRPr="00602F08">
        <w:rPr>
          <w:rStyle w:val="eop"/>
          <w:rFonts w:ascii="Times New Roman" w:hAnsi="Times New Roman"/>
        </w:rPr>
        <w:t>Again</w:t>
      </w:r>
      <w:r w:rsidR="00CB3A37" w:rsidRPr="00602F08">
        <w:rPr>
          <w:rStyle w:val="eop"/>
          <w:rFonts w:ascii="Times New Roman" w:hAnsi="Times New Roman"/>
        </w:rPr>
        <w:t>,</w:t>
      </w:r>
      <w:r w:rsidR="00265FE2" w:rsidRPr="00602F08">
        <w:rPr>
          <w:rStyle w:val="eop"/>
          <w:rFonts w:ascii="Times New Roman" w:hAnsi="Times New Roman"/>
        </w:rPr>
        <w:t xml:space="preserve"> the implication </w:t>
      </w:r>
      <w:r w:rsidR="00CB3A37" w:rsidRPr="00602F08">
        <w:rPr>
          <w:rStyle w:val="eop"/>
          <w:rFonts w:ascii="Times New Roman" w:hAnsi="Times New Roman"/>
        </w:rPr>
        <w:t xml:space="preserve">for disability issues is particularly relevant because </w:t>
      </w:r>
      <w:r w:rsidR="00D25E79" w:rsidRPr="00602F08">
        <w:rPr>
          <w:rStyle w:val="eop"/>
          <w:rFonts w:ascii="Times New Roman" w:hAnsi="Times New Roman"/>
        </w:rPr>
        <w:t xml:space="preserve">accommodation that has to be provided with particular accessibility requirements or with particular priority may be among the accommodation that needs most resource. </w:t>
      </w:r>
    </w:p>
    <w:p w14:paraId="7B388A6E" w14:textId="688F58A6" w:rsidR="0025174C" w:rsidRPr="00602F08" w:rsidRDefault="0025174C" w:rsidP="00400D64">
      <w:pPr>
        <w:jc w:val="both"/>
        <w:rPr>
          <w:rStyle w:val="eop"/>
        </w:rPr>
      </w:pPr>
    </w:p>
    <w:p w14:paraId="5E48CB18" w14:textId="29A43C0D" w:rsidR="00061CB4" w:rsidRPr="00602F08" w:rsidRDefault="00061CB4" w:rsidP="00400D64">
      <w:pPr>
        <w:jc w:val="both"/>
        <w:rPr>
          <w:rStyle w:val="eop"/>
        </w:rPr>
      </w:pPr>
    </w:p>
    <w:p w14:paraId="1CA07A85" w14:textId="68C75EAA" w:rsidR="00061CB4" w:rsidRPr="00602F08" w:rsidRDefault="00061CB4" w:rsidP="00061CB4">
      <w:pPr>
        <w:ind w:left="687"/>
        <w:jc w:val="both"/>
        <w:rPr>
          <w:rStyle w:val="eop"/>
          <w:u w:val="single"/>
        </w:rPr>
      </w:pPr>
      <w:r w:rsidRPr="00602F08">
        <w:rPr>
          <w:rStyle w:val="eop"/>
          <w:u w:val="single"/>
        </w:rPr>
        <w:t>Volume cap</w:t>
      </w:r>
      <w:r w:rsidR="00F20F57" w:rsidRPr="00602F08">
        <w:rPr>
          <w:rStyle w:val="eop"/>
          <w:u w:val="single"/>
        </w:rPr>
        <w:t>s</w:t>
      </w:r>
    </w:p>
    <w:p w14:paraId="23C6AE72" w14:textId="77777777" w:rsidR="00061CB4" w:rsidRPr="00602F08" w:rsidRDefault="00061CB4" w:rsidP="00061CB4">
      <w:pPr>
        <w:ind w:left="687"/>
        <w:jc w:val="both"/>
        <w:rPr>
          <w:rStyle w:val="eop"/>
        </w:rPr>
      </w:pPr>
    </w:p>
    <w:p w14:paraId="2F30456C" w14:textId="63CDB98F" w:rsidR="009C7AA5" w:rsidRPr="00602F08" w:rsidRDefault="005917B5" w:rsidP="00B6212D">
      <w:pPr>
        <w:pStyle w:val="ListParagraph"/>
        <w:widowControl w:val="0"/>
        <w:numPr>
          <w:ilvl w:val="0"/>
          <w:numId w:val="10"/>
        </w:numPr>
        <w:tabs>
          <w:tab w:val="left" w:pos="688"/>
        </w:tabs>
        <w:autoSpaceDE w:val="0"/>
        <w:autoSpaceDN w:val="0"/>
        <w:spacing w:before="11"/>
        <w:contextualSpacing w:val="0"/>
        <w:jc w:val="both"/>
        <w:rPr>
          <w:rStyle w:val="eop"/>
          <w:rFonts w:ascii="Times New Roman" w:hAnsi="Times New Roman"/>
        </w:rPr>
      </w:pPr>
      <w:r w:rsidRPr="00602F08">
        <w:rPr>
          <w:rStyle w:val="eop"/>
          <w:rFonts w:ascii="Times New Roman" w:hAnsi="Times New Roman"/>
        </w:rPr>
        <w:t>In a witness statement dated 21 October 2019 at paragraph 85 Ms Polly Glynn of the claimants’ solicitors describe</w:t>
      </w:r>
      <w:r w:rsidR="00947B81" w:rsidRPr="00602F08">
        <w:rPr>
          <w:rStyle w:val="eop"/>
          <w:rFonts w:ascii="Times New Roman" w:hAnsi="Times New Roman"/>
        </w:rPr>
        <w:t>d what she suggested was</w:t>
      </w:r>
      <w:r w:rsidRPr="00602F08">
        <w:rPr>
          <w:rStyle w:val="eop"/>
          <w:rFonts w:ascii="Times New Roman" w:hAnsi="Times New Roman"/>
        </w:rPr>
        <w:t xml:space="preserve"> the most important difference </w:t>
      </w:r>
      <w:r w:rsidR="00947B81" w:rsidRPr="00602F08">
        <w:rPr>
          <w:rStyle w:val="eop"/>
          <w:rFonts w:ascii="Times New Roman" w:hAnsi="Times New Roman"/>
        </w:rPr>
        <w:t xml:space="preserve">with the AASC </w:t>
      </w:r>
      <w:r w:rsidR="009C3125" w:rsidRPr="00602F08">
        <w:rPr>
          <w:rStyle w:val="eop"/>
          <w:rFonts w:ascii="Times New Roman" w:hAnsi="Times New Roman"/>
        </w:rPr>
        <w:t xml:space="preserve">as being </w:t>
      </w:r>
      <w:r w:rsidRPr="00602F08">
        <w:rPr>
          <w:rStyle w:val="eop"/>
          <w:rFonts w:ascii="Times New Roman" w:hAnsi="Times New Roman"/>
        </w:rPr>
        <w:t xml:space="preserve">the introduction of a limit “up to the agreed Volume Cap” for accommodation “suitable for Service Users with specific needs … and in compliance with the Disability Discrimination Legislation”. There is evidence from Mr Mill on behalf of the Secretary of State that in the operation of the AASC contracts, “to date no volume cap has actually been reached to any of the contracts”. In that circumstance I do not address this feature further in the present proceedings. </w:t>
      </w:r>
    </w:p>
    <w:p w14:paraId="69E3FC2D" w14:textId="77777777" w:rsidR="009C7AA5" w:rsidRPr="00602F08" w:rsidRDefault="009C7AA5" w:rsidP="00B6212D">
      <w:pPr>
        <w:pStyle w:val="ListParagraph"/>
        <w:rPr>
          <w:rStyle w:val="eop"/>
          <w:rFonts w:ascii="Times New Roman" w:hAnsi="Times New Roman"/>
        </w:rPr>
      </w:pPr>
    </w:p>
    <w:p w14:paraId="3CA936CD" w14:textId="27E79311" w:rsidR="006D4BFC" w:rsidRPr="00602F08" w:rsidRDefault="005917B5" w:rsidP="00B6212D">
      <w:pPr>
        <w:pStyle w:val="ListParagraph"/>
        <w:widowControl w:val="0"/>
        <w:numPr>
          <w:ilvl w:val="0"/>
          <w:numId w:val="10"/>
        </w:numPr>
        <w:tabs>
          <w:tab w:val="left" w:pos="688"/>
        </w:tabs>
        <w:autoSpaceDE w:val="0"/>
        <w:autoSpaceDN w:val="0"/>
        <w:spacing w:before="11"/>
        <w:contextualSpacing w:val="0"/>
        <w:jc w:val="both"/>
        <w:rPr>
          <w:rFonts w:ascii="Times New Roman" w:hAnsi="Times New Roman"/>
        </w:rPr>
      </w:pPr>
      <w:r w:rsidRPr="00602F08">
        <w:rPr>
          <w:rStyle w:val="eop"/>
          <w:rFonts w:ascii="Times New Roman" w:hAnsi="Times New Roman"/>
        </w:rPr>
        <w:t xml:space="preserve">That is not an indication that </w:t>
      </w:r>
      <w:r w:rsidR="00AA705C" w:rsidRPr="00602F08">
        <w:rPr>
          <w:rStyle w:val="eop"/>
          <w:rFonts w:ascii="Times New Roman" w:hAnsi="Times New Roman"/>
        </w:rPr>
        <w:t>the subject</w:t>
      </w:r>
      <w:r w:rsidRPr="00602F08">
        <w:rPr>
          <w:rStyle w:val="eop"/>
          <w:rFonts w:ascii="Times New Roman" w:hAnsi="Times New Roman"/>
        </w:rPr>
        <w:t xml:space="preserve"> is not</w:t>
      </w:r>
      <w:r w:rsidR="00AA705C" w:rsidRPr="00602F08">
        <w:rPr>
          <w:rStyle w:val="eop"/>
          <w:rFonts w:ascii="Times New Roman" w:hAnsi="Times New Roman"/>
        </w:rPr>
        <w:t xml:space="preserve"> an important one</w:t>
      </w:r>
      <w:r w:rsidR="00B1597A" w:rsidRPr="00602F08">
        <w:rPr>
          <w:rStyle w:val="eop"/>
          <w:rFonts w:ascii="Times New Roman" w:hAnsi="Times New Roman"/>
        </w:rPr>
        <w:t xml:space="preserve">. </w:t>
      </w:r>
      <w:r w:rsidRPr="00602F08">
        <w:rPr>
          <w:rStyle w:val="eop"/>
          <w:rFonts w:ascii="Times New Roman" w:hAnsi="Times New Roman"/>
        </w:rPr>
        <w:t>Mr Mill state</w:t>
      </w:r>
      <w:r w:rsidR="009C3125" w:rsidRPr="00602F08">
        <w:rPr>
          <w:rStyle w:val="eop"/>
          <w:rFonts w:ascii="Times New Roman" w:hAnsi="Times New Roman"/>
        </w:rPr>
        <w:t>d</w:t>
      </w:r>
      <w:r w:rsidRPr="00602F08">
        <w:rPr>
          <w:rStyle w:val="eop"/>
          <w:rFonts w:ascii="Times New Roman" w:hAnsi="Times New Roman"/>
        </w:rPr>
        <w:t xml:space="preserve"> “[t]here is … no ceiling on the amount of accommodation that the provider is required to provide for disabled individuals compared to those who are not disabled; either the volume cap is reached overall or it is not.”</w:t>
      </w:r>
      <w:r w:rsidR="00B1597A" w:rsidRPr="00602F08">
        <w:rPr>
          <w:rStyle w:val="eop"/>
          <w:rFonts w:ascii="Times New Roman" w:hAnsi="Times New Roman"/>
        </w:rPr>
        <w:t xml:space="preserve">. </w:t>
      </w:r>
      <w:r w:rsidR="00783AEE" w:rsidRPr="00602F08">
        <w:rPr>
          <w:rStyle w:val="eop"/>
          <w:rFonts w:ascii="Times New Roman" w:hAnsi="Times New Roman"/>
        </w:rPr>
        <w:t>That point does not allay concern</w:t>
      </w:r>
      <w:r w:rsidRPr="00602F08">
        <w:rPr>
          <w:rStyle w:val="eop"/>
          <w:rFonts w:ascii="Times New Roman" w:hAnsi="Times New Roman"/>
        </w:rPr>
        <w:t xml:space="preserve"> if</w:t>
      </w:r>
      <w:r w:rsidR="00946FE9" w:rsidRPr="00602F08">
        <w:rPr>
          <w:rStyle w:val="eop"/>
          <w:rFonts w:ascii="Times New Roman" w:hAnsi="Times New Roman"/>
        </w:rPr>
        <w:t>, for example,</w:t>
      </w:r>
      <w:r w:rsidRPr="00602F08">
        <w:rPr>
          <w:rStyle w:val="eop"/>
          <w:rFonts w:ascii="Times New Roman" w:hAnsi="Times New Roman"/>
        </w:rPr>
        <w:t xml:space="preserve"> those who are not disabled </w:t>
      </w:r>
      <w:r w:rsidR="00946FE9" w:rsidRPr="00602F08">
        <w:rPr>
          <w:rStyle w:val="eop"/>
          <w:rFonts w:ascii="Times New Roman" w:hAnsi="Times New Roman"/>
        </w:rPr>
        <w:t>are</w:t>
      </w:r>
      <w:r w:rsidRPr="00602F08">
        <w:rPr>
          <w:rStyle w:val="eop"/>
          <w:rFonts w:ascii="Times New Roman" w:hAnsi="Times New Roman"/>
        </w:rPr>
        <w:t xml:space="preserve"> more likely to get accommodation before the cap</w:t>
      </w:r>
      <w:r w:rsidR="00946FE9" w:rsidRPr="00602F08">
        <w:rPr>
          <w:rStyle w:val="eop"/>
          <w:rFonts w:ascii="Times New Roman" w:hAnsi="Times New Roman"/>
        </w:rPr>
        <w:t xml:space="preserve"> i</w:t>
      </w:r>
      <w:r w:rsidRPr="00602F08">
        <w:rPr>
          <w:rStyle w:val="eop"/>
          <w:rFonts w:ascii="Times New Roman" w:hAnsi="Times New Roman"/>
        </w:rPr>
        <w:t>s reached.</w:t>
      </w:r>
    </w:p>
    <w:p w14:paraId="4C4E4466" w14:textId="424C1C85" w:rsidR="00180935" w:rsidRPr="00602F08" w:rsidRDefault="00180935" w:rsidP="00B6212D">
      <w:pPr>
        <w:pStyle w:val="BodyText"/>
        <w:jc w:val="both"/>
      </w:pPr>
    </w:p>
    <w:p w14:paraId="7CEEF5F3" w14:textId="765E7119" w:rsidR="004315BF" w:rsidRPr="00602F08" w:rsidRDefault="004315BF" w:rsidP="00B6212D">
      <w:pPr>
        <w:pStyle w:val="BodyText"/>
        <w:jc w:val="both"/>
      </w:pPr>
    </w:p>
    <w:p w14:paraId="7885015C" w14:textId="77777777" w:rsidR="00C1685E" w:rsidRPr="00602F08" w:rsidRDefault="00C1685E" w:rsidP="00B6212D">
      <w:pPr>
        <w:pStyle w:val="BodyText"/>
        <w:jc w:val="both"/>
        <w:rPr>
          <w:b/>
          <w:bCs/>
          <w:u w:val="single"/>
        </w:rPr>
      </w:pPr>
    </w:p>
    <w:p w14:paraId="2025B5CF" w14:textId="55DFC686" w:rsidR="004315BF" w:rsidRPr="00602F08" w:rsidRDefault="004315BF" w:rsidP="00B6212D">
      <w:pPr>
        <w:pStyle w:val="BodyText"/>
        <w:jc w:val="both"/>
      </w:pPr>
      <w:r w:rsidRPr="00602F08">
        <w:rPr>
          <w:b/>
          <w:bCs/>
          <w:u w:val="single"/>
        </w:rPr>
        <w:t>Monitoring</w:t>
      </w:r>
    </w:p>
    <w:p w14:paraId="53784FBF" w14:textId="2628ECC0" w:rsidR="00672BBB" w:rsidRPr="00602F08" w:rsidRDefault="00672BBB" w:rsidP="00B6212D">
      <w:pPr>
        <w:jc w:val="both"/>
        <w:rPr>
          <w:rStyle w:val="normaltextrun"/>
          <w:u w:val="single"/>
          <w:lang w:val="en-US"/>
        </w:rPr>
      </w:pPr>
    </w:p>
    <w:p w14:paraId="0B0F5081" w14:textId="7B592549" w:rsidR="00672BBB" w:rsidRPr="00602F08" w:rsidRDefault="00672BBB" w:rsidP="00B6212D">
      <w:pPr>
        <w:ind w:firstLine="687"/>
        <w:jc w:val="both"/>
        <w:rPr>
          <w:rStyle w:val="normaltextrun"/>
          <w:u w:val="single"/>
          <w:lang w:val="en-US"/>
        </w:rPr>
      </w:pPr>
      <w:r w:rsidRPr="00602F08">
        <w:rPr>
          <w:rStyle w:val="normaltextrun"/>
          <w:u w:val="single"/>
          <w:lang w:val="en-US"/>
        </w:rPr>
        <w:t>Performance management</w:t>
      </w:r>
    </w:p>
    <w:p w14:paraId="25F86CF7" w14:textId="77777777" w:rsidR="00672BBB" w:rsidRPr="00602F08" w:rsidRDefault="00672BBB" w:rsidP="00B6212D">
      <w:pPr>
        <w:ind w:firstLine="119"/>
        <w:jc w:val="both"/>
        <w:rPr>
          <w:rStyle w:val="normaltextrun"/>
          <w:u w:val="single"/>
          <w:lang w:val="en-US"/>
        </w:rPr>
      </w:pPr>
    </w:p>
    <w:p w14:paraId="43A387C9" w14:textId="6B365F54" w:rsidR="008478FD" w:rsidRPr="00602F08" w:rsidRDefault="008478FD" w:rsidP="00B6212D">
      <w:pPr>
        <w:pStyle w:val="ListParagraph"/>
        <w:numPr>
          <w:ilvl w:val="0"/>
          <w:numId w:val="10"/>
        </w:numPr>
        <w:jc w:val="both"/>
        <w:rPr>
          <w:rStyle w:val="normaltextrun"/>
          <w:rFonts w:ascii="Times New Roman" w:hAnsi="Times New Roman"/>
          <w:u w:val="single"/>
          <w:lang w:val="en-US"/>
        </w:rPr>
      </w:pPr>
      <w:r w:rsidRPr="00602F08">
        <w:rPr>
          <w:rStyle w:val="normaltextrun"/>
          <w:rFonts w:ascii="Times New Roman" w:hAnsi="Times New Roman"/>
          <w:lang w:val="en-US"/>
        </w:rPr>
        <w:t xml:space="preserve">In </w:t>
      </w:r>
      <w:r w:rsidR="00946FE9" w:rsidRPr="00602F08">
        <w:rPr>
          <w:rStyle w:val="normaltextrun"/>
          <w:rFonts w:ascii="Times New Roman" w:hAnsi="Times New Roman"/>
          <w:lang w:val="en-US"/>
        </w:rPr>
        <w:t xml:space="preserve">his </w:t>
      </w:r>
      <w:r w:rsidRPr="00602F08">
        <w:rPr>
          <w:rStyle w:val="normaltextrun"/>
          <w:rFonts w:ascii="Times New Roman" w:hAnsi="Times New Roman"/>
          <w:lang w:val="en-US"/>
        </w:rPr>
        <w:t xml:space="preserve">evidence provided following the </w:t>
      </w:r>
      <w:r w:rsidR="001F5980" w:rsidRPr="00602F08">
        <w:rPr>
          <w:rStyle w:val="normaltextrun"/>
          <w:rFonts w:ascii="Times New Roman" w:hAnsi="Times New Roman"/>
          <w:lang w:val="en-US"/>
        </w:rPr>
        <w:t xml:space="preserve">oral </w:t>
      </w:r>
      <w:r w:rsidRPr="00602F08">
        <w:rPr>
          <w:rStyle w:val="normaltextrun"/>
          <w:rFonts w:ascii="Times New Roman" w:hAnsi="Times New Roman"/>
          <w:lang w:val="en-US"/>
        </w:rPr>
        <w:t>hearing, Mr Bilbao confirmed that the Home Office has a performance management system. This, said Mr Bilbao, “relies on data from multiple overlapping sources”; with “the nature of the data available to the Home Office and its assurance work var[ying] between different elements of the [accommodation, transportation and other support] services”.</w:t>
      </w:r>
    </w:p>
    <w:p w14:paraId="2D91CCF4" w14:textId="77777777" w:rsidR="008478FD" w:rsidRPr="00602F08" w:rsidRDefault="008478FD" w:rsidP="00B6212D">
      <w:pPr>
        <w:pStyle w:val="ListParagraph"/>
        <w:ind w:left="687"/>
        <w:jc w:val="both"/>
        <w:rPr>
          <w:rStyle w:val="normaltextrun"/>
          <w:rFonts w:ascii="Times New Roman" w:hAnsi="Times New Roman"/>
          <w:u w:val="single"/>
          <w:lang w:val="en-US"/>
        </w:rPr>
      </w:pPr>
    </w:p>
    <w:p w14:paraId="4CC3FE59" w14:textId="5BF0D38A" w:rsidR="0051471F" w:rsidRPr="00602F08" w:rsidRDefault="009C0235" w:rsidP="00B6212D">
      <w:pPr>
        <w:pStyle w:val="ListParagraph"/>
        <w:numPr>
          <w:ilvl w:val="0"/>
          <w:numId w:val="10"/>
        </w:numPr>
        <w:jc w:val="both"/>
        <w:rPr>
          <w:rStyle w:val="normaltextrun"/>
          <w:rFonts w:ascii="Times New Roman" w:hAnsi="Times New Roman"/>
          <w:u w:val="single"/>
          <w:lang w:val="en-US"/>
        </w:rPr>
      </w:pPr>
      <w:r w:rsidRPr="00602F08">
        <w:rPr>
          <w:rStyle w:val="normaltextrun"/>
          <w:rFonts w:ascii="Times New Roman" w:hAnsi="Times New Roman"/>
          <w:lang w:val="en-US"/>
        </w:rPr>
        <w:t xml:space="preserve">On 6 March 2020 the Home Office </w:t>
      </w:r>
      <w:r w:rsidR="001F5980" w:rsidRPr="00602F08">
        <w:rPr>
          <w:rStyle w:val="normaltextrun"/>
          <w:rFonts w:ascii="Times New Roman" w:hAnsi="Times New Roman"/>
          <w:lang w:val="en-US"/>
        </w:rPr>
        <w:t xml:space="preserve">had written </w:t>
      </w:r>
      <w:r w:rsidRPr="00602F08">
        <w:rPr>
          <w:rStyle w:val="normaltextrun"/>
          <w:rFonts w:ascii="Times New Roman" w:hAnsi="Times New Roman"/>
          <w:lang w:val="en-US"/>
        </w:rPr>
        <w:t xml:space="preserve">to </w:t>
      </w:r>
      <w:r w:rsidR="00356F4D" w:rsidRPr="00602F08">
        <w:rPr>
          <w:rStyle w:val="normaltextrun"/>
          <w:rFonts w:ascii="Times New Roman" w:hAnsi="Times New Roman"/>
          <w:lang w:val="en-US"/>
        </w:rPr>
        <w:t xml:space="preserve">Deighton Pierce Glynn </w:t>
      </w:r>
      <w:r w:rsidR="008E7381" w:rsidRPr="00602F08">
        <w:rPr>
          <w:rStyle w:val="normaltextrun"/>
          <w:rFonts w:ascii="Times New Roman" w:hAnsi="Times New Roman"/>
          <w:lang w:val="en-US"/>
        </w:rPr>
        <w:t>Solicitors</w:t>
      </w:r>
      <w:r w:rsidR="00356F4D" w:rsidRPr="00602F08">
        <w:rPr>
          <w:rStyle w:val="normaltextrun"/>
          <w:rFonts w:ascii="Times New Roman" w:hAnsi="Times New Roman"/>
          <w:lang w:val="en-US"/>
        </w:rPr>
        <w:t xml:space="preserve"> </w:t>
      </w:r>
      <w:r w:rsidR="006C411E" w:rsidRPr="00602F08">
        <w:rPr>
          <w:rStyle w:val="normaltextrun"/>
          <w:rFonts w:ascii="Times New Roman" w:hAnsi="Times New Roman"/>
          <w:lang w:val="en-US"/>
        </w:rPr>
        <w:t>(</w:t>
      </w:r>
      <w:r w:rsidR="001662BE" w:rsidRPr="00602F08">
        <w:rPr>
          <w:rStyle w:val="normaltextrun"/>
          <w:rFonts w:ascii="Times New Roman" w:hAnsi="Times New Roman"/>
          <w:lang w:val="en-US"/>
        </w:rPr>
        <w:t>the firm</w:t>
      </w:r>
      <w:r w:rsidR="006C411E" w:rsidRPr="00602F08">
        <w:rPr>
          <w:rStyle w:val="normaltextrun"/>
          <w:rFonts w:ascii="Times New Roman" w:hAnsi="Times New Roman"/>
          <w:lang w:val="en-US"/>
        </w:rPr>
        <w:t xml:space="preserve"> rep</w:t>
      </w:r>
      <w:r w:rsidR="001662BE" w:rsidRPr="00602F08">
        <w:rPr>
          <w:rStyle w:val="normaltextrun"/>
          <w:rFonts w:ascii="Times New Roman" w:hAnsi="Times New Roman"/>
          <w:lang w:val="en-US"/>
        </w:rPr>
        <w:t xml:space="preserve">resenting all the claimants in these proceedings) </w:t>
      </w:r>
      <w:r w:rsidR="00356F4D" w:rsidRPr="00602F08">
        <w:rPr>
          <w:rStyle w:val="normaltextrun"/>
          <w:rFonts w:ascii="Times New Roman" w:hAnsi="Times New Roman"/>
          <w:lang w:val="en-US"/>
        </w:rPr>
        <w:t>in these terms:</w:t>
      </w:r>
    </w:p>
    <w:p w14:paraId="2E478777" w14:textId="0924A34C" w:rsidR="00356F4D" w:rsidRPr="00602F08" w:rsidRDefault="00356F4D" w:rsidP="00B6212D">
      <w:pPr>
        <w:pStyle w:val="ListParagraph"/>
        <w:ind w:left="687"/>
        <w:jc w:val="both"/>
        <w:rPr>
          <w:rStyle w:val="normaltextrun"/>
          <w:rFonts w:ascii="Times New Roman" w:hAnsi="Times New Roman"/>
          <w:lang w:val="en-US"/>
        </w:rPr>
      </w:pPr>
    </w:p>
    <w:p w14:paraId="5D993D86" w14:textId="64BF7B47" w:rsidR="00356F4D" w:rsidRPr="00602F08" w:rsidRDefault="00356F4D" w:rsidP="00B6212D">
      <w:pPr>
        <w:ind w:left="1440"/>
        <w:jc w:val="both"/>
        <w:rPr>
          <w:rStyle w:val="normaltextrun"/>
          <w:lang w:val="en-US"/>
        </w:rPr>
      </w:pPr>
      <w:r w:rsidRPr="00602F08">
        <w:rPr>
          <w:rStyle w:val="normaltextrun"/>
          <w:lang w:val="en-US"/>
        </w:rPr>
        <w:t>“Thank you for your letter of 14.05.</w:t>
      </w:r>
      <w:r w:rsidR="008E7381" w:rsidRPr="00602F08">
        <w:rPr>
          <w:rStyle w:val="normaltextrun"/>
          <w:lang w:val="en-US"/>
        </w:rPr>
        <w:t>19</w:t>
      </w:r>
      <w:r w:rsidRPr="00602F08">
        <w:rPr>
          <w:rStyle w:val="normaltextrun"/>
          <w:lang w:val="en-US"/>
        </w:rPr>
        <w:t xml:space="preserve"> to the Government Legal Department (GLD</w:t>
      </w:r>
      <w:r w:rsidR="00CC0073" w:rsidRPr="00602F08">
        <w:rPr>
          <w:rStyle w:val="normaltextrun"/>
          <w:lang w:val="en-US"/>
        </w:rPr>
        <w:t>). As there are on-going litigation proceedings in respect of the matters you raise the matter has been passed to me for a response.</w:t>
      </w:r>
    </w:p>
    <w:p w14:paraId="6ED487AB" w14:textId="6A658FBF" w:rsidR="00CC0073" w:rsidRPr="00602F08" w:rsidRDefault="00CC0073" w:rsidP="00B6212D">
      <w:pPr>
        <w:ind w:left="1440"/>
        <w:jc w:val="both"/>
        <w:rPr>
          <w:rStyle w:val="normaltextrun"/>
          <w:lang w:val="en-US"/>
        </w:rPr>
      </w:pPr>
    </w:p>
    <w:p w14:paraId="4CE1E62B" w14:textId="77777777" w:rsidR="007E2E94" w:rsidRPr="00602F08" w:rsidRDefault="0032436D" w:rsidP="00B6212D">
      <w:pPr>
        <w:ind w:left="1440"/>
        <w:jc w:val="both"/>
        <w:rPr>
          <w:rStyle w:val="normaltextrun"/>
          <w:lang w:val="en-US"/>
        </w:rPr>
      </w:pPr>
      <w:r w:rsidRPr="00602F08">
        <w:rPr>
          <w:rStyle w:val="normaltextrun"/>
          <w:lang w:val="en-US"/>
        </w:rPr>
        <w:t xml:space="preserve">The monitoring of Section 4 (and Section 95) accommodation bookings are an integral part of our contractual arrangements with accommodation </w:t>
      </w:r>
      <w:r w:rsidR="0017459D" w:rsidRPr="00602F08">
        <w:rPr>
          <w:rStyle w:val="normaltextrun"/>
          <w:lang w:val="en-US"/>
        </w:rPr>
        <w:t xml:space="preserve">providers and I can confirm that their performance has been monitored on a regular basis since our commitment to do so </w:t>
      </w:r>
      <w:r w:rsidR="007E2E94" w:rsidRPr="00602F08">
        <w:rPr>
          <w:rStyle w:val="normaltextrun"/>
          <w:lang w:val="en-US"/>
        </w:rPr>
        <w:t>in May 2017.</w:t>
      </w:r>
    </w:p>
    <w:p w14:paraId="0F5C9F41" w14:textId="77777777" w:rsidR="007E2E94" w:rsidRPr="00602F08" w:rsidRDefault="007E2E94" w:rsidP="00B6212D">
      <w:pPr>
        <w:ind w:left="1440"/>
        <w:jc w:val="both"/>
        <w:rPr>
          <w:rStyle w:val="normaltextrun"/>
          <w:lang w:val="en-US"/>
        </w:rPr>
      </w:pPr>
    </w:p>
    <w:p w14:paraId="2F8D9F31" w14:textId="77777777" w:rsidR="0012505F" w:rsidRPr="00602F08" w:rsidRDefault="007E2E94" w:rsidP="00B6212D">
      <w:pPr>
        <w:ind w:left="1440"/>
        <w:jc w:val="both"/>
        <w:rPr>
          <w:rStyle w:val="normaltextrun"/>
          <w:lang w:val="en-US"/>
        </w:rPr>
      </w:pPr>
      <w:r w:rsidRPr="00602F08">
        <w:rPr>
          <w:rStyle w:val="normaltextrun"/>
          <w:lang w:val="en-US"/>
        </w:rPr>
        <w:t>It is, however, important to note that, since our commitment</w:t>
      </w:r>
      <w:r w:rsidR="00BA2D82" w:rsidRPr="00602F08">
        <w:rPr>
          <w:rStyle w:val="normaltextrun"/>
          <w:lang w:val="en-US"/>
        </w:rPr>
        <w:t>, there have been a number of significant changes to our procedures, not</w:t>
      </w:r>
      <w:r w:rsidR="0012505F" w:rsidRPr="00602F08">
        <w:rPr>
          <w:rStyle w:val="normaltextrun"/>
          <w:lang w:val="en-US"/>
        </w:rPr>
        <w:t xml:space="preserve"> least the adoption of new contractual arrangements as well as changes to the UK VI teams who manage and assure these contracts.</w:t>
      </w:r>
    </w:p>
    <w:p w14:paraId="71DDFCB8" w14:textId="77777777" w:rsidR="0012505F" w:rsidRPr="00602F08" w:rsidRDefault="0012505F" w:rsidP="00B6212D">
      <w:pPr>
        <w:ind w:left="1440"/>
        <w:jc w:val="both"/>
        <w:rPr>
          <w:rStyle w:val="normaltextrun"/>
          <w:lang w:val="en-US"/>
        </w:rPr>
      </w:pPr>
    </w:p>
    <w:p w14:paraId="40C9989F" w14:textId="77777777" w:rsidR="00F3476D" w:rsidRPr="00602F08" w:rsidRDefault="00CD4959" w:rsidP="00B6212D">
      <w:pPr>
        <w:ind w:left="1440"/>
        <w:jc w:val="both"/>
        <w:rPr>
          <w:rStyle w:val="normaltextrun"/>
          <w:lang w:val="en-US"/>
        </w:rPr>
      </w:pPr>
      <w:r w:rsidRPr="00602F08">
        <w:rPr>
          <w:rStyle w:val="normaltextrun"/>
          <w:lang w:val="en-US"/>
        </w:rPr>
        <w:t xml:space="preserve">I thought it would be therefore be useful to set out the current arrangements we have in place for managing provider performance given these changes. </w:t>
      </w:r>
      <w:r w:rsidR="008E57DA" w:rsidRPr="00602F08">
        <w:rPr>
          <w:rStyle w:val="normaltextrun"/>
          <w:lang w:val="en-US"/>
        </w:rPr>
        <w:t>In particular and as I have said above, new accommodation contractual arrangements commenced in September 2019 and performance in relation to</w:t>
      </w:r>
      <w:r w:rsidR="00F3476D" w:rsidRPr="00602F08">
        <w:rPr>
          <w:rStyle w:val="normaltextrun"/>
          <w:lang w:val="en-US"/>
        </w:rPr>
        <w:t xml:space="preserve"> the services required to be delivered under the new contracts are measured against a number of formal Key Performance Indicators (KPIs).</w:t>
      </w:r>
    </w:p>
    <w:p w14:paraId="055D0E58" w14:textId="77777777" w:rsidR="00F3476D" w:rsidRPr="00602F08" w:rsidRDefault="00F3476D" w:rsidP="00B6212D">
      <w:pPr>
        <w:ind w:left="1440"/>
        <w:jc w:val="both"/>
        <w:rPr>
          <w:rStyle w:val="normaltextrun"/>
          <w:lang w:val="en-US"/>
        </w:rPr>
      </w:pPr>
    </w:p>
    <w:p w14:paraId="5C619C20" w14:textId="18AEF75D" w:rsidR="00F26F2D" w:rsidRPr="00602F08" w:rsidRDefault="00F3476D" w:rsidP="00B6212D">
      <w:pPr>
        <w:ind w:left="1440"/>
        <w:jc w:val="both"/>
        <w:rPr>
          <w:rStyle w:val="normaltextrun"/>
          <w:lang w:val="en-US"/>
        </w:rPr>
      </w:pPr>
      <w:r w:rsidRPr="00602F08">
        <w:rPr>
          <w:rStyle w:val="normaltextrun"/>
          <w:lang w:val="en-US"/>
        </w:rPr>
        <w:t>Specifically and in relation to requests for accommodation (both Section 95 &amp; S</w:t>
      </w:r>
      <w:r w:rsidR="004B38C3" w:rsidRPr="00602F08">
        <w:rPr>
          <w:rStyle w:val="normaltextrun"/>
          <w:lang w:val="en-US"/>
        </w:rPr>
        <w:t>4), there are two formal KPIs enshrin</w:t>
      </w:r>
      <w:r w:rsidR="00417706" w:rsidRPr="00602F08">
        <w:rPr>
          <w:rStyle w:val="normaltextrun"/>
          <w:lang w:val="en-US"/>
        </w:rPr>
        <w:t>ed</w:t>
      </w:r>
      <w:r w:rsidR="004B38C3" w:rsidRPr="00602F08">
        <w:rPr>
          <w:rStyle w:val="normaltextrun"/>
          <w:lang w:val="en-US"/>
        </w:rPr>
        <w:t xml:space="preserve"> within the contract that set out that a </w:t>
      </w:r>
      <w:r w:rsidR="00135F0E" w:rsidRPr="00602F08">
        <w:rPr>
          <w:rStyle w:val="normaltextrun"/>
          <w:lang w:val="en-US"/>
        </w:rPr>
        <w:t xml:space="preserve">Provider must issue an appropriate proposal for </w:t>
      </w:r>
      <w:r w:rsidR="00423779" w:rsidRPr="00602F08">
        <w:rPr>
          <w:rStyle w:val="normaltextrun"/>
          <w:lang w:val="en-US"/>
        </w:rPr>
        <w:t>an accommodation address (“dispersal accommodation”) within the timescales set by the Authority</w:t>
      </w:r>
      <w:r w:rsidR="00CF3DBB" w:rsidRPr="00602F08">
        <w:rPr>
          <w:rStyle w:val="normaltextrun"/>
          <w:lang w:val="en-US"/>
        </w:rPr>
        <w:t xml:space="preserve"> and where that proposal is agreed make arrangements to move the person to the address within </w:t>
      </w:r>
      <w:r w:rsidR="00F26F2D" w:rsidRPr="00602F08">
        <w:rPr>
          <w:rStyle w:val="normaltextrun"/>
          <w:lang w:val="en-US"/>
        </w:rPr>
        <w:t>timescales set by the Authority. …</w:t>
      </w:r>
    </w:p>
    <w:p w14:paraId="0E13FA0A" w14:textId="77777777" w:rsidR="00F26F2D" w:rsidRPr="00602F08" w:rsidRDefault="00F26F2D" w:rsidP="00B6212D">
      <w:pPr>
        <w:ind w:left="1440"/>
        <w:jc w:val="both"/>
        <w:rPr>
          <w:rStyle w:val="normaltextrun"/>
          <w:lang w:val="en-US"/>
        </w:rPr>
      </w:pPr>
    </w:p>
    <w:p w14:paraId="56941B35" w14:textId="46508F86" w:rsidR="00332297" w:rsidRPr="00602F08" w:rsidRDefault="00F26F2D" w:rsidP="00B6212D">
      <w:pPr>
        <w:ind w:left="1440"/>
        <w:jc w:val="both"/>
        <w:rPr>
          <w:rStyle w:val="normaltextrun"/>
          <w:lang w:val="en-US"/>
        </w:rPr>
      </w:pPr>
      <w:r w:rsidRPr="00602F08">
        <w:rPr>
          <w:rStyle w:val="normaltextrun"/>
          <w:lang w:val="en-US"/>
        </w:rPr>
        <w:t>Performance against these requirements is monitored on a monthly basis</w:t>
      </w:r>
      <w:r w:rsidR="00D04FA9" w:rsidRPr="00602F08">
        <w:rPr>
          <w:rStyle w:val="normaltextrun"/>
          <w:lang w:val="en-US"/>
        </w:rPr>
        <w:t>, via the new Asylum Support Contracts Assurance Team who take the data report by our accommodation providers and compare that with data from UKVI casework teams. Any failures are then recorded form</w:t>
      </w:r>
      <w:r w:rsidR="00930EDC" w:rsidRPr="00602F08">
        <w:rPr>
          <w:rStyle w:val="normaltextrun"/>
          <w:lang w:val="en-US"/>
        </w:rPr>
        <w:t>a</w:t>
      </w:r>
      <w:r w:rsidR="00D04FA9" w:rsidRPr="00602F08">
        <w:rPr>
          <w:rStyle w:val="normaltextrun"/>
          <w:lang w:val="en-US"/>
        </w:rPr>
        <w:t>lly, each month, at a Contract Management Group (CMG) and discussed by our Service Delivery Managers</w:t>
      </w:r>
      <w:r w:rsidR="00332297" w:rsidRPr="00602F08">
        <w:rPr>
          <w:rStyle w:val="normaltextrun"/>
          <w:lang w:val="en-US"/>
        </w:rPr>
        <w:t xml:space="preserve"> who monitor each contract.</w:t>
      </w:r>
    </w:p>
    <w:p w14:paraId="7ECD3E54" w14:textId="77777777" w:rsidR="00332297" w:rsidRPr="00602F08" w:rsidRDefault="00332297" w:rsidP="00B6212D">
      <w:pPr>
        <w:ind w:left="1440"/>
        <w:jc w:val="both"/>
        <w:rPr>
          <w:rStyle w:val="normaltextrun"/>
          <w:lang w:val="en-US"/>
        </w:rPr>
      </w:pPr>
    </w:p>
    <w:p w14:paraId="38C51F18" w14:textId="77777777" w:rsidR="00DC6068" w:rsidRPr="00602F08" w:rsidRDefault="00332297" w:rsidP="00B6212D">
      <w:pPr>
        <w:ind w:left="1440"/>
        <w:jc w:val="both"/>
        <w:rPr>
          <w:rStyle w:val="normaltextrun"/>
          <w:lang w:val="en-US"/>
        </w:rPr>
      </w:pPr>
      <w:r w:rsidRPr="00602F08">
        <w:rPr>
          <w:rStyle w:val="normaltextrun"/>
          <w:lang w:val="en-US"/>
        </w:rPr>
        <w:t xml:space="preserve">I should be clear that if a Provider fails to propose an address or disperse an individual within the time set by UKVI then this would be a failure and depending upon the number of failures it may result in a decision to apply a deduction of </w:t>
      </w:r>
      <w:r w:rsidR="006E6EF0" w:rsidRPr="00602F08">
        <w:rPr>
          <w:rStyle w:val="normaltextrun"/>
          <w:lang w:val="en-US"/>
        </w:rPr>
        <w:t>a service credit following the CMG. Additionally, where persistent failures occur for three consecutive months</w:t>
      </w:r>
      <w:r w:rsidR="00AB034A" w:rsidRPr="00602F08">
        <w:rPr>
          <w:rStyle w:val="normaltextrun"/>
          <w:lang w:val="en-US"/>
        </w:rPr>
        <w:t xml:space="preserve"> then we would, as a matter of course, ask for a service improvement plan from the Provider.</w:t>
      </w:r>
    </w:p>
    <w:p w14:paraId="1B87EDF2" w14:textId="77777777" w:rsidR="00DC6068" w:rsidRPr="00602F08" w:rsidRDefault="00DC6068" w:rsidP="00B6212D">
      <w:pPr>
        <w:ind w:left="1440"/>
        <w:jc w:val="both"/>
        <w:rPr>
          <w:rStyle w:val="normaltextrun"/>
          <w:lang w:val="en-US"/>
        </w:rPr>
      </w:pPr>
    </w:p>
    <w:p w14:paraId="7E1EE655" w14:textId="77777777" w:rsidR="00DC6068" w:rsidRPr="00602F08" w:rsidRDefault="00DC6068" w:rsidP="00B6212D">
      <w:pPr>
        <w:ind w:left="1440"/>
        <w:jc w:val="both"/>
        <w:rPr>
          <w:rStyle w:val="normaltextrun"/>
          <w:lang w:val="en-US"/>
        </w:rPr>
      </w:pPr>
      <w:r w:rsidRPr="00602F08">
        <w:rPr>
          <w:rStyle w:val="normaltextrun"/>
          <w:lang w:val="en-US"/>
        </w:rPr>
        <w:t>…</w:t>
      </w:r>
    </w:p>
    <w:p w14:paraId="359695A8" w14:textId="77777777" w:rsidR="00DC6068" w:rsidRPr="00602F08" w:rsidRDefault="00DC6068" w:rsidP="00B6212D">
      <w:pPr>
        <w:ind w:left="1440"/>
        <w:jc w:val="both"/>
        <w:rPr>
          <w:rStyle w:val="normaltextrun"/>
          <w:lang w:val="en-US"/>
        </w:rPr>
      </w:pPr>
    </w:p>
    <w:p w14:paraId="3CEC4B96" w14:textId="77777777" w:rsidR="00C62676" w:rsidRPr="00602F08" w:rsidRDefault="00DC6068" w:rsidP="00B6212D">
      <w:pPr>
        <w:ind w:left="1440"/>
        <w:jc w:val="both"/>
        <w:rPr>
          <w:rStyle w:val="normaltextrun"/>
          <w:lang w:val="en-US"/>
        </w:rPr>
      </w:pPr>
      <w:r w:rsidRPr="00602F08">
        <w:rPr>
          <w:rStyle w:val="normaltextrun"/>
          <w:lang w:val="en-US"/>
        </w:rPr>
        <w:t>I hope this provides reassurance that we are routinely monitoring provider performance in relation to accommodation requests.</w:t>
      </w:r>
    </w:p>
    <w:p w14:paraId="706756EA" w14:textId="77777777" w:rsidR="00C62676" w:rsidRPr="00602F08" w:rsidRDefault="00C62676" w:rsidP="00B6212D">
      <w:pPr>
        <w:ind w:left="1440"/>
        <w:jc w:val="both"/>
        <w:rPr>
          <w:rStyle w:val="normaltextrun"/>
          <w:lang w:val="en-US"/>
        </w:rPr>
      </w:pPr>
    </w:p>
    <w:p w14:paraId="14140937" w14:textId="295541F7" w:rsidR="00BE5D13" w:rsidRPr="00602F08" w:rsidRDefault="00C62676" w:rsidP="00B6212D">
      <w:pPr>
        <w:ind w:left="1440"/>
        <w:jc w:val="both"/>
        <w:rPr>
          <w:rStyle w:val="normaltextrun"/>
          <w:lang w:val="en-US"/>
        </w:rPr>
      </w:pPr>
      <w:r w:rsidRPr="00602F08">
        <w:rPr>
          <w:rStyle w:val="normaltextrun"/>
          <w:lang w:val="en-US"/>
        </w:rPr>
        <w:t>…”</w:t>
      </w:r>
      <w:r w:rsidR="0032436D" w:rsidRPr="00602F08">
        <w:rPr>
          <w:rStyle w:val="normaltextrun"/>
          <w:lang w:val="en-US"/>
        </w:rPr>
        <w:t xml:space="preserve"> </w:t>
      </w:r>
    </w:p>
    <w:p w14:paraId="46208E8A" w14:textId="77777777" w:rsidR="000B5A00" w:rsidRPr="00602F08" w:rsidRDefault="000B5A00" w:rsidP="00B6212D">
      <w:pPr>
        <w:ind w:left="687"/>
        <w:jc w:val="both"/>
        <w:rPr>
          <w:rStyle w:val="normaltextrun"/>
          <w:lang w:val="en-US"/>
        </w:rPr>
      </w:pPr>
    </w:p>
    <w:p w14:paraId="165A79F3" w14:textId="28051D8B" w:rsidR="00526D7E" w:rsidRPr="00602F08" w:rsidRDefault="004315BF" w:rsidP="00B6212D">
      <w:pPr>
        <w:numPr>
          <w:ilvl w:val="0"/>
          <w:numId w:val="10"/>
        </w:numPr>
        <w:jc w:val="both"/>
        <w:rPr>
          <w:rStyle w:val="normaltextrun"/>
          <w:lang w:val="en-US"/>
        </w:rPr>
      </w:pPr>
      <w:r w:rsidRPr="00602F08">
        <w:rPr>
          <w:rStyle w:val="normaltextrun"/>
          <w:lang w:val="en-US"/>
        </w:rPr>
        <w:t>Mr Bilbao said that the AASC contract is “designed to be a self-reporting contract”. He explained that by this was meant “that the Home Office oversees the performance of providers by analysing data supplied by providers and undertaking ‘assurance’ work on that data”.</w:t>
      </w:r>
      <w:r w:rsidR="00526D7E" w:rsidRPr="00602F08">
        <w:rPr>
          <w:rStyle w:val="normaltextrun"/>
          <w:lang w:val="en-US"/>
        </w:rPr>
        <w:t xml:space="preserve"> </w:t>
      </w:r>
    </w:p>
    <w:p w14:paraId="674B3529" w14:textId="77777777" w:rsidR="00526D7E" w:rsidRPr="00602F08" w:rsidRDefault="00526D7E" w:rsidP="00B6212D">
      <w:pPr>
        <w:ind w:left="687"/>
        <w:jc w:val="both"/>
        <w:rPr>
          <w:rStyle w:val="normaltextrun"/>
          <w:lang w:val="en-US"/>
        </w:rPr>
      </w:pPr>
    </w:p>
    <w:p w14:paraId="65B8774E" w14:textId="2D1186FC" w:rsidR="00C60A65" w:rsidRPr="00602F08" w:rsidRDefault="002F3B4F" w:rsidP="00B6212D">
      <w:pPr>
        <w:numPr>
          <w:ilvl w:val="0"/>
          <w:numId w:val="10"/>
        </w:numPr>
        <w:jc w:val="both"/>
        <w:rPr>
          <w:rStyle w:val="normaltextrun"/>
          <w:lang w:val="en-US"/>
        </w:rPr>
      </w:pPr>
      <w:r w:rsidRPr="00602F08">
        <w:rPr>
          <w:rStyle w:val="normaltextrun"/>
          <w:lang w:val="en-US"/>
        </w:rPr>
        <w:t xml:space="preserve">For the purposes of performance management, </w:t>
      </w:r>
      <w:r w:rsidR="006C484A" w:rsidRPr="00602F08">
        <w:rPr>
          <w:rStyle w:val="normaltextrun"/>
          <w:lang w:val="en-US"/>
        </w:rPr>
        <w:t xml:space="preserve">Mr Bilbao said </w:t>
      </w:r>
      <w:r w:rsidRPr="00602F08">
        <w:rPr>
          <w:rStyle w:val="normaltextrun"/>
          <w:lang w:val="en-US"/>
        </w:rPr>
        <w:t>there are nine Key Performance Indicators (‘KPIs’). These “and their measurement” are defined in Schedule 13 Appendix 1 of each AASC contract.</w:t>
      </w:r>
      <w:r w:rsidR="00526D7E" w:rsidRPr="00602F08">
        <w:rPr>
          <w:rStyle w:val="normaltextrun"/>
          <w:lang w:val="en-US"/>
        </w:rPr>
        <w:t xml:space="preserve"> </w:t>
      </w:r>
      <w:r w:rsidR="00993C84" w:rsidRPr="00602F08">
        <w:rPr>
          <w:rStyle w:val="normaltextrun"/>
          <w:lang w:val="en-US"/>
        </w:rPr>
        <w:t>Under that Schedule, KPI 2 is defined as:</w:t>
      </w:r>
    </w:p>
    <w:p w14:paraId="43AED1EF" w14:textId="77777777" w:rsidR="00993C84" w:rsidRPr="00602F08" w:rsidRDefault="00993C84" w:rsidP="00B6212D">
      <w:pPr>
        <w:pStyle w:val="ListParagraph"/>
        <w:rPr>
          <w:rStyle w:val="normaltextrun"/>
          <w:rFonts w:ascii="Times New Roman" w:hAnsi="Times New Roman"/>
          <w:lang w:val="en-US"/>
        </w:rPr>
      </w:pPr>
    </w:p>
    <w:p w14:paraId="1538EB7D" w14:textId="41AC245D" w:rsidR="00993C84" w:rsidRPr="00602F08" w:rsidRDefault="00993C84" w:rsidP="00B6212D">
      <w:pPr>
        <w:ind w:left="1440"/>
        <w:jc w:val="both"/>
        <w:rPr>
          <w:rStyle w:val="normaltextrun"/>
          <w:lang w:val="en-US"/>
        </w:rPr>
      </w:pPr>
      <w:r w:rsidRPr="00602F08">
        <w:rPr>
          <w:rStyle w:val="normaltextrun"/>
          <w:lang w:val="en-US"/>
        </w:rPr>
        <w:t>“In respect</w:t>
      </w:r>
      <w:r w:rsidR="00DA4144" w:rsidRPr="00602F08">
        <w:rPr>
          <w:rStyle w:val="normaltextrun"/>
          <w:lang w:val="en-US"/>
        </w:rPr>
        <w:t xml:space="preserve"> of ev</w:t>
      </w:r>
      <w:r w:rsidR="00526D7E" w:rsidRPr="00602F08">
        <w:rPr>
          <w:rStyle w:val="normaltextrun"/>
          <w:lang w:val="en-US"/>
        </w:rPr>
        <w:t>e</w:t>
      </w:r>
      <w:r w:rsidR="00DA4144" w:rsidRPr="00602F08">
        <w:rPr>
          <w:rStyle w:val="normaltextrun"/>
          <w:lang w:val="en-US"/>
        </w:rPr>
        <w:t>ry Dispersal Accommodation Request issued by the Authority</w:t>
      </w:r>
      <w:r w:rsidR="00B568B8" w:rsidRPr="00602F08">
        <w:rPr>
          <w:rStyle w:val="normaltextrun"/>
          <w:lang w:val="en-US"/>
        </w:rPr>
        <w:t xml:space="preserve">, the Provider disperses the </w:t>
      </w:r>
      <w:r w:rsidR="00E14724" w:rsidRPr="00602F08">
        <w:rPr>
          <w:rStyle w:val="normaltextrun"/>
          <w:lang w:val="en-US"/>
        </w:rPr>
        <w:t xml:space="preserve">identified Service User/s to appropriate Dispersal Accommodation or Temporary </w:t>
      </w:r>
      <w:r w:rsidR="00C67C4C" w:rsidRPr="00602F08">
        <w:rPr>
          <w:rStyle w:val="normaltextrun"/>
          <w:lang w:val="en-US"/>
        </w:rPr>
        <w:t>Dispersal Accommodation within the timescale stated on the relevant Accommodation Request.”</w:t>
      </w:r>
    </w:p>
    <w:p w14:paraId="275496C2" w14:textId="5941E537" w:rsidR="00C67C4C" w:rsidRPr="00602F08" w:rsidRDefault="00C67C4C" w:rsidP="00B6212D">
      <w:pPr>
        <w:jc w:val="both"/>
        <w:rPr>
          <w:rStyle w:val="normaltextrun"/>
          <w:lang w:val="en-US"/>
        </w:rPr>
      </w:pPr>
    </w:p>
    <w:p w14:paraId="5003581B" w14:textId="1851DA21" w:rsidR="00605827" w:rsidRPr="00602F08" w:rsidRDefault="00AC1719"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Target, Measure, Measurement Mechanism and MI Reporting </w:t>
      </w:r>
      <w:r w:rsidR="00F80295" w:rsidRPr="00602F08">
        <w:rPr>
          <w:rStyle w:val="normaltextrun"/>
          <w:rFonts w:ascii="Times New Roman" w:hAnsi="Times New Roman"/>
          <w:lang w:val="en-US"/>
        </w:rPr>
        <w:t>for KPI 2 are specified as follows:</w:t>
      </w:r>
    </w:p>
    <w:p w14:paraId="1729E122" w14:textId="3CAE9138" w:rsidR="00F80295" w:rsidRPr="00602F08" w:rsidRDefault="00F80295" w:rsidP="00B6212D">
      <w:pPr>
        <w:pStyle w:val="ListParagraph"/>
        <w:ind w:left="687"/>
        <w:jc w:val="both"/>
        <w:rPr>
          <w:rStyle w:val="normaltextrun"/>
          <w:rFonts w:ascii="Times New Roman" w:hAnsi="Times New Roman"/>
          <w:lang w:val="en-US"/>
        </w:rPr>
      </w:pPr>
    </w:p>
    <w:p w14:paraId="6C98B5EB" w14:textId="53A6B26C" w:rsidR="00F80295" w:rsidRPr="00602F08" w:rsidRDefault="00F80295"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“Target</w:t>
      </w:r>
    </w:p>
    <w:p w14:paraId="3D17C116" w14:textId="77777777" w:rsidR="00257F9B" w:rsidRPr="00602F08" w:rsidRDefault="00257F9B" w:rsidP="00B6212D">
      <w:pPr>
        <w:pStyle w:val="ListParagraph"/>
        <w:ind w:left="1440"/>
        <w:jc w:val="both"/>
        <w:rPr>
          <w:rStyle w:val="normaltextrun"/>
          <w:rFonts w:ascii="Times New Roman" w:hAnsi="Times New Roman"/>
          <w:lang w:val="en-US"/>
        </w:rPr>
      </w:pPr>
    </w:p>
    <w:p w14:paraId="03026756" w14:textId="5C852193" w:rsidR="00F80295" w:rsidRPr="00602F08" w:rsidRDefault="00F80295"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98%</w:t>
      </w:r>
      <w:r w:rsidR="00443CEA" w:rsidRPr="00602F08">
        <w:rPr>
          <w:rStyle w:val="normaltextrun"/>
          <w:rFonts w:ascii="Times New Roman" w:hAnsi="Times New Roman"/>
          <w:lang w:val="en-US"/>
        </w:rPr>
        <w:t xml:space="preserve"> of relevant Service Users with the relevant Payment Period are dispersed into appropriate Dispersal Accommodation or Temporary Dispersal Accommodation</w:t>
      </w:r>
      <w:r w:rsidR="005210FC" w:rsidRPr="00602F08">
        <w:rPr>
          <w:rStyle w:val="normaltextrun"/>
          <w:rFonts w:ascii="Times New Roman" w:hAnsi="Times New Roman"/>
          <w:lang w:val="en-US"/>
        </w:rPr>
        <w:t xml:space="preserve"> within the timescale stated on the relevant Accommodation Request.</w:t>
      </w:r>
    </w:p>
    <w:p w14:paraId="7A65FB76" w14:textId="356CCFC2" w:rsidR="005210FC" w:rsidRPr="00602F08" w:rsidRDefault="005210FC" w:rsidP="00B6212D">
      <w:pPr>
        <w:pStyle w:val="ListParagraph"/>
        <w:ind w:left="1440"/>
        <w:jc w:val="both"/>
        <w:rPr>
          <w:rStyle w:val="normaltextrun"/>
          <w:rFonts w:ascii="Times New Roman" w:hAnsi="Times New Roman"/>
          <w:lang w:val="en-US"/>
        </w:rPr>
      </w:pPr>
    </w:p>
    <w:p w14:paraId="2A6B22EA" w14:textId="09D02792" w:rsidR="005210FC" w:rsidRPr="00602F08" w:rsidRDefault="005210FC"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Measure</w:t>
      </w:r>
    </w:p>
    <w:p w14:paraId="54418758" w14:textId="77777777" w:rsidR="00257F9B" w:rsidRPr="00602F08" w:rsidRDefault="00257F9B" w:rsidP="00B6212D">
      <w:pPr>
        <w:pStyle w:val="ListParagraph"/>
        <w:ind w:left="1440"/>
        <w:jc w:val="both"/>
        <w:rPr>
          <w:rStyle w:val="normaltextrun"/>
          <w:rFonts w:ascii="Times New Roman" w:hAnsi="Times New Roman"/>
          <w:lang w:val="en-US"/>
        </w:rPr>
      </w:pPr>
    </w:p>
    <w:p w14:paraId="118ACE34" w14:textId="53573964" w:rsidR="005210FC" w:rsidRPr="00602F08" w:rsidRDefault="005210FC"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 xml:space="preserve">Percentage of Service Users within each relevant Payment Period who were not accommodated with the timescales stated </w:t>
      </w:r>
      <w:r w:rsidR="00007491" w:rsidRPr="00602F08">
        <w:rPr>
          <w:rStyle w:val="normaltextrun"/>
          <w:rFonts w:ascii="Times New Roman" w:hAnsi="Times New Roman"/>
          <w:lang w:val="en-US"/>
        </w:rPr>
        <w:t>on the relevant Accommodation Request.</w:t>
      </w:r>
    </w:p>
    <w:p w14:paraId="4432946D" w14:textId="51AD705B" w:rsidR="00007491" w:rsidRPr="00602F08" w:rsidRDefault="00007491" w:rsidP="00B6212D">
      <w:pPr>
        <w:pStyle w:val="ListParagraph"/>
        <w:ind w:left="1440"/>
        <w:jc w:val="both"/>
        <w:rPr>
          <w:rStyle w:val="normaltextrun"/>
          <w:rFonts w:ascii="Times New Roman" w:hAnsi="Times New Roman"/>
          <w:lang w:val="en-US"/>
        </w:rPr>
      </w:pPr>
    </w:p>
    <w:p w14:paraId="05BC297E" w14:textId="79A1D574" w:rsidR="00007491" w:rsidRPr="00602F08" w:rsidRDefault="00007491"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Measurement Mechanism:</w:t>
      </w:r>
    </w:p>
    <w:p w14:paraId="15177837" w14:textId="77777777" w:rsidR="00257F9B" w:rsidRPr="00602F08" w:rsidRDefault="00257F9B" w:rsidP="00B6212D">
      <w:pPr>
        <w:pStyle w:val="ListParagraph"/>
        <w:ind w:left="1440"/>
        <w:jc w:val="both"/>
        <w:rPr>
          <w:rStyle w:val="normaltextrun"/>
          <w:rFonts w:ascii="Times New Roman" w:hAnsi="Times New Roman"/>
          <w:lang w:val="en-US"/>
        </w:rPr>
      </w:pPr>
    </w:p>
    <w:p w14:paraId="2336B13E" w14:textId="70F228E3" w:rsidR="00007491" w:rsidRPr="00602F08" w:rsidRDefault="00863B07"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The record of Accommodation Requests made in each Payment Period shall be obtained from the Authority’s MIP (and any alternative meth</w:t>
      </w:r>
      <w:r w:rsidR="000A0239" w:rsidRPr="00602F08">
        <w:rPr>
          <w:rStyle w:val="normaltextrun"/>
          <w:rFonts w:ascii="Times New Roman" w:hAnsi="Times New Roman"/>
          <w:lang w:val="en-US"/>
        </w:rPr>
        <w:t>ods of communication which may have been used).</w:t>
      </w:r>
    </w:p>
    <w:p w14:paraId="79B011B9" w14:textId="77777777" w:rsidR="00257F9B" w:rsidRPr="00602F08" w:rsidRDefault="00257F9B" w:rsidP="00B6212D">
      <w:pPr>
        <w:pStyle w:val="ListParagraph"/>
        <w:ind w:left="1440"/>
        <w:jc w:val="both"/>
        <w:rPr>
          <w:rStyle w:val="normaltextrun"/>
          <w:rFonts w:ascii="Times New Roman" w:hAnsi="Times New Roman"/>
          <w:lang w:val="en-US"/>
        </w:rPr>
      </w:pPr>
    </w:p>
    <w:p w14:paraId="13DC866C" w14:textId="406B9140" w:rsidR="000A0239" w:rsidRPr="00602F08" w:rsidRDefault="000A0239"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 xml:space="preserve">The Provider shall provide notifications to the Authority when Service Users are moved to Dispersal Accommodation or Temporary </w:t>
      </w:r>
      <w:r w:rsidR="002C2DE4" w:rsidRPr="00602F08">
        <w:rPr>
          <w:rStyle w:val="normaltextrun"/>
          <w:rFonts w:ascii="Times New Roman" w:hAnsi="Times New Roman"/>
          <w:lang w:val="en-US"/>
        </w:rPr>
        <w:t>Dispersal Accommodation through the Authority’s MIP.</w:t>
      </w:r>
    </w:p>
    <w:p w14:paraId="3A19E80C" w14:textId="77777777" w:rsidR="00257F9B" w:rsidRPr="00602F08" w:rsidRDefault="00257F9B" w:rsidP="00B6212D">
      <w:pPr>
        <w:pStyle w:val="ListParagraph"/>
        <w:ind w:left="1440"/>
        <w:jc w:val="both"/>
        <w:rPr>
          <w:rStyle w:val="normaltextrun"/>
          <w:rFonts w:ascii="Times New Roman" w:hAnsi="Times New Roman"/>
          <w:lang w:val="en-US"/>
        </w:rPr>
      </w:pPr>
    </w:p>
    <w:p w14:paraId="737E2A0B" w14:textId="60EC31B6" w:rsidR="002C2DE4" w:rsidRPr="00602F08" w:rsidRDefault="002C2DE4"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At the end of the Payment Period, the provider will report on their compliance against this KPI</w:t>
      </w:r>
      <w:r w:rsidR="00B1270A" w:rsidRPr="00602F08">
        <w:rPr>
          <w:rStyle w:val="normaltextrun"/>
          <w:rFonts w:ascii="Times New Roman" w:hAnsi="Times New Roman"/>
          <w:lang w:val="en-US"/>
        </w:rPr>
        <w:t xml:space="preserve"> </w:t>
      </w:r>
      <w:r w:rsidRPr="00602F08">
        <w:rPr>
          <w:rStyle w:val="normaltextrun"/>
          <w:rFonts w:ascii="Times New Roman" w:hAnsi="Times New Roman"/>
          <w:lang w:val="en-US"/>
        </w:rPr>
        <w:t>2.</w:t>
      </w:r>
    </w:p>
    <w:p w14:paraId="74369A59" w14:textId="77777777" w:rsidR="00257F9B" w:rsidRPr="00602F08" w:rsidRDefault="00257F9B" w:rsidP="00B6212D">
      <w:pPr>
        <w:pStyle w:val="ListParagraph"/>
        <w:ind w:left="1440"/>
        <w:jc w:val="both"/>
        <w:rPr>
          <w:rStyle w:val="normaltextrun"/>
          <w:rFonts w:ascii="Times New Roman" w:hAnsi="Times New Roman"/>
          <w:lang w:val="en-US"/>
        </w:rPr>
      </w:pPr>
    </w:p>
    <w:p w14:paraId="05A1BF45" w14:textId="0EE7F88B" w:rsidR="002C2DE4" w:rsidRPr="00602F08" w:rsidRDefault="002C2DE4"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 xml:space="preserve">The Authority shall run an exception report from the MIP and the Authority’s Primary System of Record, alongside the </w:t>
      </w:r>
      <w:r w:rsidR="000B640E" w:rsidRPr="00602F08">
        <w:rPr>
          <w:rStyle w:val="normaltextrun"/>
          <w:rFonts w:ascii="Times New Roman" w:hAnsi="Times New Roman"/>
          <w:lang w:val="en-US"/>
        </w:rPr>
        <w:t>reporting from the Authority’s inspection and compliance activities, to validate the MI reporting provided by the Provider</w:t>
      </w:r>
      <w:r w:rsidR="004C6FCD" w:rsidRPr="00602F08">
        <w:rPr>
          <w:rStyle w:val="normaltextrun"/>
          <w:rFonts w:ascii="Times New Roman" w:hAnsi="Times New Roman"/>
          <w:lang w:val="en-US"/>
        </w:rPr>
        <w:t>.</w:t>
      </w:r>
    </w:p>
    <w:p w14:paraId="29CA48B8" w14:textId="5054719E" w:rsidR="004C6FCD" w:rsidRPr="00602F08" w:rsidRDefault="004C6FCD" w:rsidP="00B6212D">
      <w:pPr>
        <w:pStyle w:val="ListParagraph"/>
        <w:ind w:left="1440"/>
        <w:jc w:val="both"/>
        <w:rPr>
          <w:rStyle w:val="normaltextrun"/>
          <w:rFonts w:ascii="Times New Roman" w:hAnsi="Times New Roman"/>
          <w:lang w:val="en-US"/>
        </w:rPr>
      </w:pPr>
    </w:p>
    <w:p w14:paraId="52978BC5" w14:textId="1FEDB10B" w:rsidR="004C6FCD" w:rsidRPr="00602F08" w:rsidRDefault="004C6FCD"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MI Reporting</w:t>
      </w:r>
    </w:p>
    <w:p w14:paraId="51F8F6A7" w14:textId="77777777" w:rsidR="00257F9B" w:rsidRPr="00602F08" w:rsidRDefault="00257F9B" w:rsidP="00B6212D">
      <w:pPr>
        <w:pStyle w:val="ListParagraph"/>
        <w:ind w:left="1440"/>
        <w:jc w:val="both"/>
        <w:rPr>
          <w:rStyle w:val="normaltextrun"/>
          <w:rFonts w:ascii="Times New Roman" w:hAnsi="Times New Roman"/>
          <w:lang w:val="en-US"/>
        </w:rPr>
      </w:pPr>
    </w:p>
    <w:p w14:paraId="7CADB84D" w14:textId="6DCC4ED3" w:rsidR="004C6FCD" w:rsidRPr="00602F08" w:rsidRDefault="004C6FCD"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Shall include, as a minimum, for the relevant Payment Period:</w:t>
      </w:r>
    </w:p>
    <w:p w14:paraId="0C0B0A4C" w14:textId="3744D8BF" w:rsidR="004C6FCD" w:rsidRPr="00602F08" w:rsidRDefault="004C6FCD" w:rsidP="00B6212D">
      <w:pPr>
        <w:pStyle w:val="ListParagraph"/>
        <w:numPr>
          <w:ilvl w:val="0"/>
          <w:numId w:val="30"/>
        </w:numPr>
        <w:jc w:val="both"/>
        <w:rPr>
          <w:rStyle w:val="normaltextrun"/>
          <w:rFonts w:ascii="Times New Roman" w:hAnsi="Times New Roman"/>
          <w:lang w:val="en-US"/>
        </w:rPr>
      </w:pPr>
      <w:r w:rsidRPr="00602F08">
        <w:rPr>
          <w:rStyle w:val="normaltextrun"/>
          <w:rFonts w:ascii="Times New Roman" w:hAnsi="Times New Roman"/>
          <w:lang w:val="en-US"/>
        </w:rPr>
        <w:t xml:space="preserve">The number of Accommodation Requests issued by the Authority which had a </w:t>
      </w:r>
      <w:r w:rsidR="007B17FC" w:rsidRPr="00602F08">
        <w:rPr>
          <w:rStyle w:val="normaltextrun"/>
          <w:rFonts w:ascii="Times New Roman" w:hAnsi="Times New Roman"/>
          <w:lang w:val="en-US"/>
        </w:rPr>
        <w:t>dispersal timescale within the relevant Payment Period;</w:t>
      </w:r>
    </w:p>
    <w:p w14:paraId="2FB469A0" w14:textId="0B943780" w:rsidR="007B17FC" w:rsidRPr="00602F08" w:rsidRDefault="00B27DEE" w:rsidP="00B6212D">
      <w:pPr>
        <w:pStyle w:val="ListParagraph"/>
        <w:numPr>
          <w:ilvl w:val="0"/>
          <w:numId w:val="30"/>
        </w:numPr>
        <w:jc w:val="both"/>
        <w:rPr>
          <w:rStyle w:val="normaltextrun"/>
          <w:rFonts w:ascii="Times New Roman" w:hAnsi="Times New Roman"/>
          <w:lang w:val="en-US"/>
        </w:rPr>
      </w:pPr>
      <w:r w:rsidRPr="00602F08">
        <w:rPr>
          <w:rStyle w:val="normaltextrun"/>
          <w:rFonts w:ascii="Times New Roman" w:hAnsi="Times New Roman"/>
          <w:lang w:val="en-US"/>
        </w:rPr>
        <w:t>t</w:t>
      </w:r>
      <w:r w:rsidR="007B17FC" w:rsidRPr="00602F08">
        <w:rPr>
          <w:rStyle w:val="normaltextrun"/>
          <w:rFonts w:ascii="Times New Roman" w:hAnsi="Times New Roman"/>
          <w:lang w:val="en-US"/>
        </w:rPr>
        <w:t xml:space="preserve">he unique identification </w:t>
      </w:r>
      <w:r w:rsidRPr="00602F08">
        <w:rPr>
          <w:rStyle w:val="normaltextrun"/>
          <w:rFonts w:ascii="Times New Roman" w:hAnsi="Times New Roman"/>
          <w:lang w:val="en-US"/>
        </w:rPr>
        <w:t>reference for each relevant Accommodation Request;</w:t>
      </w:r>
    </w:p>
    <w:p w14:paraId="5021E704" w14:textId="0B73F528" w:rsidR="00B27DEE" w:rsidRPr="00602F08" w:rsidRDefault="00A13E34" w:rsidP="00B6212D">
      <w:pPr>
        <w:pStyle w:val="ListParagraph"/>
        <w:numPr>
          <w:ilvl w:val="0"/>
          <w:numId w:val="30"/>
        </w:numPr>
        <w:jc w:val="both"/>
        <w:rPr>
          <w:rStyle w:val="normaltextrun"/>
          <w:rFonts w:ascii="Times New Roman" w:hAnsi="Times New Roman"/>
          <w:lang w:val="en-US"/>
        </w:rPr>
      </w:pPr>
      <w:r w:rsidRPr="00602F08">
        <w:rPr>
          <w:rStyle w:val="normaltextrun"/>
          <w:rFonts w:ascii="Times New Roman" w:hAnsi="Times New Roman"/>
          <w:lang w:val="en-US"/>
        </w:rPr>
        <w:t>the timescales for dispersal for each relevant Accommodation Request;</w:t>
      </w:r>
    </w:p>
    <w:p w14:paraId="7A90AE82" w14:textId="24E2440E" w:rsidR="00A13E34" w:rsidRPr="00602F08" w:rsidRDefault="00A13E34" w:rsidP="00B6212D">
      <w:pPr>
        <w:pStyle w:val="ListParagraph"/>
        <w:numPr>
          <w:ilvl w:val="0"/>
          <w:numId w:val="30"/>
        </w:numPr>
        <w:jc w:val="both"/>
        <w:rPr>
          <w:rStyle w:val="normaltextrun"/>
          <w:rFonts w:ascii="Times New Roman" w:hAnsi="Times New Roman"/>
          <w:lang w:val="en-US"/>
        </w:rPr>
      </w:pPr>
      <w:r w:rsidRPr="00602F08">
        <w:rPr>
          <w:rStyle w:val="normaltextrun"/>
          <w:rFonts w:ascii="Times New Roman" w:hAnsi="Times New Roman"/>
          <w:lang w:val="en-US"/>
        </w:rPr>
        <w:t>the actual timescale of dispersal met by the Provider;</w:t>
      </w:r>
      <w:r w:rsidR="003B552F" w:rsidRPr="00602F08">
        <w:rPr>
          <w:rStyle w:val="normaltextrun"/>
          <w:rFonts w:ascii="Times New Roman" w:hAnsi="Times New Roman"/>
          <w:lang w:val="en-US"/>
        </w:rPr>
        <w:t xml:space="preserve"> </w:t>
      </w:r>
      <w:r w:rsidR="003B552F" w:rsidRPr="00602F08">
        <w:rPr>
          <w:rStyle w:val="normaltextrun"/>
          <w:rFonts w:ascii="Times New Roman" w:hAnsi="Times New Roman"/>
          <w:i/>
          <w:iCs/>
          <w:lang w:val="en-US"/>
        </w:rPr>
        <w:t>and</w:t>
      </w:r>
    </w:p>
    <w:p w14:paraId="714B78A3" w14:textId="7EF5B3A1" w:rsidR="00A13E34" w:rsidRPr="00602F08" w:rsidRDefault="003B552F" w:rsidP="00B6212D">
      <w:pPr>
        <w:pStyle w:val="ListParagraph"/>
        <w:numPr>
          <w:ilvl w:val="0"/>
          <w:numId w:val="30"/>
        </w:numPr>
        <w:jc w:val="both"/>
        <w:rPr>
          <w:rStyle w:val="normaltextrun"/>
          <w:rFonts w:ascii="Times New Roman" w:hAnsi="Times New Roman"/>
          <w:lang w:val="en-US"/>
        </w:rPr>
      </w:pPr>
      <w:r w:rsidRPr="00602F08">
        <w:rPr>
          <w:rStyle w:val="normaltextrun"/>
          <w:rFonts w:ascii="Times New Roman" w:hAnsi="Times New Roman"/>
          <w:lang w:val="en-US"/>
        </w:rPr>
        <w:t xml:space="preserve">the Provider’s assessment of their performance against the KPI expressed as a percentage of relevant Services Users dispersed to appropriate Dispersal Accommodation or Temporary Dispersal Accommodation </w:t>
      </w:r>
      <w:r w:rsidR="00954816" w:rsidRPr="00602F08">
        <w:rPr>
          <w:rStyle w:val="normaltextrun"/>
          <w:rFonts w:ascii="Times New Roman" w:hAnsi="Times New Roman"/>
          <w:lang w:val="en-US"/>
        </w:rPr>
        <w:t>within the timescales stipulated by the Authority in the relevant Accommodation Requests, and a description of instances of failure against the relevant performance standard.”</w:t>
      </w:r>
    </w:p>
    <w:p w14:paraId="687BAB1D" w14:textId="77777777" w:rsidR="002F3B4F" w:rsidRPr="00602F08" w:rsidRDefault="002F3B4F" w:rsidP="00B6212D">
      <w:pPr>
        <w:pStyle w:val="ListParagraph"/>
        <w:jc w:val="both"/>
        <w:rPr>
          <w:rStyle w:val="normaltextrun"/>
          <w:rFonts w:ascii="Times New Roman" w:hAnsi="Times New Roman"/>
          <w:lang w:val="en-US"/>
        </w:rPr>
      </w:pPr>
    </w:p>
    <w:p w14:paraId="00202D7C" w14:textId="3DCEAE1D" w:rsidR="00C507EF" w:rsidRPr="00602F08" w:rsidRDefault="00C507EF" w:rsidP="00B6212D">
      <w:pPr>
        <w:numPr>
          <w:ilvl w:val="0"/>
          <w:numId w:val="10"/>
        </w:numPr>
        <w:jc w:val="both"/>
        <w:rPr>
          <w:rStyle w:val="normaltextrun"/>
          <w:lang w:val="en-US"/>
        </w:rPr>
      </w:pPr>
      <w:r w:rsidRPr="00602F08">
        <w:rPr>
          <w:rStyle w:val="normaltextrun"/>
          <w:lang w:val="en-US"/>
        </w:rPr>
        <w:t xml:space="preserve">It is </w:t>
      </w:r>
      <w:r w:rsidR="00255771" w:rsidRPr="00602F08">
        <w:rPr>
          <w:rStyle w:val="normaltextrun"/>
          <w:lang w:val="en-US"/>
        </w:rPr>
        <w:t>relevant to note t</w:t>
      </w:r>
      <w:r w:rsidR="009A449D" w:rsidRPr="00602F08">
        <w:rPr>
          <w:rStyle w:val="normaltextrun"/>
          <w:lang w:val="en-US"/>
        </w:rPr>
        <w:t>h</w:t>
      </w:r>
      <w:r w:rsidR="00255771" w:rsidRPr="00602F08">
        <w:rPr>
          <w:rStyle w:val="normaltextrun"/>
          <w:lang w:val="en-US"/>
        </w:rPr>
        <w:t xml:space="preserve">at in </w:t>
      </w:r>
      <w:r w:rsidR="004F6B43" w:rsidRPr="00602F08">
        <w:rPr>
          <w:rStyle w:val="normaltextrun"/>
          <w:lang w:val="en-US"/>
        </w:rPr>
        <w:t>the</w:t>
      </w:r>
      <w:r w:rsidR="00255771" w:rsidRPr="00602F08">
        <w:rPr>
          <w:rStyle w:val="normaltextrun"/>
          <w:lang w:val="en-US"/>
        </w:rPr>
        <w:t xml:space="preserve"> letter dated 2 March 2020 from the Government Legal Department to</w:t>
      </w:r>
      <w:r w:rsidR="004F6B43" w:rsidRPr="00602F08">
        <w:rPr>
          <w:rStyle w:val="normaltextrun"/>
          <w:lang w:val="en-US"/>
        </w:rPr>
        <w:t xml:space="preserve"> Deighton Pierce Glynn</w:t>
      </w:r>
      <w:r w:rsidR="00255771" w:rsidRPr="00602F08">
        <w:rPr>
          <w:rStyle w:val="normaltextrun"/>
          <w:lang w:val="en-US"/>
        </w:rPr>
        <w:t xml:space="preserve"> </w:t>
      </w:r>
      <w:r w:rsidR="004F6B43" w:rsidRPr="00602F08">
        <w:rPr>
          <w:rStyle w:val="normaltextrun"/>
          <w:lang w:val="en-US"/>
        </w:rPr>
        <w:t xml:space="preserve">Solicitors </w:t>
      </w:r>
      <w:r w:rsidR="00255771" w:rsidRPr="00602F08">
        <w:rPr>
          <w:rStyle w:val="normaltextrun"/>
          <w:lang w:val="en-US"/>
        </w:rPr>
        <w:t>it was stated:</w:t>
      </w:r>
    </w:p>
    <w:p w14:paraId="52BD3C37" w14:textId="40BBEC5D" w:rsidR="00255771" w:rsidRPr="00602F08" w:rsidRDefault="00255771" w:rsidP="00B6212D">
      <w:pPr>
        <w:ind w:left="687"/>
        <w:jc w:val="both"/>
        <w:rPr>
          <w:rStyle w:val="normaltextrun"/>
          <w:lang w:val="en-US"/>
        </w:rPr>
      </w:pPr>
    </w:p>
    <w:p w14:paraId="04677239" w14:textId="3EA92C18" w:rsidR="00255771" w:rsidRPr="00602F08" w:rsidRDefault="009A449D" w:rsidP="00B6212D">
      <w:pPr>
        <w:ind w:left="1440"/>
        <w:jc w:val="both"/>
        <w:rPr>
          <w:rStyle w:val="normaltextrun"/>
          <w:lang w:val="en-US"/>
        </w:rPr>
      </w:pPr>
      <w:r w:rsidRPr="00602F08">
        <w:rPr>
          <w:rStyle w:val="normaltextrun"/>
          <w:lang w:val="en-US"/>
        </w:rPr>
        <w:t>“Accommodation proposals in any given case are uploaded to Asylum Support’s Central Business Portal (CBP) by the housing provider. Once accommodation is provided, the case is removed from the CBP and Asylum Support no longer have access to the historic records.”</w:t>
      </w:r>
    </w:p>
    <w:p w14:paraId="04ED02EA" w14:textId="77777777" w:rsidR="00C507EF" w:rsidRPr="00602F08" w:rsidRDefault="00C507EF" w:rsidP="00B6212D">
      <w:pPr>
        <w:ind w:left="687"/>
        <w:jc w:val="both"/>
        <w:rPr>
          <w:rStyle w:val="normaltextrun"/>
          <w:lang w:val="en-US"/>
        </w:rPr>
      </w:pPr>
    </w:p>
    <w:p w14:paraId="6B60624E" w14:textId="503FE5E6" w:rsidR="002F3B4F" w:rsidRPr="00602F08" w:rsidRDefault="00FC2CC0" w:rsidP="00B6212D">
      <w:pPr>
        <w:numPr>
          <w:ilvl w:val="0"/>
          <w:numId w:val="10"/>
        </w:numPr>
        <w:jc w:val="both"/>
        <w:rPr>
          <w:rStyle w:val="normaltextrun"/>
          <w:lang w:val="en-US"/>
        </w:rPr>
      </w:pPr>
      <w:r w:rsidRPr="00602F08">
        <w:rPr>
          <w:rStyle w:val="normaltextrun"/>
          <w:lang w:val="en-US"/>
        </w:rPr>
        <w:t xml:space="preserve">In his witness statement </w:t>
      </w:r>
      <w:r w:rsidR="002F3B4F" w:rsidRPr="00602F08">
        <w:rPr>
          <w:rStyle w:val="normaltextrun"/>
          <w:lang w:val="en-US"/>
        </w:rPr>
        <w:t>Mr Bilbao drew particular attention to the measurement mechanism</w:t>
      </w:r>
      <w:r w:rsidR="00E36CAE" w:rsidRPr="00602F08">
        <w:rPr>
          <w:rStyle w:val="normaltextrun"/>
          <w:lang w:val="en-US"/>
        </w:rPr>
        <w:t xml:space="preserve"> </w:t>
      </w:r>
      <w:r w:rsidR="002F3B4F" w:rsidRPr="00602F08">
        <w:rPr>
          <w:rStyle w:val="normaltextrun"/>
          <w:lang w:val="en-US"/>
        </w:rPr>
        <w:t>for two of the KPIs in these terms:</w:t>
      </w:r>
    </w:p>
    <w:p w14:paraId="6BA84451" w14:textId="77777777" w:rsidR="002F3B4F" w:rsidRPr="00602F08" w:rsidRDefault="002F3B4F" w:rsidP="00B6212D">
      <w:pPr>
        <w:jc w:val="both"/>
        <w:rPr>
          <w:rStyle w:val="normaltextrun"/>
          <w:lang w:val="en-US"/>
        </w:rPr>
      </w:pPr>
    </w:p>
    <w:p w14:paraId="3151CC8A" w14:textId="77777777" w:rsidR="002F3B4F" w:rsidRPr="00602F08" w:rsidRDefault="002F3B4F" w:rsidP="00B6212D">
      <w:pPr>
        <w:ind w:left="1701"/>
        <w:jc w:val="both"/>
        <w:rPr>
          <w:rStyle w:val="normaltextrun"/>
          <w:lang w:val="en-US"/>
        </w:rPr>
      </w:pPr>
      <w:r w:rsidRPr="00602F08">
        <w:rPr>
          <w:rStyle w:val="normaltextrun"/>
          <w:lang w:val="en-US"/>
        </w:rPr>
        <w:t>For KPI 1: “The record of new Dispersal Accommodation and Initial Accommodation Requests made in each Payment Period shall be obtained from the Authority’s Management Information Portal (MIP) (and any alternative methods of communication which may have been used out of hours)”.</w:t>
      </w:r>
    </w:p>
    <w:p w14:paraId="2A20A060" w14:textId="77777777" w:rsidR="002F3B4F" w:rsidRPr="00602F08" w:rsidRDefault="002F3B4F" w:rsidP="00B6212D">
      <w:pPr>
        <w:ind w:left="1701"/>
        <w:jc w:val="both"/>
        <w:rPr>
          <w:rStyle w:val="normaltextrun"/>
          <w:lang w:val="en-US"/>
        </w:rPr>
      </w:pPr>
    </w:p>
    <w:p w14:paraId="3F157468" w14:textId="1EA640D8" w:rsidR="00DF2C36" w:rsidRPr="00602F08" w:rsidRDefault="002F3B4F" w:rsidP="00B6212D">
      <w:pPr>
        <w:ind w:left="1701"/>
        <w:jc w:val="both"/>
        <w:rPr>
          <w:rStyle w:val="normaltextrun"/>
          <w:lang w:val="en-US"/>
        </w:rPr>
      </w:pPr>
      <w:r w:rsidRPr="00602F08">
        <w:rPr>
          <w:rStyle w:val="normaltextrun"/>
          <w:lang w:val="en-US"/>
        </w:rPr>
        <w:t>For KPI 2: “The record of Accommodation Requests made in each Payment      Period shall be obtained from the Authority’s MIP (and any alternative methods of communication which may have been used). The Provider shall provide notifications to the Authority when Service Users are moved to Dispersal Accommodation or Temporary Dispersal Accommodation, through the Authority’s MIP. At the end of the Payment Period, the Provider will report on their compliance against … KP</w:t>
      </w:r>
      <w:r w:rsidR="006E7F7C" w:rsidRPr="00602F08">
        <w:rPr>
          <w:rStyle w:val="normaltextrun"/>
          <w:lang w:val="en-US"/>
        </w:rPr>
        <w:t xml:space="preserve"> </w:t>
      </w:r>
      <w:r w:rsidRPr="00602F08">
        <w:rPr>
          <w:rStyle w:val="normaltextrun"/>
          <w:lang w:val="en-US"/>
        </w:rPr>
        <w:t>2. The Authority shall run an exception report from the MIP and the Authority’s Primary System of Record, alongside the reporting from the Authority’s inspection and compliance activities, to validate the MI reporting provided by the Provider.”</w:t>
      </w:r>
    </w:p>
    <w:p w14:paraId="12B4A826" w14:textId="77777777" w:rsidR="004315BF" w:rsidRPr="00602F08" w:rsidRDefault="004315BF" w:rsidP="008F66E5">
      <w:pPr>
        <w:jc w:val="both"/>
        <w:rPr>
          <w:rStyle w:val="normaltextrun"/>
          <w:lang w:val="en-US"/>
        </w:rPr>
      </w:pPr>
    </w:p>
    <w:p w14:paraId="37A365DD" w14:textId="2CDC77EE" w:rsidR="004315BF" w:rsidRPr="00602F08" w:rsidRDefault="004F127D" w:rsidP="00B6212D">
      <w:pPr>
        <w:numPr>
          <w:ilvl w:val="0"/>
          <w:numId w:val="10"/>
        </w:numPr>
        <w:jc w:val="both"/>
        <w:rPr>
          <w:rStyle w:val="normaltextrun"/>
          <w:lang w:val="en-US"/>
        </w:rPr>
      </w:pPr>
      <w:r w:rsidRPr="00602F08">
        <w:rPr>
          <w:rStyle w:val="normaltextrun"/>
          <w:lang w:val="en-US"/>
        </w:rPr>
        <w:t>Mr Bilbao said t</w:t>
      </w:r>
      <w:r w:rsidR="004315BF" w:rsidRPr="00602F08">
        <w:rPr>
          <w:rStyle w:val="normaltextrun"/>
          <w:lang w:val="en-US"/>
        </w:rPr>
        <w:t>he provider will provide a monthly report “extract[ing] and aggregat[ing] data from its IT system and from the CBP to obtain the number of accommodation requests that were made and the number that were fulfilled in the required time, within the previous calendar month”. This includes a “baseline” figure “that refers to the total number of ‘accommodation requests’”, a “non-conformance” figure of the “total number of requests not fulfilled within the required time”, and the provider “will also list the individual references for those ‘non-conformance cases’</w:t>
      </w:r>
      <w:r w:rsidR="00CB1F6F" w:rsidRPr="00602F08">
        <w:rPr>
          <w:rStyle w:val="normaltextrun"/>
          <w:lang w:val="en-US"/>
        </w:rPr>
        <w:t>”</w:t>
      </w:r>
      <w:r w:rsidR="004315BF" w:rsidRPr="00602F08">
        <w:rPr>
          <w:rStyle w:val="normaltextrun"/>
          <w:lang w:val="en-US"/>
        </w:rPr>
        <w:t xml:space="preserve">. </w:t>
      </w:r>
    </w:p>
    <w:p w14:paraId="1287A1A2" w14:textId="77777777" w:rsidR="004315BF" w:rsidRPr="00602F08" w:rsidRDefault="004315BF" w:rsidP="00B6212D">
      <w:pPr>
        <w:pStyle w:val="ListParagraph"/>
        <w:jc w:val="both"/>
        <w:rPr>
          <w:rStyle w:val="normaltextrun"/>
          <w:rFonts w:ascii="Times New Roman" w:hAnsi="Times New Roman"/>
          <w:lang w:val="en-US"/>
        </w:rPr>
      </w:pPr>
    </w:p>
    <w:p w14:paraId="6071AB3E" w14:textId="439AEB01" w:rsidR="00DE326D" w:rsidRPr="00602F08" w:rsidRDefault="004315BF" w:rsidP="00B6212D">
      <w:pPr>
        <w:numPr>
          <w:ilvl w:val="0"/>
          <w:numId w:val="10"/>
        </w:numPr>
        <w:jc w:val="both"/>
        <w:rPr>
          <w:rStyle w:val="normaltextrun"/>
          <w:lang w:val="en-US"/>
        </w:rPr>
      </w:pPr>
      <w:r w:rsidRPr="00602F08">
        <w:rPr>
          <w:rStyle w:val="normaltextrun"/>
          <w:lang w:val="en-US"/>
        </w:rPr>
        <w:t>As I understand it, this forms part of what was described by Mr Bilbao as a “Schedule 7 submission”. An advance draft copy of the submission “and where required any supporting data” is provided by the provider “to the relevant Home Office Asylum Support Contract Assurance (‘ASC-A’) team</w:t>
      </w:r>
      <w:r w:rsidR="00DE326D" w:rsidRPr="00602F08">
        <w:rPr>
          <w:rStyle w:val="normaltextrun"/>
          <w:lang w:val="en-US"/>
        </w:rPr>
        <w:t>”</w:t>
      </w:r>
      <w:r w:rsidR="0061705F" w:rsidRPr="00602F08">
        <w:rPr>
          <w:rStyle w:val="normaltextrun"/>
          <w:lang w:val="en-US"/>
        </w:rPr>
        <w:t>.</w:t>
      </w:r>
      <w:r w:rsidRPr="00602F08">
        <w:rPr>
          <w:rStyle w:val="normaltextrun"/>
          <w:lang w:val="en-US"/>
        </w:rPr>
        <w:t xml:space="preserve"> </w:t>
      </w:r>
    </w:p>
    <w:p w14:paraId="707524B0" w14:textId="77777777" w:rsidR="00DB6F39" w:rsidRPr="00602F08" w:rsidRDefault="00DB6F39" w:rsidP="00B6212D">
      <w:pPr>
        <w:jc w:val="both"/>
        <w:rPr>
          <w:rStyle w:val="normaltextrun"/>
          <w:u w:val="single"/>
          <w:lang w:val="en-US"/>
        </w:rPr>
      </w:pPr>
    </w:p>
    <w:p w14:paraId="78508F3A" w14:textId="48D55E7F" w:rsidR="004315BF" w:rsidRPr="00602F08" w:rsidRDefault="00DB6F39" w:rsidP="00B6212D">
      <w:pPr>
        <w:numPr>
          <w:ilvl w:val="0"/>
          <w:numId w:val="10"/>
        </w:numPr>
        <w:jc w:val="both"/>
        <w:rPr>
          <w:rStyle w:val="normaltextrun"/>
          <w:lang w:val="en-US"/>
        </w:rPr>
      </w:pPr>
      <w:r w:rsidRPr="00602F08">
        <w:rPr>
          <w:rStyle w:val="normaltextrun"/>
          <w:lang w:val="en-US"/>
        </w:rPr>
        <w:t>Mr Bilbao says t</w:t>
      </w:r>
      <w:r w:rsidR="00DE326D" w:rsidRPr="00602F08">
        <w:rPr>
          <w:rStyle w:val="normaltextrun"/>
          <w:lang w:val="en-US"/>
        </w:rPr>
        <w:t xml:space="preserve">he </w:t>
      </w:r>
      <w:r w:rsidRPr="00602F08">
        <w:rPr>
          <w:rStyle w:val="normaltextrun"/>
          <w:lang w:val="en-US"/>
        </w:rPr>
        <w:t>relevant ASC-A team</w:t>
      </w:r>
      <w:r w:rsidR="004315BF" w:rsidRPr="00602F08">
        <w:rPr>
          <w:rStyle w:val="normaltextrun"/>
          <w:lang w:val="en-US"/>
        </w:rPr>
        <w:t xml:space="preserve"> </w:t>
      </w:r>
      <w:r w:rsidRPr="00602F08">
        <w:rPr>
          <w:rStyle w:val="normaltextrun"/>
          <w:lang w:val="en-US"/>
        </w:rPr>
        <w:t>“</w:t>
      </w:r>
      <w:r w:rsidR="004315BF" w:rsidRPr="00602F08">
        <w:rPr>
          <w:rStyle w:val="normaltextrun"/>
          <w:lang w:val="en-US"/>
        </w:rPr>
        <w:t xml:space="preserve">undertakes the assurance of the information supplied by the provider for each KPI”. To do that “the Home Office uses reporting from the CBP and ATLAS” alongside “reporting from the Home Office’s inspection and compliance activities”. </w:t>
      </w:r>
    </w:p>
    <w:p w14:paraId="459399EF" w14:textId="77777777" w:rsidR="004315BF" w:rsidRPr="00602F08" w:rsidRDefault="004315BF" w:rsidP="00B6212D">
      <w:pPr>
        <w:pStyle w:val="ListParagraph"/>
        <w:jc w:val="both"/>
        <w:rPr>
          <w:rStyle w:val="normaltextrun"/>
          <w:rFonts w:ascii="Times New Roman" w:hAnsi="Times New Roman"/>
          <w:lang w:val="en-US"/>
        </w:rPr>
      </w:pPr>
    </w:p>
    <w:p w14:paraId="10E355D6" w14:textId="77777777" w:rsidR="00450791" w:rsidRPr="00602F08" w:rsidRDefault="004315BF" w:rsidP="00B6212D">
      <w:pPr>
        <w:numPr>
          <w:ilvl w:val="0"/>
          <w:numId w:val="10"/>
        </w:numPr>
        <w:jc w:val="both"/>
        <w:rPr>
          <w:rStyle w:val="normaltextrun"/>
          <w:lang w:val="en-US"/>
        </w:rPr>
      </w:pPr>
      <w:r w:rsidRPr="00602F08">
        <w:rPr>
          <w:rStyle w:val="normaltextrun"/>
          <w:lang w:val="en-US"/>
        </w:rPr>
        <w:t xml:space="preserve">Mr Bilbao explained that the ASC-A team check the provider totals “alongside data held by the Home Office” “with the aim of agreeing the level of ‘non-conformance’”. It is not clear what the “data held by the Home Office” is here referred to, but Mr Bilbao states that the Home Office “extracts a report from CBP that lists all requests made in the relevant period and various pertinent details of the request including raised date, target date, current status and fulfilment date”. </w:t>
      </w:r>
      <w:r w:rsidR="00B022CB" w:rsidRPr="00602F08">
        <w:rPr>
          <w:rStyle w:val="normaltextrun"/>
          <w:lang w:val="en-US"/>
        </w:rPr>
        <w:t xml:space="preserve">He </w:t>
      </w:r>
      <w:r w:rsidR="00B64664" w:rsidRPr="00602F08">
        <w:rPr>
          <w:rStyle w:val="normaltextrun"/>
          <w:lang w:val="en-US"/>
        </w:rPr>
        <w:t xml:space="preserve">continues: </w:t>
      </w:r>
      <w:r w:rsidRPr="00602F08">
        <w:rPr>
          <w:rStyle w:val="normaltextrun"/>
          <w:lang w:val="en-US"/>
        </w:rPr>
        <w:t>“Thus they identify for themselves the ‘baseline’ and ‘non-conformance figure’”</w:t>
      </w:r>
      <w:r w:rsidR="00B64664" w:rsidRPr="00602F08">
        <w:rPr>
          <w:rStyle w:val="normaltextrun"/>
          <w:lang w:val="en-US"/>
        </w:rPr>
        <w:t xml:space="preserve"> and that t</w:t>
      </w:r>
      <w:r w:rsidRPr="00602F08">
        <w:rPr>
          <w:rStyle w:val="normaltextrun"/>
          <w:lang w:val="en-US"/>
        </w:rPr>
        <w:t>hey also “</w:t>
      </w:r>
      <w:r w:rsidR="00C80D76" w:rsidRPr="00602F08">
        <w:rPr>
          <w:rStyle w:val="normaltextrun"/>
          <w:lang w:val="en-US"/>
        </w:rPr>
        <w:t>[</w:t>
      </w:r>
      <w:r w:rsidRPr="00602F08">
        <w:rPr>
          <w:rStyle w:val="normaltextrun"/>
          <w:lang w:val="en-US"/>
        </w:rPr>
        <w:t xml:space="preserve">check] the individual non-conformance references given by the provider”. </w:t>
      </w:r>
    </w:p>
    <w:p w14:paraId="7C60AD2F" w14:textId="77777777" w:rsidR="00450791" w:rsidRPr="00602F08" w:rsidRDefault="00450791" w:rsidP="00450791">
      <w:pPr>
        <w:pStyle w:val="ListParagraph"/>
        <w:rPr>
          <w:rStyle w:val="normaltextrun"/>
          <w:rFonts w:ascii="Times New Roman" w:hAnsi="Times New Roman"/>
          <w:lang w:val="en-US"/>
        </w:rPr>
      </w:pPr>
    </w:p>
    <w:p w14:paraId="574419BA" w14:textId="6489DF27" w:rsidR="00450791" w:rsidRPr="00602F08" w:rsidRDefault="004315BF" w:rsidP="00B6212D">
      <w:pPr>
        <w:numPr>
          <w:ilvl w:val="0"/>
          <w:numId w:val="10"/>
        </w:numPr>
        <w:jc w:val="both"/>
        <w:rPr>
          <w:rStyle w:val="normaltextrun"/>
          <w:lang w:val="en-US"/>
        </w:rPr>
      </w:pPr>
      <w:r w:rsidRPr="00602F08">
        <w:rPr>
          <w:rStyle w:val="normaltextrun"/>
          <w:lang w:val="en-US"/>
        </w:rPr>
        <w:t>Mr Bilbao observe</w:t>
      </w:r>
      <w:r w:rsidR="00450791" w:rsidRPr="00602F08">
        <w:rPr>
          <w:rStyle w:val="normaltextrun"/>
          <w:lang w:val="en-US"/>
        </w:rPr>
        <w:t>d</w:t>
      </w:r>
      <w:r w:rsidRPr="00602F08">
        <w:rPr>
          <w:rStyle w:val="normaltextrun"/>
          <w:lang w:val="en-US"/>
        </w:rPr>
        <w:t xml:space="preserve"> that</w:t>
      </w:r>
      <w:r w:rsidR="00450791" w:rsidRPr="00602F08">
        <w:rPr>
          <w:rStyle w:val="normaltextrun"/>
          <w:lang w:val="en-US"/>
        </w:rPr>
        <w:t>:</w:t>
      </w:r>
    </w:p>
    <w:p w14:paraId="6A9BC9C3" w14:textId="77777777" w:rsidR="00450791" w:rsidRPr="00602F08" w:rsidRDefault="00450791" w:rsidP="00450791">
      <w:pPr>
        <w:pStyle w:val="ListParagraph"/>
        <w:rPr>
          <w:rStyle w:val="normaltextrun"/>
          <w:rFonts w:ascii="Times New Roman" w:hAnsi="Times New Roman"/>
          <w:lang w:val="en-US"/>
        </w:rPr>
      </w:pPr>
    </w:p>
    <w:p w14:paraId="4A853506" w14:textId="75982BD5" w:rsidR="004315BF" w:rsidRPr="00602F08" w:rsidRDefault="004315BF" w:rsidP="00450791">
      <w:pPr>
        <w:ind w:left="1440"/>
        <w:jc w:val="both"/>
        <w:rPr>
          <w:rStyle w:val="normaltextrun"/>
          <w:lang w:val="en-US"/>
        </w:rPr>
      </w:pPr>
      <w:r w:rsidRPr="00602F08">
        <w:rPr>
          <w:rStyle w:val="normaltextrun"/>
          <w:lang w:val="en-US"/>
        </w:rPr>
        <w:t>“In practice, as both the provider and the Home Office are in part using the same underlying source data (i.e. from CBP) there are generally minimal discrepancies between their respective figures – especially the ‘baseline’ figure”.</w:t>
      </w:r>
    </w:p>
    <w:p w14:paraId="735000CB" w14:textId="77777777" w:rsidR="004315BF" w:rsidRPr="00602F08" w:rsidRDefault="004315BF" w:rsidP="00B6212D">
      <w:pPr>
        <w:pStyle w:val="ListParagraph"/>
        <w:jc w:val="both"/>
        <w:rPr>
          <w:rStyle w:val="normaltextrun"/>
          <w:rFonts w:ascii="Times New Roman" w:hAnsi="Times New Roman"/>
          <w:lang w:val="en-US"/>
        </w:rPr>
      </w:pPr>
    </w:p>
    <w:p w14:paraId="4C4669A4" w14:textId="77777777" w:rsidR="00D5219B" w:rsidRPr="00602F08" w:rsidRDefault="00D5219B" w:rsidP="00B6212D">
      <w:pPr>
        <w:numPr>
          <w:ilvl w:val="0"/>
          <w:numId w:val="10"/>
        </w:numPr>
        <w:jc w:val="both"/>
        <w:rPr>
          <w:rStyle w:val="normaltextrun"/>
          <w:lang w:val="en-US"/>
        </w:rPr>
      </w:pPr>
      <w:r w:rsidRPr="00602F08">
        <w:rPr>
          <w:rStyle w:val="normaltextrun"/>
          <w:lang w:val="en-US"/>
        </w:rPr>
        <w:t>On Mr Bilbao’s evidence:</w:t>
      </w:r>
    </w:p>
    <w:p w14:paraId="3E79C478" w14:textId="77777777" w:rsidR="00D5219B" w:rsidRPr="00602F08" w:rsidRDefault="00D5219B" w:rsidP="00D5219B">
      <w:pPr>
        <w:ind w:left="687"/>
        <w:jc w:val="both"/>
        <w:rPr>
          <w:rStyle w:val="normaltextrun"/>
          <w:lang w:val="en-US"/>
        </w:rPr>
      </w:pPr>
    </w:p>
    <w:p w14:paraId="7D072E55" w14:textId="77777777" w:rsidR="0040195E" w:rsidRPr="00602F08" w:rsidRDefault="004315BF" w:rsidP="00D5219B">
      <w:pPr>
        <w:ind w:left="1440"/>
        <w:jc w:val="both"/>
        <w:rPr>
          <w:rStyle w:val="normaltextrun"/>
          <w:lang w:val="en-US"/>
        </w:rPr>
      </w:pPr>
      <w:r w:rsidRPr="00602F08">
        <w:rPr>
          <w:rStyle w:val="normaltextrun"/>
          <w:lang w:val="en-US"/>
        </w:rPr>
        <w:t>“Where discrepancies are identified they predominantly concern whether an individual accommodation request was fulfilled within the target time or whether it should be counted as a ‘non-conformance’.”</w:t>
      </w:r>
      <w:r w:rsidR="00BF39CD" w:rsidRPr="00602F08">
        <w:rPr>
          <w:rStyle w:val="normaltextrun"/>
          <w:lang w:val="en-US"/>
        </w:rPr>
        <w:t>, Mr Bilbao said.</w:t>
      </w:r>
      <w:r w:rsidRPr="00602F08">
        <w:rPr>
          <w:rStyle w:val="normaltextrun"/>
          <w:lang w:val="en-US"/>
        </w:rPr>
        <w:t xml:space="preserve"> </w:t>
      </w:r>
    </w:p>
    <w:p w14:paraId="10F3A8A7" w14:textId="77777777" w:rsidR="0040195E" w:rsidRPr="00602F08" w:rsidRDefault="0040195E" w:rsidP="00D5219B">
      <w:pPr>
        <w:ind w:left="1440"/>
        <w:jc w:val="both"/>
        <w:rPr>
          <w:rStyle w:val="normaltextrun"/>
          <w:lang w:val="en-US"/>
        </w:rPr>
      </w:pPr>
    </w:p>
    <w:p w14:paraId="5F3B4EE0" w14:textId="17897FAC" w:rsidR="004315BF" w:rsidRPr="00602F08" w:rsidRDefault="004315BF" w:rsidP="0040195E">
      <w:pPr>
        <w:ind w:left="720" w:hanging="33"/>
        <w:jc w:val="both"/>
        <w:rPr>
          <w:rStyle w:val="normaltextrun"/>
          <w:lang w:val="en-US"/>
        </w:rPr>
      </w:pPr>
      <w:r w:rsidRPr="00602F08">
        <w:rPr>
          <w:rStyle w:val="normaltextrun"/>
          <w:lang w:val="en-US"/>
        </w:rPr>
        <w:t xml:space="preserve">His evidence is that “In general such cases are small in number and are mainly attributable to a lag or divergence in record keeping (e.g. the request was fulfilled in time but the CBP record was not correctly updated by the time of the assurance check)”. </w:t>
      </w:r>
    </w:p>
    <w:p w14:paraId="014DCD35" w14:textId="77777777" w:rsidR="004315BF" w:rsidRPr="00602F08" w:rsidRDefault="004315BF" w:rsidP="00B6212D">
      <w:pPr>
        <w:ind w:left="687"/>
        <w:jc w:val="both"/>
        <w:rPr>
          <w:rStyle w:val="normaltextrun"/>
          <w:lang w:val="en-US"/>
        </w:rPr>
      </w:pPr>
    </w:p>
    <w:p w14:paraId="3BDA6552" w14:textId="66678228" w:rsidR="00284BCF" w:rsidRPr="00602F08" w:rsidRDefault="00857C1B" w:rsidP="00B6212D">
      <w:pPr>
        <w:numPr>
          <w:ilvl w:val="0"/>
          <w:numId w:val="10"/>
        </w:numPr>
        <w:jc w:val="both"/>
        <w:rPr>
          <w:rStyle w:val="normaltextrun"/>
          <w:lang w:val="en-US"/>
        </w:rPr>
      </w:pPr>
      <w:r w:rsidRPr="00602F08">
        <w:rPr>
          <w:rStyle w:val="normaltextrun"/>
          <w:lang w:val="en-US"/>
        </w:rPr>
        <w:t xml:space="preserve">According to Mr Bilbao, </w:t>
      </w:r>
      <w:r w:rsidR="004315BF" w:rsidRPr="00602F08">
        <w:rPr>
          <w:rStyle w:val="normaltextrun"/>
          <w:lang w:val="en-US"/>
        </w:rPr>
        <w:t>“</w:t>
      </w:r>
      <w:r w:rsidRPr="00602F08">
        <w:rPr>
          <w:rStyle w:val="normaltextrun"/>
          <w:lang w:val="en-US"/>
        </w:rPr>
        <w:t>[w]</w:t>
      </w:r>
      <w:r w:rsidR="004315BF" w:rsidRPr="00602F08">
        <w:rPr>
          <w:rStyle w:val="normaltextrun"/>
          <w:lang w:val="en-US"/>
        </w:rPr>
        <w:t>here there is any discrepancy with the provider’s totals or individual non-conformance cases, the Home Office sends the data to the provider”</w:t>
      </w:r>
      <w:r w:rsidR="00092836" w:rsidRPr="00602F08">
        <w:rPr>
          <w:rStyle w:val="normaltextrun"/>
          <w:lang w:val="en-US"/>
        </w:rPr>
        <w:t>,</w:t>
      </w:r>
      <w:r w:rsidR="004315BF" w:rsidRPr="00602F08">
        <w:rPr>
          <w:rStyle w:val="normaltextrun"/>
          <w:lang w:val="en-US"/>
        </w:rPr>
        <w:t xml:space="preserve"> “to consider and resolve before the provider produces the formal papers for the CMG</w:t>
      </w:r>
      <w:r w:rsidR="00902C94" w:rsidRPr="00602F08">
        <w:rPr>
          <w:rStyle w:val="normaltextrun"/>
          <w:lang w:val="en-US"/>
        </w:rPr>
        <w:t>”</w:t>
      </w:r>
      <w:r w:rsidR="001B4D6C" w:rsidRPr="00602F08">
        <w:rPr>
          <w:rStyle w:val="normaltextrun"/>
          <w:lang w:val="en-US"/>
        </w:rPr>
        <w:t xml:space="preserve"> </w:t>
      </w:r>
      <w:r w:rsidR="00092836" w:rsidRPr="00602F08">
        <w:rPr>
          <w:rStyle w:val="normaltextrun"/>
          <w:lang w:val="en-US"/>
        </w:rPr>
        <w:t>a</w:t>
      </w:r>
      <w:r w:rsidR="001B4D6C" w:rsidRPr="00602F08">
        <w:rPr>
          <w:rStyle w:val="normaltextrun"/>
          <w:lang w:val="en-US"/>
        </w:rPr>
        <w:t>t its monthly meeting</w:t>
      </w:r>
      <w:r w:rsidR="004315BF" w:rsidRPr="00602F08">
        <w:rPr>
          <w:rStyle w:val="normaltextrun"/>
          <w:lang w:val="en-US"/>
        </w:rPr>
        <w:t xml:space="preserve">. </w:t>
      </w:r>
      <w:r w:rsidR="008D5D9F" w:rsidRPr="00602F08">
        <w:rPr>
          <w:rStyle w:val="normaltextrun"/>
          <w:lang w:val="en-US"/>
        </w:rPr>
        <w:t xml:space="preserve">He adds that </w:t>
      </w:r>
      <w:r w:rsidR="004315BF" w:rsidRPr="00602F08">
        <w:rPr>
          <w:rStyle w:val="normaltextrun"/>
          <w:lang w:val="en-US"/>
        </w:rPr>
        <w:t>“</w:t>
      </w:r>
      <w:r w:rsidR="008D5D9F" w:rsidRPr="00602F08">
        <w:rPr>
          <w:rStyle w:val="normaltextrun"/>
          <w:lang w:val="en-US"/>
        </w:rPr>
        <w:t>[w]</w:t>
      </w:r>
      <w:r w:rsidR="004315BF" w:rsidRPr="00602F08">
        <w:rPr>
          <w:rStyle w:val="normaltextrun"/>
          <w:lang w:val="en-US"/>
        </w:rPr>
        <w:t xml:space="preserve">here possible discrepancies identified by ASC-A are resolved through discussion between the Home Office and the provider prior to the CMG meeting. Any residual disagreements regarding the KPI figures are escalated to the CMG meeting for resolution.” </w:t>
      </w:r>
    </w:p>
    <w:p w14:paraId="6A920A90" w14:textId="77777777" w:rsidR="004315BF" w:rsidRPr="00602F08" w:rsidRDefault="004315BF" w:rsidP="00B6212D">
      <w:pPr>
        <w:ind w:left="687"/>
        <w:jc w:val="both"/>
        <w:rPr>
          <w:rStyle w:val="normaltextrun"/>
          <w:lang w:val="en-US"/>
        </w:rPr>
      </w:pPr>
    </w:p>
    <w:p w14:paraId="6ACA9EAC" w14:textId="77777777" w:rsidR="00024910" w:rsidRPr="00602F08" w:rsidRDefault="004315BF" w:rsidP="00B6212D">
      <w:pPr>
        <w:numPr>
          <w:ilvl w:val="0"/>
          <w:numId w:val="10"/>
        </w:numPr>
        <w:jc w:val="both"/>
        <w:rPr>
          <w:rStyle w:val="normaltextrun"/>
          <w:lang w:val="en-US"/>
        </w:rPr>
      </w:pPr>
      <w:r w:rsidRPr="00602F08">
        <w:rPr>
          <w:rStyle w:val="normaltextrun"/>
          <w:lang w:val="en-US"/>
        </w:rPr>
        <w:t xml:space="preserve">Mr Bilbao </w:t>
      </w:r>
      <w:r w:rsidR="003F7427" w:rsidRPr="00602F08">
        <w:rPr>
          <w:rStyle w:val="normaltextrun"/>
          <w:lang w:val="en-US"/>
        </w:rPr>
        <w:t xml:space="preserve">confirmed that </w:t>
      </w:r>
      <w:r w:rsidRPr="00602F08">
        <w:rPr>
          <w:rStyle w:val="normaltextrun"/>
          <w:lang w:val="en-US"/>
        </w:rPr>
        <w:t xml:space="preserve">the CMG meeting is “held each calendar month between the Home Office and each provider to review the performance of the provider in the previous month”. The Schedule 7 submission will be provided to the CMG meeting. </w:t>
      </w:r>
      <w:r w:rsidR="00024910" w:rsidRPr="00602F08">
        <w:rPr>
          <w:rStyle w:val="normaltextrun"/>
          <w:lang w:val="en-US"/>
        </w:rPr>
        <w:t>He stated:</w:t>
      </w:r>
    </w:p>
    <w:p w14:paraId="7A361BD3" w14:textId="77777777" w:rsidR="00024910" w:rsidRPr="00602F08" w:rsidRDefault="00024910" w:rsidP="00024910">
      <w:pPr>
        <w:pStyle w:val="ListParagraph"/>
        <w:rPr>
          <w:rStyle w:val="normaltextrun"/>
          <w:rFonts w:ascii="Times New Roman" w:hAnsi="Times New Roman"/>
          <w:lang w:val="en-US"/>
        </w:rPr>
      </w:pPr>
    </w:p>
    <w:p w14:paraId="4B72C300" w14:textId="169EF285" w:rsidR="004315BF" w:rsidRPr="00602F08" w:rsidRDefault="004315BF" w:rsidP="00024910">
      <w:pPr>
        <w:ind w:left="1440"/>
        <w:jc w:val="both"/>
        <w:rPr>
          <w:rStyle w:val="normaltextrun"/>
          <w:lang w:val="en-US"/>
        </w:rPr>
      </w:pPr>
      <w:r w:rsidRPr="00602F08">
        <w:rPr>
          <w:rStyle w:val="normaltextrun"/>
          <w:lang w:val="en-US"/>
        </w:rPr>
        <w:t>“If [for a CMG meeting] the performance data is incomplete it will remain open until such time it can be finalized.”</w:t>
      </w:r>
    </w:p>
    <w:p w14:paraId="00DF3EFE" w14:textId="52858420" w:rsidR="00284BCF" w:rsidRPr="00602F08" w:rsidRDefault="00284BCF" w:rsidP="00B6212D">
      <w:pPr>
        <w:jc w:val="both"/>
        <w:rPr>
          <w:rStyle w:val="normaltextrun"/>
          <w:lang w:val="en-US"/>
        </w:rPr>
      </w:pPr>
    </w:p>
    <w:p w14:paraId="672AA6CD" w14:textId="77777777" w:rsidR="00EA590C" w:rsidRPr="00602F08" w:rsidRDefault="00EA590C" w:rsidP="00B6212D">
      <w:pPr>
        <w:jc w:val="both"/>
        <w:rPr>
          <w:rStyle w:val="normaltextrun"/>
          <w:lang w:val="en-US"/>
        </w:rPr>
      </w:pPr>
    </w:p>
    <w:p w14:paraId="6D2D8226" w14:textId="1FE0E6AB" w:rsidR="004315BF" w:rsidRPr="00602F08" w:rsidRDefault="006304A4" w:rsidP="00B6212D">
      <w:pPr>
        <w:pStyle w:val="BodyText"/>
        <w:ind w:firstLine="687"/>
        <w:jc w:val="both"/>
        <w:rPr>
          <w:u w:val="single"/>
        </w:rPr>
      </w:pPr>
      <w:r w:rsidRPr="00602F08">
        <w:rPr>
          <w:u w:val="single"/>
        </w:rPr>
        <w:t>Provider monitoring</w:t>
      </w:r>
    </w:p>
    <w:p w14:paraId="11FE0378" w14:textId="77777777" w:rsidR="006304A4" w:rsidRPr="00602F08" w:rsidRDefault="006304A4" w:rsidP="00B6212D">
      <w:pPr>
        <w:pStyle w:val="BodyText"/>
        <w:jc w:val="both"/>
      </w:pPr>
    </w:p>
    <w:p w14:paraId="2D26C120" w14:textId="7A0E981E" w:rsidR="004014B5" w:rsidRPr="00AE7796" w:rsidRDefault="004014B5" w:rsidP="00AE7796">
      <w:pPr>
        <w:numPr>
          <w:ilvl w:val="0"/>
          <w:numId w:val="10"/>
        </w:numPr>
        <w:jc w:val="both"/>
        <w:rPr>
          <w:rStyle w:val="normaltextrun"/>
          <w:lang w:val="en-US"/>
        </w:rPr>
      </w:pPr>
      <w:r w:rsidRPr="00602F08">
        <w:rPr>
          <w:rStyle w:val="normaltextrun"/>
          <w:lang w:val="en-US"/>
        </w:rPr>
        <w:t xml:space="preserve">Ms McLean has 12 years’ experience </w:t>
      </w:r>
      <w:r w:rsidR="00AE7796">
        <w:rPr>
          <w:rStyle w:val="normaltextrun"/>
          <w:lang w:val="en-US"/>
        </w:rPr>
        <w:t>as Contract Compliance Manager</w:t>
      </w:r>
      <w:r w:rsidRPr="00602F08">
        <w:rPr>
          <w:rStyle w:val="normaltextrun"/>
          <w:lang w:val="en-US"/>
        </w:rPr>
        <w:t xml:space="preserve"> according to a witness statement made </w:t>
      </w:r>
      <w:r w:rsidR="004D2EE1" w:rsidRPr="00602F08">
        <w:rPr>
          <w:rStyle w:val="normaltextrun"/>
          <w:lang w:val="en-US"/>
        </w:rPr>
        <w:t xml:space="preserve">in other proceedings </w:t>
      </w:r>
      <w:r w:rsidRPr="00602F08">
        <w:rPr>
          <w:rStyle w:val="normaltextrun"/>
          <w:lang w:val="en-US"/>
        </w:rPr>
        <w:t>on 18 July 2019.</w:t>
      </w:r>
      <w:r w:rsidR="00FF0E5B" w:rsidRPr="00602F08">
        <w:rPr>
          <w:rStyle w:val="normaltextrun"/>
          <w:lang w:val="en-US"/>
        </w:rPr>
        <w:t xml:space="preserve"> </w:t>
      </w:r>
      <w:r w:rsidR="00AE7796">
        <w:rPr>
          <w:rStyle w:val="normaltextrun"/>
          <w:lang w:val="en-US"/>
        </w:rPr>
        <w:t>Her</w:t>
      </w:r>
      <w:r w:rsidR="00D76626" w:rsidRPr="00AE7796">
        <w:rPr>
          <w:rStyle w:val="normaltextrun"/>
          <w:lang w:val="en-US"/>
        </w:rPr>
        <w:t xml:space="preserve"> evidence is that</w:t>
      </w:r>
      <w:r w:rsidRPr="00AE7796">
        <w:rPr>
          <w:rStyle w:val="normaltextrun"/>
          <w:lang w:val="en-US"/>
        </w:rPr>
        <w:t xml:space="preserve"> “</w:t>
      </w:r>
      <w:r w:rsidR="00D76626" w:rsidRPr="00AE7796">
        <w:rPr>
          <w:rStyle w:val="normaltextrun"/>
          <w:lang w:val="en-US"/>
        </w:rPr>
        <w:t>[t]h</w:t>
      </w:r>
      <w:r w:rsidRPr="00AE7796">
        <w:rPr>
          <w:rStyle w:val="normaltextrun"/>
          <w:lang w:val="en-US"/>
        </w:rPr>
        <w:t>e list of outstanding requests is regularly monitored at least weekly by the person responsible for bedspace allocation, including those that [the provider] has not been able to fulfil previously and reviewed against the list of [bedspaces where a person is required to vacate the property]”</w:t>
      </w:r>
    </w:p>
    <w:p w14:paraId="42CBA731" w14:textId="77777777" w:rsidR="004014B5" w:rsidRPr="00602F08" w:rsidRDefault="004014B5" w:rsidP="00B6212D">
      <w:pPr>
        <w:pStyle w:val="ListParagraph"/>
        <w:jc w:val="both"/>
        <w:rPr>
          <w:rStyle w:val="normaltextrun"/>
          <w:rFonts w:ascii="Times New Roman" w:hAnsi="Times New Roman"/>
          <w:lang w:val="en-US"/>
        </w:rPr>
      </w:pPr>
    </w:p>
    <w:p w14:paraId="0CD5B1C5" w14:textId="77777777" w:rsidR="009A5005" w:rsidRPr="00602F08" w:rsidRDefault="004014B5" w:rsidP="00B6212D">
      <w:pPr>
        <w:numPr>
          <w:ilvl w:val="0"/>
          <w:numId w:val="10"/>
        </w:numPr>
        <w:jc w:val="both"/>
        <w:rPr>
          <w:rStyle w:val="normaltextrun"/>
          <w:lang w:val="en-US"/>
        </w:rPr>
      </w:pPr>
      <w:r w:rsidRPr="00602F08">
        <w:rPr>
          <w:rStyle w:val="normaltextrun"/>
          <w:lang w:val="en-US"/>
        </w:rPr>
        <w:t xml:space="preserve">McLean </w:t>
      </w:r>
      <w:r w:rsidR="009A5005" w:rsidRPr="00602F08">
        <w:rPr>
          <w:rStyle w:val="normaltextrun"/>
          <w:lang w:val="en-US"/>
        </w:rPr>
        <w:t>continues</w:t>
      </w:r>
      <w:r w:rsidRPr="00602F08">
        <w:rPr>
          <w:rStyle w:val="normaltextrun"/>
          <w:lang w:val="en-US"/>
        </w:rPr>
        <w:t xml:space="preserve">: </w:t>
      </w:r>
    </w:p>
    <w:p w14:paraId="7D1177A7" w14:textId="77777777" w:rsidR="009A5005" w:rsidRPr="00602F08" w:rsidRDefault="009A5005" w:rsidP="00B6212D">
      <w:pPr>
        <w:pStyle w:val="ListParagraph"/>
        <w:rPr>
          <w:rStyle w:val="normaltextrun"/>
          <w:rFonts w:ascii="Times New Roman" w:hAnsi="Times New Roman"/>
          <w:lang w:val="en-US"/>
        </w:rPr>
      </w:pPr>
    </w:p>
    <w:p w14:paraId="19D9CFFB" w14:textId="3DD2F01A" w:rsidR="004014B5" w:rsidRPr="00602F08" w:rsidRDefault="004014B5" w:rsidP="00B6212D">
      <w:pPr>
        <w:ind w:left="1440"/>
        <w:jc w:val="both"/>
        <w:rPr>
          <w:rStyle w:val="normaltextrun"/>
          <w:lang w:val="en-US"/>
        </w:rPr>
      </w:pPr>
      <w:r w:rsidRPr="00602F08">
        <w:rPr>
          <w:rStyle w:val="normaltextrun"/>
          <w:lang w:val="en-US"/>
        </w:rPr>
        <w:t xml:space="preserve">“All requests for accommodation that have been requested by UKVI remain within [the provider’s] systems until such time as we are able to propose an address that meets the needs of the applicant or UKVI decides it no longer needs the accommodation. This list is continuously reviewed by the person responsible for allocating bedspace and the priority is given to those cases that have been waiting the longest or that UKVI have requested need to be dealt with as a matter of urgency. [The provider] has regular weekly case list reviews and monthly contract management meetings where </w:t>
      </w:r>
      <w:r w:rsidR="000B5C7E">
        <w:rPr>
          <w:rStyle w:val="normaltextrun"/>
          <w:lang w:val="en-US"/>
        </w:rPr>
        <w:t>pro</w:t>
      </w:r>
      <w:r w:rsidRPr="00602F08">
        <w:rPr>
          <w:rStyle w:val="normaltextrun"/>
          <w:lang w:val="en-US"/>
        </w:rPr>
        <w:t>gress against the cases are discussed at length</w:t>
      </w:r>
      <w:r w:rsidR="00C80D76" w:rsidRPr="00602F08">
        <w:rPr>
          <w:rStyle w:val="normaltextrun"/>
          <w:lang w:val="en-US"/>
        </w:rPr>
        <w:t>.</w:t>
      </w:r>
      <w:r w:rsidR="002072C2">
        <w:rPr>
          <w:rStyle w:val="normaltextrun"/>
          <w:lang w:val="en-US"/>
        </w:rPr>
        <w:t xml:space="preserve"> …</w:t>
      </w:r>
      <w:r w:rsidRPr="00602F08">
        <w:rPr>
          <w:rStyle w:val="normaltextrun"/>
          <w:lang w:val="en-US"/>
        </w:rPr>
        <w:t>”</w:t>
      </w:r>
    </w:p>
    <w:p w14:paraId="01BC904C" w14:textId="309D1D3F" w:rsidR="00014F1D" w:rsidRPr="00602F08" w:rsidRDefault="00014F1D" w:rsidP="00B6212D">
      <w:pPr>
        <w:jc w:val="both"/>
        <w:rPr>
          <w:rStyle w:val="normaltextrun"/>
          <w:lang w:val="en-US"/>
        </w:rPr>
      </w:pPr>
    </w:p>
    <w:p w14:paraId="1677C617" w14:textId="77777777" w:rsidR="00D951F3" w:rsidRPr="00602F08" w:rsidRDefault="00D951F3" w:rsidP="00B6212D">
      <w:pPr>
        <w:jc w:val="both"/>
        <w:rPr>
          <w:rStyle w:val="normaltextrun"/>
          <w:lang w:val="en-US"/>
        </w:rPr>
      </w:pPr>
    </w:p>
    <w:p w14:paraId="68329995" w14:textId="6A48B109" w:rsidR="006304A4" w:rsidRPr="00602F08" w:rsidRDefault="00D87471" w:rsidP="00B6212D">
      <w:pPr>
        <w:ind w:firstLine="687"/>
        <w:jc w:val="both"/>
        <w:rPr>
          <w:rStyle w:val="normaltextrun"/>
          <w:u w:val="single"/>
          <w:lang w:val="en-US"/>
        </w:rPr>
      </w:pPr>
      <w:r w:rsidRPr="00602F08">
        <w:rPr>
          <w:rStyle w:val="normaltextrun"/>
          <w:u w:val="single"/>
          <w:lang w:val="en-US"/>
        </w:rPr>
        <w:t xml:space="preserve">“Hourly </w:t>
      </w:r>
      <w:r w:rsidR="00014F1D" w:rsidRPr="00602F08">
        <w:rPr>
          <w:rStyle w:val="normaltextrun"/>
          <w:u w:val="single"/>
          <w:lang w:val="en-US"/>
        </w:rPr>
        <w:t>checks”</w:t>
      </w:r>
    </w:p>
    <w:p w14:paraId="540C871B" w14:textId="77777777" w:rsidR="004014B5" w:rsidRPr="00602F08" w:rsidRDefault="004014B5" w:rsidP="00B6212D">
      <w:pPr>
        <w:jc w:val="both"/>
        <w:rPr>
          <w:rStyle w:val="normaltextrun"/>
          <w:lang w:val="en-US"/>
        </w:rPr>
      </w:pPr>
    </w:p>
    <w:p w14:paraId="224F461E" w14:textId="08BB0346" w:rsidR="004014B5" w:rsidRPr="00602F08" w:rsidRDefault="004014B5" w:rsidP="00B6212D">
      <w:pPr>
        <w:numPr>
          <w:ilvl w:val="0"/>
          <w:numId w:val="10"/>
        </w:numPr>
        <w:jc w:val="both"/>
        <w:rPr>
          <w:rStyle w:val="normaltextrun"/>
          <w:lang w:val="en-US"/>
        </w:rPr>
      </w:pPr>
      <w:r w:rsidRPr="00602F08">
        <w:rPr>
          <w:rStyle w:val="normaltextrun"/>
          <w:lang w:val="en-US"/>
        </w:rPr>
        <w:t xml:space="preserve">Mr Bilbao’s </w:t>
      </w:r>
      <w:bookmarkStart w:id="4" w:name="_Hlk56334474"/>
      <w:r w:rsidRPr="00602F08">
        <w:rPr>
          <w:rStyle w:val="normaltextrun"/>
          <w:lang w:val="en-US"/>
        </w:rPr>
        <w:t>evidence included the statement that “In practice, Home Office employees check for changes of request status every hour”.</w:t>
      </w:r>
      <w:r w:rsidR="005E4C4A" w:rsidRPr="00602F08">
        <w:rPr>
          <w:rStyle w:val="normaltextrun"/>
          <w:lang w:val="en-US"/>
        </w:rPr>
        <w:t xml:space="preserve"> </w:t>
      </w:r>
    </w:p>
    <w:p w14:paraId="69612694" w14:textId="0BF72FC8" w:rsidR="00D87471" w:rsidRPr="00602F08" w:rsidRDefault="00D87471" w:rsidP="00B6212D">
      <w:pPr>
        <w:jc w:val="both"/>
        <w:rPr>
          <w:rStyle w:val="normaltextrun"/>
          <w:lang w:val="en-US"/>
        </w:rPr>
      </w:pPr>
    </w:p>
    <w:p w14:paraId="24F0D3D0" w14:textId="77777777" w:rsidR="00D951F3" w:rsidRPr="00602F08" w:rsidRDefault="00D951F3" w:rsidP="00B6212D">
      <w:pPr>
        <w:jc w:val="both"/>
        <w:rPr>
          <w:rStyle w:val="normaltextrun"/>
          <w:u w:val="single"/>
          <w:lang w:val="en-US"/>
        </w:rPr>
      </w:pPr>
    </w:p>
    <w:p w14:paraId="33B75CE0" w14:textId="056939D5" w:rsidR="00D87471" w:rsidRPr="00602F08" w:rsidRDefault="00D87471" w:rsidP="00B6212D">
      <w:pPr>
        <w:ind w:firstLine="687"/>
        <w:jc w:val="both"/>
        <w:rPr>
          <w:rStyle w:val="normaltextrun"/>
          <w:u w:val="single"/>
          <w:lang w:val="en-US"/>
        </w:rPr>
      </w:pPr>
      <w:r w:rsidRPr="00602F08">
        <w:rPr>
          <w:rStyle w:val="normaltextrun"/>
          <w:u w:val="single"/>
          <w:lang w:val="en-US"/>
        </w:rPr>
        <w:t>Disability monitoring</w:t>
      </w:r>
    </w:p>
    <w:p w14:paraId="1300001A" w14:textId="77777777" w:rsidR="00D87471" w:rsidRPr="00602F08" w:rsidRDefault="00D87471" w:rsidP="00B6212D">
      <w:pPr>
        <w:jc w:val="both"/>
        <w:rPr>
          <w:rStyle w:val="normaltextrun"/>
          <w:lang w:val="en-US"/>
        </w:rPr>
      </w:pPr>
    </w:p>
    <w:p w14:paraId="3BACA141" w14:textId="77777777" w:rsidR="00A57F35" w:rsidRPr="00602F08" w:rsidRDefault="00A57F35" w:rsidP="00B6212D">
      <w:pPr>
        <w:numPr>
          <w:ilvl w:val="0"/>
          <w:numId w:val="10"/>
        </w:numPr>
        <w:jc w:val="both"/>
        <w:rPr>
          <w:rStyle w:val="normaltextrun"/>
          <w:lang w:val="en-US"/>
        </w:rPr>
      </w:pPr>
      <w:r w:rsidRPr="00602F08">
        <w:rPr>
          <w:rStyle w:val="normaltextrun"/>
          <w:lang w:val="en-US"/>
        </w:rPr>
        <w:t xml:space="preserve">By way of amendment to her Detailed Grounds of Defence the Secretary of State said, at paragraph 104(v): </w:t>
      </w:r>
    </w:p>
    <w:p w14:paraId="68B30DDB" w14:textId="77777777" w:rsidR="00A57F35" w:rsidRPr="00602F08" w:rsidRDefault="00A57F35" w:rsidP="00B6212D">
      <w:pPr>
        <w:pStyle w:val="ListParagraph"/>
        <w:jc w:val="both"/>
        <w:rPr>
          <w:rStyle w:val="normaltextrun"/>
          <w:rFonts w:ascii="Times New Roman" w:hAnsi="Times New Roman"/>
          <w:lang w:val="en-US"/>
        </w:rPr>
      </w:pPr>
    </w:p>
    <w:p w14:paraId="4324BD98" w14:textId="10F9B8A9" w:rsidR="00A57F35" w:rsidRPr="00602F08" w:rsidRDefault="00A57F35" w:rsidP="00B6212D">
      <w:pPr>
        <w:ind w:left="720" w:firstLine="720"/>
        <w:jc w:val="both"/>
        <w:rPr>
          <w:rStyle w:val="normaltextrun"/>
          <w:lang w:val="en-US"/>
        </w:rPr>
      </w:pPr>
      <w:r w:rsidRPr="00602F08">
        <w:rPr>
          <w:rStyle w:val="normaltextrun"/>
          <w:lang w:val="en-US"/>
        </w:rPr>
        <w:t xml:space="preserve">“It is correct that there is no monitoring of the numbers of disabled applicants.”. </w:t>
      </w:r>
    </w:p>
    <w:bookmarkEnd w:id="4"/>
    <w:p w14:paraId="65D6A192" w14:textId="77777777" w:rsidR="003958CB" w:rsidRPr="00602F08" w:rsidRDefault="003958CB" w:rsidP="00B6212D">
      <w:pPr>
        <w:jc w:val="both"/>
        <w:rPr>
          <w:lang w:val="en-US"/>
        </w:rPr>
      </w:pPr>
    </w:p>
    <w:p w14:paraId="3C3EE265" w14:textId="3708C0BB" w:rsidR="00D951F3" w:rsidRPr="00602F08" w:rsidRDefault="003958CB" w:rsidP="00B6212D">
      <w:pPr>
        <w:jc w:val="both"/>
        <w:rPr>
          <w:b/>
          <w:bCs/>
          <w:u w:val="single"/>
          <w:lang w:val="en-US"/>
        </w:rPr>
      </w:pPr>
      <w:r w:rsidRPr="00602F08">
        <w:rPr>
          <w:lang w:val="en-US"/>
        </w:rPr>
        <w:tab/>
      </w:r>
    </w:p>
    <w:p w14:paraId="65A4B2BF" w14:textId="20545030" w:rsidR="00EA590C" w:rsidRPr="00602F08" w:rsidRDefault="003958CB" w:rsidP="00B6212D">
      <w:pPr>
        <w:jc w:val="both"/>
        <w:rPr>
          <w:rStyle w:val="normaltextrun"/>
          <w:u w:val="single"/>
          <w:lang w:val="en-US"/>
        </w:rPr>
      </w:pPr>
      <w:r w:rsidRPr="00602F08">
        <w:rPr>
          <w:rStyle w:val="normaltextrun"/>
          <w:lang w:val="en-US"/>
        </w:rPr>
        <w:tab/>
      </w:r>
      <w:r w:rsidRPr="00602F08">
        <w:rPr>
          <w:rStyle w:val="normaltextrun"/>
          <w:u w:val="single"/>
          <w:lang w:val="en-US"/>
        </w:rPr>
        <w:t>Enforcement</w:t>
      </w:r>
    </w:p>
    <w:p w14:paraId="5D94F85C" w14:textId="77777777" w:rsidR="003958CB" w:rsidRPr="00602F08" w:rsidRDefault="003958CB" w:rsidP="00B6212D">
      <w:pPr>
        <w:jc w:val="both"/>
        <w:rPr>
          <w:rStyle w:val="normaltextrun"/>
          <w:u w:val="single"/>
          <w:lang w:val="en-US"/>
        </w:rPr>
      </w:pPr>
    </w:p>
    <w:p w14:paraId="256799C3" w14:textId="5960E4D5" w:rsidR="00E55121" w:rsidRPr="00602F08" w:rsidRDefault="00D3730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As </w:t>
      </w:r>
      <w:r w:rsidR="00781426" w:rsidRPr="00602F08">
        <w:rPr>
          <w:rStyle w:val="normaltextrun"/>
          <w:rFonts w:ascii="Times New Roman" w:hAnsi="Times New Roman"/>
          <w:lang w:val="en-US"/>
        </w:rPr>
        <w:t xml:space="preserve">recorded above, according to officials, </w:t>
      </w:r>
      <w:r w:rsidR="00EA590C" w:rsidRPr="00602F08">
        <w:rPr>
          <w:rStyle w:val="normaltextrun"/>
          <w:rFonts w:ascii="Times New Roman" w:hAnsi="Times New Roman"/>
          <w:lang w:val="en-US"/>
        </w:rPr>
        <w:t xml:space="preserve">service credits may be deducted following </w:t>
      </w:r>
      <w:r w:rsidR="00F80BDE" w:rsidRPr="00602F08">
        <w:rPr>
          <w:rStyle w:val="normaltextrun"/>
          <w:rFonts w:ascii="Times New Roman" w:hAnsi="Times New Roman"/>
          <w:lang w:val="en-US"/>
        </w:rPr>
        <w:t xml:space="preserve">the </w:t>
      </w:r>
      <w:r w:rsidR="00EA590C" w:rsidRPr="00602F08">
        <w:rPr>
          <w:rStyle w:val="normaltextrun"/>
          <w:rFonts w:ascii="Times New Roman" w:hAnsi="Times New Roman"/>
          <w:lang w:val="en-US"/>
        </w:rPr>
        <w:t>CMG meeting, and that a request for a service improvement plan would be made “where persistent failures occur for three consecutive months”.</w:t>
      </w:r>
    </w:p>
    <w:p w14:paraId="7E885AEC" w14:textId="77777777" w:rsidR="00B906EF" w:rsidRPr="00602F08" w:rsidRDefault="00B906EF" w:rsidP="00B6212D">
      <w:pPr>
        <w:pStyle w:val="ListParagraph"/>
        <w:ind w:left="687"/>
        <w:jc w:val="both"/>
        <w:rPr>
          <w:rStyle w:val="normaltextrun"/>
          <w:rFonts w:ascii="Times New Roman" w:hAnsi="Times New Roman"/>
          <w:lang w:val="en-US"/>
        </w:rPr>
      </w:pPr>
    </w:p>
    <w:p w14:paraId="365BFB9B" w14:textId="77777777" w:rsidR="00636E06" w:rsidRPr="00602F08" w:rsidRDefault="00A80E39" w:rsidP="00B6212D">
      <w:pPr>
        <w:pStyle w:val="ListParagraph"/>
        <w:widowControl w:val="0"/>
        <w:numPr>
          <w:ilvl w:val="0"/>
          <w:numId w:val="10"/>
        </w:numPr>
        <w:tabs>
          <w:tab w:val="left" w:pos="688"/>
        </w:tabs>
        <w:autoSpaceDE w:val="0"/>
        <w:autoSpaceDN w:val="0"/>
        <w:spacing w:before="11"/>
        <w:jc w:val="both"/>
        <w:rPr>
          <w:rFonts w:ascii="Times New Roman" w:hAnsi="Times New Roman"/>
        </w:rPr>
      </w:pPr>
      <w:r w:rsidRPr="00602F08">
        <w:rPr>
          <w:rFonts w:ascii="Times New Roman" w:hAnsi="Times New Roman"/>
        </w:rPr>
        <w:t xml:space="preserve">An Order of Pepperall J </w:t>
      </w:r>
      <w:r w:rsidR="006A5BE3" w:rsidRPr="00602F08">
        <w:rPr>
          <w:rFonts w:ascii="Times New Roman" w:hAnsi="Times New Roman"/>
        </w:rPr>
        <w:t xml:space="preserve">made in these proceedings </w:t>
      </w:r>
      <w:r w:rsidRPr="00602F08">
        <w:rPr>
          <w:rFonts w:ascii="Times New Roman" w:hAnsi="Times New Roman"/>
        </w:rPr>
        <w:t>required disclosure of “the number of service credits due to be deducted, as per Schedule 13 section 4 of the Contract, and actually deducted in respect of the Dispersal Accommodation service area (KPI 2) since inception of the Contract”.</w:t>
      </w:r>
      <w:r w:rsidR="00B3032D" w:rsidRPr="00602F08">
        <w:rPr>
          <w:rFonts w:ascii="Times New Roman" w:hAnsi="Times New Roman"/>
        </w:rPr>
        <w:t xml:space="preserve"> </w:t>
      </w:r>
    </w:p>
    <w:p w14:paraId="01D042ED" w14:textId="77777777" w:rsidR="00636E06" w:rsidRPr="00602F08" w:rsidRDefault="00636E06" w:rsidP="00B6212D">
      <w:pPr>
        <w:pStyle w:val="ListParagraph"/>
        <w:rPr>
          <w:rStyle w:val="normaltextrun"/>
          <w:rFonts w:ascii="Times New Roman" w:hAnsi="Times New Roman"/>
          <w:lang w:val="en-US"/>
        </w:rPr>
      </w:pPr>
    </w:p>
    <w:p w14:paraId="36071B70" w14:textId="3B834788" w:rsidR="00B906EF" w:rsidRPr="00602F08" w:rsidRDefault="00DD1F98" w:rsidP="00B6212D">
      <w:pPr>
        <w:pStyle w:val="ListParagraph"/>
        <w:widowControl w:val="0"/>
        <w:numPr>
          <w:ilvl w:val="0"/>
          <w:numId w:val="10"/>
        </w:numPr>
        <w:tabs>
          <w:tab w:val="left" w:pos="688"/>
        </w:tabs>
        <w:autoSpaceDE w:val="0"/>
        <w:autoSpaceDN w:val="0"/>
        <w:spacing w:before="11"/>
        <w:jc w:val="both"/>
        <w:rPr>
          <w:rStyle w:val="normaltextrun"/>
          <w:rFonts w:ascii="Times New Roman" w:hAnsi="Times New Roman"/>
        </w:rPr>
      </w:pPr>
      <w:r w:rsidRPr="00602F08">
        <w:rPr>
          <w:rStyle w:val="normaltextrun"/>
          <w:rFonts w:ascii="Times New Roman" w:hAnsi="Times New Roman"/>
          <w:lang w:val="en-US"/>
        </w:rPr>
        <w:t>The following information was provided on 22 May 2020:</w:t>
      </w:r>
    </w:p>
    <w:p w14:paraId="27856D08" w14:textId="77777777" w:rsidR="00DD1F98" w:rsidRPr="00602F08" w:rsidRDefault="00DD1F98" w:rsidP="00B6212D">
      <w:pPr>
        <w:pStyle w:val="ListParagraph"/>
        <w:jc w:val="both"/>
        <w:rPr>
          <w:rStyle w:val="normaltextrun"/>
          <w:rFonts w:ascii="Times New Roman" w:hAnsi="Times New Roman"/>
        </w:rPr>
      </w:pPr>
    </w:p>
    <w:p w14:paraId="1CDD7FCE" w14:textId="52942711" w:rsidR="00CE621F" w:rsidRPr="00602F08" w:rsidRDefault="00DD1F98" w:rsidP="00B6212D">
      <w:pPr>
        <w:widowControl w:val="0"/>
        <w:tabs>
          <w:tab w:val="left" w:pos="688"/>
        </w:tabs>
        <w:autoSpaceDE w:val="0"/>
        <w:autoSpaceDN w:val="0"/>
        <w:spacing w:before="11"/>
        <w:ind w:left="1440" w:hanging="1440"/>
        <w:jc w:val="both"/>
        <w:rPr>
          <w:rStyle w:val="normaltextrun"/>
        </w:rPr>
      </w:pPr>
      <w:r w:rsidRPr="00602F08">
        <w:rPr>
          <w:rStyle w:val="normaltextrun"/>
        </w:rPr>
        <w:tab/>
      </w:r>
      <w:r w:rsidRPr="00602F08">
        <w:rPr>
          <w:rStyle w:val="normaltextrun"/>
        </w:rPr>
        <w:tab/>
        <w:t>“</w:t>
      </w:r>
      <w:r w:rsidR="00DE1D94" w:rsidRPr="00602F08">
        <w:rPr>
          <w:rStyle w:val="normaltextrun"/>
        </w:rPr>
        <w:t>Service Credit</w:t>
      </w:r>
      <w:r w:rsidR="00F02B58" w:rsidRPr="00602F08">
        <w:rPr>
          <w:rStyle w:val="normaltextrun"/>
        </w:rPr>
        <w:t xml:space="preserve"> points d</w:t>
      </w:r>
      <w:r w:rsidR="001B1828" w:rsidRPr="00602F08">
        <w:rPr>
          <w:rStyle w:val="normaltextrun"/>
        </w:rPr>
        <w:t>ue</w:t>
      </w:r>
      <w:r w:rsidR="00F02B58" w:rsidRPr="00602F08">
        <w:rPr>
          <w:rStyle w:val="normaltextrun"/>
        </w:rPr>
        <w:t xml:space="preserve"> to be deducted </w:t>
      </w:r>
      <w:r w:rsidR="003D5997" w:rsidRPr="00602F08">
        <w:rPr>
          <w:rStyle w:val="normaltextrun"/>
        </w:rPr>
        <w:t>re Serco in respect of KPI 2 performance under the Contract (which covers the Midlands and the East of England regions)</w:t>
      </w:r>
      <w:r w:rsidR="00CE621F" w:rsidRPr="00602F08">
        <w:rPr>
          <w:rStyle w:val="normaltextrun"/>
        </w:rPr>
        <w:t xml:space="preserve"> – September 2019 to February 2020 (NB: information about the number of any Service Credit points due to be deducted for March 2020 is not yet available – although preliminary indications are that the number is likely to be low).</w:t>
      </w:r>
    </w:p>
    <w:p w14:paraId="66388DB8" w14:textId="77777777" w:rsidR="00CE621F" w:rsidRPr="00602F08" w:rsidRDefault="00CE621F" w:rsidP="00B6212D">
      <w:pPr>
        <w:widowControl w:val="0"/>
        <w:tabs>
          <w:tab w:val="left" w:pos="688"/>
        </w:tabs>
        <w:autoSpaceDE w:val="0"/>
        <w:autoSpaceDN w:val="0"/>
        <w:spacing w:before="11"/>
        <w:jc w:val="both"/>
        <w:rPr>
          <w:rStyle w:val="normaltextrun"/>
        </w:rPr>
      </w:pPr>
    </w:p>
    <w:p w14:paraId="58574881" w14:textId="350D4759" w:rsidR="00DD1F98" w:rsidRPr="00602F08" w:rsidRDefault="00CE621F" w:rsidP="00B6212D">
      <w:pPr>
        <w:widowControl w:val="0"/>
        <w:tabs>
          <w:tab w:val="left" w:pos="688"/>
        </w:tabs>
        <w:autoSpaceDE w:val="0"/>
        <w:autoSpaceDN w:val="0"/>
        <w:spacing w:before="11"/>
        <w:jc w:val="both"/>
        <w:rPr>
          <w:rStyle w:val="normaltextrun"/>
        </w:rPr>
      </w:pPr>
      <w:r w:rsidRPr="00602F08">
        <w:rPr>
          <w:rStyle w:val="normaltextrun"/>
        </w:rPr>
        <w:tab/>
      </w:r>
      <w:r w:rsidRPr="00602F08">
        <w:rPr>
          <w:rStyle w:val="normaltextrun"/>
        </w:rPr>
        <w:tab/>
      </w:r>
      <w:r w:rsidRPr="00602F08">
        <w:rPr>
          <w:rStyle w:val="normaltextrun"/>
        </w:rPr>
        <w:tab/>
      </w:r>
      <w:r w:rsidRPr="00602F08">
        <w:rPr>
          <w:rStyle w:val="normaltextrun"/>
          <w:u w:val="single"/>
        </w:rPr>
        <w:t>Month</w:t>
      </w:r>
      <w:r w:rsidRPr="00602F08">
        <w:rPr>
          <w:rStyle w:val="normaltextrun"/>
        </w:rPr>
        <w:tab/>
      </w:r>
      <w:r w:rsidRPr="00602F08">
        <w:rPr>
          <w:rStyle w:val="normaltextrun"/>
        </w:rPr>
        <w:tab/>
      </w:r>
      <w:r w:rsidRPr="00602F08">
        <w:rPr>
          <w:rStyle w:val="normaltextrun"/>
        </w:rPr>
        <w:tab/>
      </w:r>
      <w:r w:rsidRPr="00602F08">
        <w:rPr>
          <w:rStyle w:val="normaltextrun"/>
        </w:rPr>
        <w:tab/>
      </w:r>
      <w:r w:rsidRPr="00602F08">
        <w:rPr>
          <w:rStyle w:val="normaltextrun"/>
        </w:rPr>
        <w:tab/>
      </w:r>
      <w:r w:rsidRPr="00602F08">
        <w:rPr>
          <w:rStyle w:val="normaltextrun"/>
          <w:u w:val="single"/>
        </w:rPr>
        <w:t>Service credit points due to be deducted</w:t>
      </w:r>
      <w:r w:rsidR="00DE1D94" w:rsidRPr="00602F08">
        <w:rPr>
          <w:rStyle w:val="normaltextrun"/>
        </w:rPr>
        <w:t xml:space="preserve"> </w:t>
      </w:r>
    </w:p>
    <w:p w14:paraId="5976F57A" w14:textId="1FEBC11B" w:rsidR="00CE621F" w:rsidRPr="00602F08" w:rsidRDefault="00CE621F" w:rsidP="00B6212D">
      <w:pPr>
        <w:widowControl w:val="0"/>
        <w:tabs>
          <w:tab w:val="left" w:pos="688"/>
        </w:tabs>
        <w:autoSpaceDE w:val="0"/>
        <w:autoSpaceDN w:val="0"/>
        <w:spacing w:before="11"/>
        <w:jc w:val="both"/>
        <w:rPr>
          <w:rStyle w:val="normaltextrun"/>
        </w:rPr>
      </w:pPr>
      <w:r w:rsidRPr="00602F08">
        <w:rPr>
          <w:rStyle w:val="normaltextrun"/>
        </w:rPr>
        <w:tab/>
      </w:r>
      <w:r w:rsidRPr="00602F08">
        <w:rPr>
          <w:rStyle w:val="normaltextrun"/>
        </w:rPr>
        <w:tab/>
      </w:r>
      <w:r w:rsidRPr="00602F08">
        <w:rPr>
          <w:rStyle w:val="normaltextrun"/>
        </w:rPr>
        <w:tab/>
        <w:t>September 2019</w:t>
      </w:r>
      <w:r w:rsidRPr="00602F08">
        <w:rPr>
          <w:rStyle w:val="normaltextrun"/>
        </w:rPr>
        <w:tab/>
      </w:r>
      <w:r w:rsidRPr="00602F08">
        <w:rPr>
          <w:rStyle w:val="normaltextrun"/>
        </w:rPr>
        <w:tab/>
      </w:r>
      <w:r w:rsidRPr="00602F08">
        <w:rPr>
          <w:rStyle w:val="normaltextrun"/>
        </w:rPr>
        <w:tab/>
        <w:t>1,250</w:t>
      </w:r>
    </w:p>
    <w:p w14:paraId="325BE01B" w14:textId="27CEA92B" w:rsidR="00CE621F" w:rsidRPr="00602F08" w:rsidRDefault="00CE621F" w:rsidP="00B6212D">
      <w:pPr>
        <w:widowControl w:val="0"/>
        <w:tabs>
          <w:tab w:val="left" w:pos="688"/>
        </w:tabs>
        <w:autoSpaceDE w:val="0"/>
        <w:autoSpaceDN w:val="0"/>
        <w:spacing w:before="11"/>
        <w:jc w:val="both"/>
        <w:rPr>
          <w:rStyle w:val="normaltextrun"/>
        </w:rPr>
      </w:pPr>
      <w:r w:rsidRPr="00602F08">
        <w:rPr>
          <w:rStyle w:val="normaltextrun"/>
        </w:rPr>
        <w:tab/>
      </w:r>
      <w:r w:rsidRPr="00602F08">
        <w:rPr>
          <w:rStyle w:val="normaltextrun"/>
        </w:rPr>
        <w:tab/>
      </w:r>
      <w:r w:rsidRPr="00602F08">
        <w:rPr>
          <w:rStyle w:val="normaltextrun"/>
        </w:rPr>
        <w:tab/>
        <w:t>October 2019</w:t>
      </w:r>
      <w:r w:rsidRPr="00602F08">
        <w:rPr>
          <w:rStyle w:val="normaltextrun"/>
        </w:rPr>
        <w:tab/>
      </w:r>
      <w:r w:rsidRPr="00602F08">
        <w:rPr>
          <w:rStyle w:val="normaltextrun"/>
        </w:rPr>
        <w:tab/>
      </w:r>
      <w:r w:rsidRPr="00602F08">
        <w:rPr>
          <w:rStyle w:val="normaltextrun"/>
        </w:rPr>
        <w:tab/>
      </w:r>
      <w:r w:rsidRPr="00602F08">
        <w:rPr>
          <w:rStyle w:val="normaltextrun"/>
        </w:rPr>
        <w:tab/>
        <w:t>1,250</w:t>
      </w:r>
    </w:p>
    <w:p w14:paraId="3E3C9AE2" w14:textId="60E65114" w:rsidR="00CE621F" w:rsidRPr="00602F08" w:rsidRDefault="00CE621F" w:rsidP="00B6212D">
      <w:pPr>
        <w:widowControl w:val="0"/>
        <w:tabs>
          <w:tab w:val="left" w:pos="688"/>
        </w:tabs>
        <w:autoSpaceDE w:val="0"/>
        <w:autoSpaceDN w:val="0"/>
        <w:spacing w:before="11"/>
        <w:jc w:val="both"/>
        <w:rPr>
          <w:rStyle w:val="normaltextrun"/>
        </w:rPr>
      </w:pPr>
      <w:r w:rsidRPr="00602F08">
        <w:rPr>
          <w:rStyle w:val="normaltextrun"/>
        </w:rPr>
        <w:tab/>
      </w:r>
      <w:r w:rsidRPr="00602F08">
        <w:rPr>
          <w:rStyle w:val="normaltextrun"/>
        </w:rPr>
        <w:tab/>
      </w:r>
      <w:r w:rsidRPr="00602F08">
        <w:rPr>
          <w:rStyle w:val="normaltextrun"/>
        </w:rPr>
        <w:tab/>
      </w:r>
      <w:r w:rsidR="009832E5" w:rsidRPr="00602F08">
        <w:rPr>
          <w:rStyle w:val="normaltextrun"/>
        </w:rPr>
        <w:t>November 2019</w:t>
      </w:r>
      <w:r w:rsidR="009832E5" w:rsidRPr="00602F08">
        <w:rPr>
          <w:rStyle w:val="normaltextrun"/>
        </w:rPr>
        <w:tab/>
      </w:r>
      <w:r w:rsidR="009832E5" w:rsidRPr="00602F08">
        <w:rPr>
          <w:rStyle w:val="normaltextrun"/>
        </w:rPr>
        <w:tab/>
      </w:r>
      <w:r w:rsidR="009832E5" w:rsidRPr="00602F08">
        <w:rPr>
          <w:rStyle w:val="normaltextrun"/>
        </w:rPr>
        <w:tab/>
        <w:t>1,250</w:t>
      </w:r>
    </w:p>
    <w:p w14:paraId="7EC16246" w14:textId="0E8DB505" w:rsidR="009832E5" w:rsidRPr="00602F08" w:rsidRDefault="009832E5" w:rsidP="00B6212D">
      <w:pPr>
        <w:widowControl w:val="0"/>
        <w:tabs>
          <w:tab w:val="left" w:pos="688"/>
        </w:tabs>
        <w:autoSpaceDE w:val="0"/>
        <w:autoSpaceDN w:val="0"/>
        <w:spacing w:before="11"/>
        <w:jc w:val="both"/>
        <w:rPr>
          <w:rStyle w:val="normaltextrun"/>
        </w:rPr>
      </w:pPr>
      <w:r w:rsidRPr="00602F08">
        <w:rPr>
          <w:rStyle w:val="normaltextrun"/>
        </w:rPr>
        <w:tab/>
      </w:r>
      <w:r w:rsidRPr="00602F08">
        <w:rPr>
          <w:rStyle w:val="normaltextrun"/>
        </w:rPr>
        <w:tab/>
      </w:r>
      <w:r w:rsidRPr="00602F08">
        <w:rPr>
          <w:rStyle w:val="normaltextrun"/>
        </w:rPr>
        <w:tab/>
        <w:t>December 2019</w:t>
      </w:r>
      <w:r w:rsidRPr="00602F08">
        <w:rPr>
          <w:rStyle w:val="normaltextrun"/>
        </w:rPr>
        <w:tab/>
      </w:r>
      <w:r w:rsidRPr="00602F08">
        <w:rPr>
          <w:rStyle w:val="normaltextrun"/>
        </w:rPr>
        <w:tab/>
      </w:r>
      <w:r w:rsidRPr="00602F08">
        <w:rPr>
          <w:rStyle w:val="normaltextrun"/>
        </w:rPr>
        <w:tab/>
        <w:t>250</w:t>
      </w:r>
    </w:p>
    <w:p w14:paraId="6D66442D" w14:textId="730C8527" w:rsidR="009832E5" w:rsidRPr="00602F08" w:rsidRDefault="009832E5" w:rsidP="00B6212D">
      <w:pPr>
        <w:widowControl w:val="0"/>
        <w:tabs>
          <w:tab w:val="left" w:pos="688"/>
        </w:tabs>
        <w:autoSpaceDE w:val="0"/>
        <w:autoSpaceDN w:val="0"/>
        <w:spacing w:before="11"/>
        <w:jc w:val="both"/>
        <w:rPr>
          <w:rStyle w:val="normaltextrun"/>
        </w:rPr>
      </w:pPr>
      <w:r w:rsidRPr="00602F08">
        <w:rPr>
          <w:rStyle w:val="normaltextrun"/>
        </w:rPr>
        <w:tab/>
      </w:r>
      <w:r w:rsidRPr="00602F08">
        <w:rPr>
          <w:rStyle w:val="normaltextrun"/>
        </w:rPr>
        <w:tab/>
      </w:r>
      <w:r w:rsidRPr="00602F08">
        <w:rPr>
          <w:rStyle w:val="normaltextrun"/>
        </w:rPr>
        <w:tab/>
        <w:t>January 2020</w:t>
      </w:r>
      <w:r w:rsidRPr="00602F08">
        <w:rPr>
          <w:rStyle w:val="normaltextrun"/>
        </w:rPr>
        <w:tab/>
      </w:r>
      <w:r w:rsidRPr="00602F08">
        <w:rPr>
          <w:rStyle w:val="normaltextrun"/>
        </w:rPr>
        <w:tab/>
      </w:r>
      <w:r w:rsidRPr="00602F08">
        <w:rPr>
          <w:rStyle w:val="normaltextrun"/>
        </w:rPr>
        <w:tab/>
      </w:r>
      <w:r w:rsidRPr="00602F08">
        <w:rPr>
          <w:rStyle w:val="normaltextrun"/>
        </w:rPr>
        <w:tab/>
        <w:t>550</w:t>
      </w:r>
    </w:p>
    <w:p w14:paraId="425D1909" w14:textId="20B699D7" w:rsidR="009832E5" w:rsidRPr="00602F08" w:rsidRDefault="009832E5" w:rsidP="00B6212D">
      <w:pPr>
        <w:widowControl w:val="0"/>
        <w:tabs>
          <w:tab w:val="left" w:pos="688"/>
        </w:tabs>
        <w:autoSpaceDE w:val="0"/>
        <w:autoSpaceDN w:val="0"/>
        <w:spacing w:before="11"/>
        <w:jc w:val="both"/>
        <w:rPr>
          <w:rStyle w:val="normaltextrun"/>
        </w:rPr>
      </w:pPr>
      <w:r w:rsidRPr="00602F08">
        <w:rPr>
          <w:rStyle w:val="normaltextrun"/>
        </w:rPr>
        <w:tab/>
      </w:r>
      <w:r w:rsidRPr="00602F08">
        <w:rPr>
          <w:rStyle w:val="normaltextrun"/>
        </w:rPr>
        <w:tab/>
      </w:r>
      <w:r w:rsidRPr="00602F08">
        <w:rPr>
          <w:rStyle w:val="normaltextrun"/>
        </w:rPr>
        <w:tab/>
        <w:t>February 2020</w:t>
      </w:r>
      <w:r w:rsidRPr="00602F08">
        <w:rPr>
          <w:rStyle w:val="normaltextrun"/>
        </w:rPr>
        <w:tab/>
      </w:r>
      <w:r w:rsidRPr="00602F08">
        <w:rPr>
          <w:rStyle w:val="normaltextrun"/>
        </w:rPr>
        <w:tab/>
      </w:r>
      <w:r w:rsidRPr="00602F08">
        <w:rPr>
          <w:rStyle w:val="normaltextrun"/>
        </w:rPr>
        <w:tab/>
      </w:r>
      <w:r w:rsidRPr="00602F08">
        <w:rPr>
          <w:rStyle w:val="normaltextrun"/>
        </w:rPr>
        <w:tab/>
        <w:t>0</w:t>
      </w:r>
    </w:p>
    <w:p w14:paraId="18388FCB" w14:textId="4CF12B8C" w:rsidR="00FD3D70" w:rsidRPr="00602F08" w:rsidRDefault="00FD3D70" w:rsidP="00B6212D">
      <w:pPr>
        <w:widowControl w:val="0"/>
        <w:tabs>
          <w:tab w:val="left" w:pos="688"/>
        </w:tabs>
        <w:autoSpaceDE w:val="0"/>
        <w:autoSpaceDN w:val="0"/>
        <w:spacing w:before="11"/>
        <w:jc w:val="both"/>
        <w:rPr>
          <w:rStyle w:val="normaltextrun"/>
        </w:rPr>
      </w:pPr>
    </w:p>
    <w:p w14:paraId="5B207AAA" w14:textId="1A87FC8D" w:rsidR="00FD3D70" w:rsidRPr="00602F08" w:rsidRDefault="00FD3D70" w:rsidP="00B6212D">
      <w:pPr>
        <w:widowControl w:val="0"/>
        <w:tabs>
          <w:tab w:val="left" w:pos="688"/>
        </w:tabs>
        <w:autoSpaceDE w:val="0"/>
        <w:autoSpaceDN w:val="0"/>
        <w:spacing w:before="11"/>
        <w:ind w:left="1440" w:hanging="1440"/>
        <w:jc w:val="both"/>
        <w:rPr>
          <w:rStyle w:val="normaltextrun"/>
        </w:rPr>
      </w:pPr>
      <w:r w:rsidRPr="00602F08">
        <w:rPr>
          <w:rStyle w:val="normaltextrun"/>
        </w:rPr>
        <w:tab/>
      </w:r>
      <w:r w:rsidRPr="00602F08">
        <w:rPr>
          <w:rStyle w:val="normaltextrun"/>
        </w:rPr>
        <w:tab/>
        <w:t xml:space="preserve">If any Service Credit </w:t>
      </w:r>
      <w:r w:rsidR="00B15878" w:rsidRPr="00602F08">
        <w:rPr>
          <w:rStyle w:val="normaltextrun"/>
        </w:rPr>
        <w:t>points are due to be deducted in respect of performance under any KPI, the Contract stipulates in detail the way in which the financial effect of that points deduction should be calculated. The Home Office has not yet made any financial deductions arising from the Service Credit points</w:t>
      </w:r>
      <w:r w:rsidR="00FA13FF" w:rsidRPr="00602F08">
        <w:rPr>
          <w:rStyle w:val="normaltextrun"/>
        </w:rPr>
        <w:t xml:space="preserve"> due to be deducted in the months identified above. As a consequence of issues arising from performance measurement</w:t>
      </w:r>
      <w:r w:rsidR="003C705F" w:rsidRPr="00602F08">
        <w:rPr>
          <w:rStyle w:val="normaltextrun"/>
        </w:rPr>
        <w:t xml:space="preserve"> processes under the Contract (which led to a review into how data is captured and collated for specific KPIs), the Home Office and Serco only arrived at an agreed position </w:t>
      </w:r>
      <w:r w:rsidR="0012581E" w:rsidRPr="00602F08">
        <w:rPr>
          <w:rStyle w:val="normaltextrun"/>
        </w:rPr>
        <w:t xml:space="preserve">re Service Credit deductions in March 2020. Events were then overtaken by the Covid-19 crisis. </w:t>
      </w:r>
      <w:r w:rsidR="00DA0D89" w:rsidRPr="00602F08">
        <w:rPr>
          <w:rStyle w:val="normaltextrun"/>
        </w:rPr>
        <w:t xml:space="preserve">Bearing in mind the potential impact of the Covid-19 crisis on Serco and noting the possibility </w:t>
      </w:r>
      <w:r w:rsidR="000E5B52" w:rsidRPr="00602F08">
        <w:rPr>
          <w:rStyle w:val="normaltextrun"/>
        </w:rPr>
        <w:t>of a further revision to the performance measurement processes (which may yet affect the relevant financial calculations</w:t>
      </w:r>
      <w:r w:rsidR="00E13248" w:rsidRPr="00602F08">
        <w:rPr>
          <w:rStyle w:val="normaltextrun"/>
        </w:rPr>
        <w:t>), the Home Office has agreed to Serco’s request to delay any financial deductions until July 2020. The Home Office will review the matter in June.”</w:t>
      </w:r>
    </w:p>
    <w:p w14:paraId="55DEADD8" w14:textId="77777777" w:rsidR="00EA590C" w:rsidRPr="00602F08" w:rsidRDefault="00EA590C" w:rsidP="00B6212D">
      <w:pPr>
        <w:widowControl w:val="0"/>
        <w:tabs>
          <w:tab w:val="left" w:pos="688"/>
        </w:tabs>
        <w:autoSpaceDE w:val="0"/>
        <w:autoSpaceDN w:val="0"/>
        <w:spacing w:before="11"/>
        <w:jc w:val="both"/>
        <w:rPr>
          <w:rStyle w:val="eop"/>
        </w:rPr>
      </w:pPr>
    </w:p>
    <w:p w14:paraId="5AC01581" w14:textId="11105695" w:rsidR="00EA590C" w:rsidRPr="00602F08" w:rsidRDefault="00EA590C" w:rsidP="00B6212D">
      <w:pPr>
        <w:pStyle w:val="ListParagraph"/>
        <w:widowControl w:val="0"/>
        <w:numPr>
          <w:ilvl w:val="0"/>
          <w:numId w:val="10"/>
        </w:numPr>
        <w:tabs>
          <w:tab w:val="left" w:pos="688"/>
        </w:tabs>
        <w:autoSpaceDE w:val="0"/>
        <w:autoSpaceDN w:val="0"/>
        <w:spacing w:before="11"/>
        <w:jc w:val="both"/>
        <w:rPr>
          <w:rStyle w:val="eop"/>
          <w:rFonts w:ascii="Times New Roman" w:hAnsi="Times New Roman"/>
        </w:rPr>
      </w:pPr>
      <w:r w:rsidRPr="00602F08">
        <w:rPr>
          <w:rStyle w:val="eop"/>
          <w:rFonts w:ascii="Times New Roman" w:hAnsi="Times New Roman"/>
        </w:rPr>
        <w:t>Evidence of Ms</w:t>
      </w:r>
      <w:r w:rsidR="00C957C3" w:rsidRPr="00602F08">
        <w:rPr>
          <w:rStyle w:val="eop"/>
          <w:rFonts w:ascii="Times New Roman" w:hAnsi="Times New Roman"/>
        </w:rPr>
        <w:t xml:space="preserve"> </w:t>
      </w:r>
      <w:r w:rsidRPr="00602F08">
        <w:rPr>
          <w:rStyle w:val="eop"/>
          <w:rFonts w:ascii="Times New Roman" w:hAnsi="Times New Roman"/>
        </w:rPr>
        <w:t xml:space="preserve">McLean gives a provider perspective. Her evidence appears to indicate that “the KPI regime” is the means by which “any issues regarding the failure of [the provider] to provide accommodation, that meets the requirements of any specific booking are dealt with”. </w:t>
      </w:r>
      <w:r w:rsidR="00C957C3" w:rsidRPr="00602F08">
        <w:rPr>
          <w:rStyle w:val="eop"/>
          <w:rFonts w:ascii="Times New Roman" w:hAnsi="Times New Roman"/>
        </w:rPr>
        <w:t>She adds</w:t>
      </w:r>
      <w:r w:rsidRPr="00602F08">
        <w:rPr>
          <w:rStyle w:val="eop"/>
          <w:rFonts w:ascii="Times New Roman" w:hAnsi="Times New Roman"/>
        </w:rPr>
        <w:t>: “All request for accommodation that have been requested by UKVI remain within [the providers’] systems until such time as we are able to propose an address that meets the needs of the applicant or UKVI decides it no longer needs the accommodation”.</w:t>
      </w:r>
    </w:p>
    <w:p w14:paraId="3AD63CFD" w14:textId="77777777" w:rsidR="0074567C" w:rsidRPr="00602F08" w:rsidRDefault="0074567C" w:rsidP="00B6212D">
      <w:pPr>
        <w:pStyle w:val="ListParagraph"/>
        <w:widowControl w:val="0"/>
        <w:tabs>
          <w:tab w:val="left" w:pos="688"/>
        </w:tabs>
        <w:autoSpaceDE w:val="0"/>
        <w:autoSpaceDN w:val="0"/>
        <w:spacing w:before="11"/>
        <w:ind w:left="687"/>
        <w:jc w:val="both"/>
        <w:rPr>
          <w:rStyle w:val="eop"/>
          <w:rFonts w:ascii="Times New Roman" w:hAnsi="Times New Roman"/>
        </w:rPr>
      </w:pPr>
    </w:p>
    <w:p w14:paraId="34D1CF57" w14:textId="46FEA29D" w:rsidR="0074567C" w:rsidRPr="00602F08" w:rsidRDefault="0074567C" w:rsidP="00B6212D">
      <w:pPr>
        <w:pStyle w:val="ListParagraph"/>
        <w:numPr>
          <w:ilvl w:val="0"/>
          <w:numId w:val="10"/>
        </w:numPr>
        <w:jc w:val="both"/>
        <w:rPr>
          <w:rStyle w:val="eop"/>
          <w:rFonts w:ascii="Times New Roman" w:hAnsi="Times New Roman"/>
          <w:lang w:val="en-US"/>
        </w:rPr>
      </w:pPr>
      <w:r w:rsidRPr="00602F08">
        <w:rPr>
          <w:rStyle w:val="eop"/>
          <w:rFonts w:ascii="Times New Roman" w:hAnsi="Times New Roman"/>
        </w:rPr>
        <w:t>Enforcement by way of later financial penalty provid</w:t>
      </w:r>
      <w:r w:rsidR="00CC702F" w:rsidRPr="00602F08">
        <w:rPr>
          <w:rStyle w:val="eop"/>
          <w:rFonts w:ascii="Times New Roman" w:hAnsi="Times New Roman"/>
        </w:rPr>
        <w:t>es</w:t>
      </w:r>
      <w:r w:rsidRPr="00602F08">
        <w:rPr>
          <w:rStyle w:val="eop"/>
          <w:rFonts w:ascii="Times New Roman" w:hAnsi="Times New Roman"/>
        </w:rPr>
        <w:t xml:space="preserve"> incentive to perform.</w:t>
      </w:r>
      <w:r w:rsidRPr="00602F08">
        <w:rPr>
          <w:rStyle w:val="normaltextrun"/>
          <w:rFonts w:ascii="Times New Roman" w:hAnsi="Times New Roman"/>
          <w:lang w:val="en-US"/>
        </w:rPr>
        <w:t xml:space="preserve"> </w:t>
      </w:r>
      <w:r w:rsidR="00CC702F" w:rsidRPr="00602F08">
        <w:rPr>
          <w:rStyle w:val="eop"/>
          <w:rFonts w:ascii="Times New Roman" w:hAnsi="Times New Roman"/>
        </w:rPr>
        <w:t>However</w:t>
      </w:r>
      <w:r w:rsidR="001F3E07" w:rsidRPr="00602F08">
        <w:rPr>
          <w:rStyle w:val="eop"/>
          <w:rFonts w:ascii="Times New Roman" w:hAnsi="Times New Roman"/>
        </w:rPr>
        <w:t>,</w:t>
      </w:r>
      <w:r w:rsidR="00CC702F" w:rsidRPr="00602F08">
        <w:rPr>
          <w:rStyle w:val="eop"/>
          <w:rFonts w:ascii="Times New Roman" w:hAnsi="Times New Roman"/>
        </w:rPr>
        <w:t xml:space="preserve"> i</w:t>
      </w:r>
      <w:r w:rsidRPr="00602F08">
        <w:rPr>
          <w:rStyle w:val="eop"/>
          <w:rFonts w:ascii="Times New Roman" w:hAnsi="Times New Roman"/>
        </w:rPr>
        <w:t xml:space="preserve">t is only enforcement that </w:t>
      </w:r>
      <w:r w:rsidR="008C0008" w:rsidRPr="00602F08">
        <w:rPr>
          <w:rStyle w:val="eop"/>
          <w:rFonts w:ascii="Times New Roman" w:hAnsi="Times New Roman"/>
        </w:rPr>
        <w:t xml:space="preserve">actually </w:t>
      </w:r>
      <w:r w:rsidRPr="00602F08">
        <w:rPr>
          <w:rStyle w:val="eop"/>
          <w:rFonts w:ascii="Times New Roman" w:hAnsi="Times New Roman"/>
        </w:rPr>
        <w:t xml:space="preserve">remedies a detected breach that brings about the accommodation required in a particular case. </w:t>
      </w:r>
      <w:r w:rsidR="00355775" w:rsidRPr="00602F08">
        <w:rPr>
          <w:rStyle w:val="eop"/>
          <w:rFonts w:ascii="Times New Roman" w:hAnsi="Times New Roman"/>
        </w:rPr>
        <w:t xml:space="preserve">The context is </w:t>
      </w:r>
      <w:r w:rsidR="00355775" w:rsidRPr="00602F08">
        <w:rPr>
          <w:rStyle w:val="normaltextrun"/>
          <w:rFonts w:ascii="Times New Roman" w:hAnsi="Times New Roman"/>
          <w:lang w:val="en-US"/>
        </w:rPr>
        <w:t>crucial</w:t>
      </w:r>
      <w:r w:rsidRPr="00602F08">
        <w:rPr>
          <w:rStyle w:val="normaltextrun"/>
          <w:rFonts w:ascii="Times New Roman" w:hAnsi="Times New Roman"/>
          <w:lang w:val="en-US"/>
        </w:rPr>
        <w:t>, i</w:t>
      </w:r>
      <w:r w:rsidR="00C906D1" w:rsidRPr="00602F08">
        <w:rPr>
          <w:rStyle w:val="normaltextrun"/>
          <w:rFonts w:ascii="Times New Roman" w:hAnsi="Times New Roman"/>
          <w:lang w:val="en-US"/>
        </w:rPr>
        <w:t>.</w:t>
      </w:r>
      <w:r w:rsidRPr="00602F08">
        <w:rPr>
          <w:rStyle w:val="normaltextrun"/>
          <w:rFonts w:ascii="Times New Roman" w:hAnsi="Times New Roman"/>
          <w:lang w:val="en-US"/>
        </w:rPr>
        <w:t>e</w:t>
      </w:r>
      <w:r w:rsidR="00C906D1" w:rsidRPr="00602F08">
        <w:rPr>
          <w:rStyle w:val="normaltextrun"/>
          <w:rFonts w:ascii="Times New Roman" w:hAnsi="Times New Roman"/>
          <w:lang w:val="en-US"/>
        </w:rPr>
        <w:t>.</w:t>
      </w:r>
      <w:r w:rsidRPr="00602F08">
        <w:rPr>
          <w:rStyle w:val="normaltextrun"/>
          <w:rFonts w:ascii="Times New Roman" w:hAnsi="Times New Roman"/>
          <w:lang w:val="en-US"/>
        </w:rPr>
        <w:t xml:space="preserve"> the performance by a Secretary of State of her accepted legal duty to claimants </w:t>
      </w:r>
      <w:r w:rsidRPr="00602F08">
        <w:rPr>
          <w:rFonts w:ascii="Times New Roman" w:hAnsi="Times New Roman"/>
        </w:rPr>
        <w:t>who are destitute, face an imminent prospect of serious suffering caused or materially aggravated by denial of shelter, food or the most basic necessities of life</w:t>
      </w:r>
      <w:r w:rsidRPr="00602F08">
        <w:rPr>
          <w:rStyle w:val="normaltextrun"/>
          <w:rFonts w:ascii="Times New Roman" w:hAnsi="Times New Roman"/>
          <w:lang w:val="en-US"/>
        </w:rPr>
        <w:t>, and are “highly vulnerable”.</w:t>
      </w:r>
      <w:r w:rsidR="000A1ADD" w:rsidRPr="00602F08">
        <w:rPr>
          <w:rStyle w:val="normaltextrun"/>
          <w:rFonts w:ascii="Times New Roman" w:hAnsi="Times New Roman"/>
          <w:lang w:val="en-US"/>
        </w:rPr>
        <w:t xml:space="preserve"> </w:t>
      </w:r>
      <w:r w:rsidR="00900665" w:rsidRPr="00602F08">
        <w:rPr>
          <w:rStyle w:val="normaltextrun"/>
          <w:rFonts w:ascii="Times New Roman" w:hAnsi="Times New Roman"/>
          <w:lang w:val="en-US"/>
        </w:rPr>
        <w:t xml:space="preserve">However suitable </w:t>
      </w:r>
      <w:r w:rsidR="00146ACB" w:rsidRPr="00602F08">
        <w:rPr>
          <w:rStyle w:val="normaltextrun"/>
          <w:rFonts w:ascii="Times New Roman" w:hAnsi="Times New Roman"/>
          <w:lang w:val="en-US"/>
        </w:rPr>
        <w:t>it might be in other contexts, it</w:t>
      </w:r>
      <w:r w:rsidR="0056376B" w:rsidRPr="00602F08">
        <w:rPr>
          <w:rStyle w:val="normaltextrun"/>
          <w:rFonts w:ascii="Times New Roman" w:hAnsi="Times New Roman"/>
          <w:lang w:val="en-US"/>
        </w:rPr>
        <w:t xml:space="preserve"> is not</w:t>
      </w:r>
      <w:r w:rsidR="00755699" w:rsidRPr="00602F08">
        <w:rPr>
          <w:rStyle w:val="normaltextrun"/>
          <w:rFonts w:ascii="Times New Roman" w:hAnsi="Times New Roman"/>
          <w:lang w:val="en-US"/>
        </w:rPr>
        <w:t>, for example,</w:t>
      </w:r>
      <w:r w:rsidR="0056376B" w:rsidRPr="00602F08">
        <w:rPr>
          <w:rStyle w:val="normaltextrun"/>
          <w:rFonts w:ascii="Times New Roman" w:hAnsi="Times New Roman"/>
          <w:lang w:val="en-US"/>
        </w:rPr>
        <w:t xml:space="preserve"> clear that </w:t>
      </w:r>
      <w:r w:rsidR="00755699" w:rsidRPr="00602F08">
        <w:rPr>
          <w:rStyle w:val="normaltextrun"/>
          <w:rFonts w:ascii="Times New Roman" w:hAnsi="Times New Roman"/>
          <w:lang w:val="en-US"/>
        </w:rPr>
        <w:t xml:space="preserve">expecting </w:t>
      </w:r>
      <w:r w:rsidR="0056376B" w:rsidRPr="00602F08">
        <w:rPr>
          <w:rStyle w:val="normaltextrun"/>
          <w:rFonts w:ascii="Times New Roman" w:hAnsi="Times New Roman"/>
          <w:lang w:val="en-US"/>
        </w:rPr>
        <w:t>a service improvement plan only after “persistent failures … for three consecutive months” appreciates the context.</w:t>
      </w:r>
    </w:p>
    <w:p w14:paraId="533B3DB9" w14:textId="22BBB441" w:rsidR="00EA590C" w:rsidRPr="00602F08" w:rsidRDefault="00EA590C" w:rsidP="00B6212D">
      <w:pPr>
        <w:jc w:val="both"/>
        <w:rPr>
          <w:lang w:val="en-US"/>
        </w:rPr>
      </w:pPr>
    </w:p>
    <w:p w14:paraId="15FEF77C" w14:textId="77777777" w:rsidR="00EA590C" w:rsidRPr="00602F08" w:rsidRDefault="00EA590C" w:rsidP="00B6212D">
      <w:pPr>
        <w:jc w:val="both"/>
        <w:rPr>
          <w:lang w:val="en-US"/>
        </w:rPr>
      </w:pPr>
    </w:p>
    <w:p w14:paraId="59FC28DD" w14:textId="77777777" w:rsidR="00C1685E" w:rsidRPr="00602F08" w:rsidRDefault="00C1685E" w:rsidP="00B6212D">
      <w:pPr>
        <w:jc w:val="both"/>
        <w:rPr>
          <w:lang w:val="en-US"/>
        </w:rPr>
      </w:pPr>
    </w:p>
    <w:p w14:paraId="23305E73" w14:textId="172124BC" w:rsidR="00CA20F7" w:rsidRPr="00602F08" w:rsidRDefault="00CA20F7" w:rsidP="00B6212D">
      <w:pPr>
        <w:pStyle w:val="BodyText"/>
        <w:jc w:val="both"/>
        <w:rPr>
          <w:b/>
          <w:bCs/>
          <w:u w:val="single"/>
        </w:rPr>
      </w:pPr>
      <w:r w:rsidRPr="00602F08">
        <w:rPr>
          <w:b/>
          <w:bCs/>
          <w:u w:val="single"/>
        </w:rPr>
        <w:t xml:space="preserve">Performance </w:t>
      </w:r>
      <w:r w:rsidR="00BD71E8" w:rsidRPr="00602F08">
        <w:rPr>
          <w:b/>
          <w:bCs/>
          <w:u w:val="single"/>
        </w:rPr>
        <w:t>of the</w:t>
      </w:r>
      <w:r w:rsidRPr="00602F08">
        <w:rPr>
          <w:b/>
          <w:bCs/>
          <w:u w:val="single"/>
        </w:rPr>
        <w:t xml:space="preserve"> duty</w:t>
      </w:r>
      <w:r w:rsidR="00BD71E8" w:rsidRPr="00602F08">
        <w:rPr>
          <w:b/>
          <w:bCs/>
          <w:u w:val="single"/>
        </w:rPr>
        <w:t xml:space="preserve"> to accommodate</w:t>
      </w:r>
    </w:p>
    <w:p w14:paraId="11A4201F" w14:textId="77777777" w:rsidR="00CA20F7" w:rsidRPr="00602F08" w:rsidRDefault="00CA20F7" w:rsidP="00B6212D">
      <w:pPr>
        <w:pStyle w:val="ListParagraph"/>
        <w:widowControl w:val="0"/>
        <w:tabs>
          <w:tab w:val="left" w:pos="1187"/>
        </w:tabs>
        <w:autoSpaceDE w:val="0"/>
        <w:autoSpaceDN w:val="0"/>
        <w:ind w:left="0"/>
        <w:contextualSpacing w:val="0"/>
        <w:jc w:val="both"/>
        <w:rPr>
          <w:rFonts w:ascii="Times New Roman" w:hAnsi="Times New Roman"/>
        </w:rPr>
      </w:pPr>
    </w:p>
    <w:p w14:paraId="63E9867E" w14:textId="71AF07BA" w:rsidR="00DC572F" w:rsidRPr="00602F08" w:rsidRDefault="00DC572F" w:rsidP="00B6212D">
      <w:pPr>
        <w:numPr>
          <w:ilvl w:val="0"/>
          <w:numId w:val="10"/>
        </w:numPr>
        <w:jc w:val="both"/>
        <w:rPr>
          <w:rStyle w:val="normaltextrun"/>
          <w:lang w:val="en-US"/>
        </w:rPr>
      </w:pPr>
      <w:r w:rsidRPr="00602F08">
        <w:rPr>
          <w:rStyle w:val="normaltextrun"/>
          <w:lang w:val="en-US"/>
        </w:rPr>
        <w:t>It is important to approach the evidence constructively and respectfully. This is an area in which many have been under pressure</w:t>
      </w:r>
      <w:r w:rsidR="003F2FEE" w:rsidRPr="00602F08">
        <w:rPr>
          <w:rStyle w:val="normaltextrun"/>
          <w:lang w:val="en-US"/>
        </w:rPr>
        <w:t>,</w:t>
      </w:r>
      <w:r w:rsidR="00BA177B" w:rsidRPr="00602F08">
        <w:rPr>
          <w:rStyle w:val="normaltextrun"/>
          <w:lang w:val="en-US"/>
        </w:rPr>
        <w:t xml:space="preserve"> on all sides,</w:t>
      </w:r>
      <w:r w:rsidR="003F2FEE" w:rsidRPr="00602F08">
        <w:rPr>
          <w:rStyle w:val="normaltextrun"/>
          <w:lang w:val="en-US"/>
        </w:rPr>
        <w:t xml:space="preserve"> </w:t>
      </w:r>
      <w:r w:rsidRPr="00602F08">
        <w:rPr>
          <w:rStyle w:val="normaltextrun"/>
          <w:lang w:val="en-US"/>
        </w:rPr>
        <w:t xml:space="preserve">especially more recently in light of the </w:t>
      </w:r>
      <w:r w:rsidR="00CE0664" w:rsidRPr="00602F08">
        <w:rPr>
          <w:rStyle w:val="normaltextrun"/>
          <w:lang w:val="en-US"/>
        </w:rPr>
        <w:t xml:space="preserve">Covid-19 </w:t>
      </w:r>
      <w:r w:rsidRPr="00602F08">
        <w:rPr>
          <w:rStyle w:val="normaltextrun"/>
          <w:lang w:val="en-US"/>
        </w:rPr>
        <w:t xml:space="preserve">pandemic. </w:t>
      </w:r>
    </w:p>
    <w:p w14:paraId="173C991C" w14:textId="77777777" w:rsidR="00DC572F" w:rsidRPr="00602F08" w:rsidRDefault="00DC572F" w:rsidP="00B6212D">
      <w:pPr>
        <w:ind w:left="687"/>
        <w:jc w:val="both"/>
        <w:rPr>
          <w:rStyle w:val="normaltextrun"/>
          <w:lang w:val="en-US"/>
        </w:rPr>
      </w:pPr>
    </w:p>
    <w:p w14:paraId="6070FD88" w14:textId="5D6D59C2" w:rsidR="00CA20F7" w:rsidRPr="00602F08" w:rsidRDefault="00DC572F" w:rsidP="00B6212D">
      <w:pPr>
        <w:pStyle w:val="ListParagraph"/>
        <w:widowControl w:val="0"/>
        <w:numPr>
          <w:ilvl w:val="0"/>
          <w:numId w:val="10"/>
        </w:numPr>
        <w:tabs>
          <w:tab w:val="left" w:pos="688"/>
        </w:tabs>
        <w:autoSpaceDE w:val="0"/>
        <w:autoSpaceDN w:val="0"/>
        <w:spacing w:before="11"/>
        <w:contextualSpacing w:val="0"/>
        <w:jc w:val="both"/>
        <w:rPr>
          <w:rStyle w:val="eop"/>
          <w:rFonts w:ascii="Times New Roman" w:hAnsi="Times New Roman"/>
        </w:rPr>
      </w:pPr>
      <w:r w:rsidRPr="00602F08">
        <w:rPr>
          <w:rStyle w:val="eop"/>
          <w:rFonts w:ascii="Times New Roman" w:hAnsi="Times New Roman"/>
        </w:rPr>
        <w:t>However, in</w:t>
      </w:r>
      <w:r w:rsidR="00CA20F7" w:rsidRPr="00602F08">
        <w:rPr>
          <w:rStyle w:val="eop"/>
          <w:rFonts w:ascii="Times New Roman" w:hAnsi="Times New Roman"/>
        </w:rPr>
        <w:t xml:space="preserve"> the case of each claimant </w:t>
      </w:r>
      <w:r w:rsidR="008D41BE" w:rsidRPr="00602F08">
        <w:rPr>
          <w:rStyle w:val="eop"/>
          <w:rFonts w:ascii="Times New Roman" w:hAnsi="Times New Roman"/>
        </w:rPr>
        <w:t>in these proceedings</w:t>
      </w:r>
      <w:r w:rsidR="00146ACB" w:rsidRPr="00602F08">
        <w:rPr>
          <w:rStyle w:val="eop"/>
          <w:rFonts w:ascii="Times New Roman" w:hAnsi="Times New Roman"/>
        </w:rPr>
        <w:t>,</w:t>
      </w:r>
      <w:r w:rsidR="008D41BE" w:rsidRPr="00602F08">
        <w:rPr>
          <w:rStyle w:val="eop"/>
          <w:rFonts w:ascii="Times New Roman" w:hAnsi="Times New Roman"/>
        </w:rPr>
        <w:t xml:space="preserve"> </w:t>
      </w:r>
      <w:r w:rsidR="00CA20F7" w:rsidRPr="00602F08">
        <w:rPr>
          <w:rStyle w:val="eop"/>
          <w:rFonts w:ascii="Times New Roman" w:hAnsi="Times New Roman"/>
        </w:rPr>
        <w:t xml:space="preserve">the periods in the Guide </w:t>
      </w:r>
      <w:r w:rsidR="0083707A" w:rsidRPr="00602F08">
        <w:rPr>
          <w:rStyle w:val="eop"/>
          <w:rFonts w:ascii="Times New Roman" w:hAnsi="Times New Roman"/>
        </w:rPr>
        <w:t xml:space="preserve">for the provision of accommodation </w:t>
      </w:r>
      <w:r w:rsidR="004A5C28" w:rsidRPr="00602F08">
        <w:rPr>
          <w:rStyle w:val="eop"/>
          <w:rFonts w:ascii="Times New Roman" w:hAnsi="Times New Roman"/>
        </w:rPr>
        <w:t xml:space="preserve">(of 24 hours up to 5-9 days) </w:t>
      </w:r>
      <w:r w:rsidR="00CA20F7" w:rsidRPr="00602F08">
        <w:rPr>
          <w:rStyle w:val="eop"/>
          <w:rFonts w:ascii="Times New Roman" w:hAnsi="Times New Roman"/>
        </w:rPr>
        <w:t>bor</w:t>
      </w:r>
      <w:r w:rsidR="00863448" w:rsidRPr="00602F08">
        <w:rPr>
          <w:rStyle w:val="eop"/>
          <w:rFonts w:ascii="Times New Roman" w:hAnsi="Times New Roman"/>
        </w:rPr>
        <w:t>e</w:t>
      </w:r>
      <w:r w:rsidR="00CA20F7" w:rsidRPr="00602F08">
        <w:rPr>
          <w:rStyle w:val="eop"/>
          <w:rFonts w:ascii="Times New Roman" w:hAnsi="Times New Roman"/>
        </w:rPr>
        <w:t xml:space="preserve"> no relation to what was experien</w:t>
      </w:r>
      <w:r w:rsidR="0044256E" w:rsidRPr="00602F08">
        <w:rPr>
          <w:rStyle w:val="eop"/>
          <w:rFonts w:ascii="Times New Roman" w:hAnsi="Times New Roman"/>
        </w:rPr>
        <w:t>ced</w:t>
      </w:r>
      <w:r w:rsidR="00C040F6" w:rsidRPr="00602F08">
        <w:rPr>
          <w:rStyle w:val="eop"/>
          <w:rFonts w:ascii="Times New Roman" w:hAnsi="Times New Roman"/>
        </w:rPr>
        <w:t xml:space="preserve"> (</w:t>
      </w:r>
      <w:r w:rsidR="00390473" w:rsidRPr="00602F08">
        <w:rPr>
          <w:rStyle w:val="eop"/>
          <w:rFonts w:ascii="Times New Roman" w:hAnsi="Times New Roman"/>
        </w:rPr>
        <w:t xml:space="preserve">45 </w:t>
      </w:r>
      <w:r w:rsidR="00996493" w:rsidRPr="00602F08">
        <w:rPr>
          <w:rStyle w:val="eop"/>
          <w:rFonts w:ascii="Times New Roman" w:hAnsi="Times New Roman"/>
        </w:rPr>
        <w:t>days up to 1</w:t>
      </w:r>
      <w:r w:rsidR="00390473" w:rsidRPr="00602F08">
        <w:rPr>
          <w:rStyle w:val="eop"/>
          <w:rFonts w:ascii="Times New Roman" w:hAnsi="Times New Roman"/>
        </w:rPr>
        <w:t xml:space="preserve">51 </w:t>
      </w:r>
      <w:r w:rsidR="00996493" w:rsidRPr="00602F08">
        <w:rPr>
          <w:rStyle w:val="eop"/>
          <w:rFonts w:ascii="Times New Roman" w:hAnsi="Times New Roman"/>
        </w:rPr>
        <w:t>days, with 9 months in the case of AA)</w:t>
      </w:r>
      <w:r w:rsidR="00CA20F7" w:rsidRPr="00602F08">
        <w:rPr>
          <w:rStyle w:val="eop"/>
          <w:rFonts w:ascii="Times New Roman" w:hAnsi="Times New Roman"/>
        </w:rPr>
        <w:t xml:space="preserve">. </w:t>
      </w:r>
      <w:r w:rsidR="00EF05E8" w:rsidRPr="00602F08">
        <w:rPr>
          <w:rStyle w:val="eop"/>
          <w:rFonts w:ascii="Times New Roman" w:hAnsi="Times New Roman"/>
        </w:rPr>
        <w:t xml:space="preserve">All the periods pre-date the pandemic, </w:t>
      </w:r>
      <w:r w:rsidR="00863448" w:rsidRPr="00602F08">
        <w:rPr>
          <w:rStyle w:val="eop"/>
          <w:rFonts w:ascii="Times New Roman" w:hAnsi="Times New Roman"/>
        </w:rPr>
        <w:t>and the pandemic</w:t>
      </w:r>
      <w:r w:rsidR="00EF05E8" w:rsidRPr="00602F08">
        <w:rPr>
          <w:rStyle w:val="eop"/>
          <w:rFonts w:ascii="Times New Roman" w:hAnsi="Times New Roman"/>
        </w:rPr>
        <w:t xml:space="preserve"> will </w:t>
      </w:r>
      <w:r w:rsidR="00A84947" w:rsidRPr="00602F08">
        <w:rPr>
          <w:rStyle w:val="eop"/>
          <w:rFonts w:ascii="Times New Roman" w:hAnsi="Times New Roman"/>
        </w:rPr>
        <w:t xml:space="preserve">only </w:t>
      </w:r>
      <w:r w:rsidR="00EF05E8" w:rsidRPr="00602F08">
        <w:rPr>
          <w:rStyle w:val="eop"/>
          <w:rFonts w:ascii="Times New Roman" w:hAnsi="Times New Roman"/>
        </w:rPr>
        <w:t>have added more challenges.</w:t>
      </w:r>
    </w:p>
    <w:p w14:paraId="69BB340E" w14:textId="77777777" w:rsidR="00CA20F7" w:rsidRPr="00602F08" w:rsidRDefault="00CA20F7" w:rsidP="00B6212D">
      <w:pPr>
        <w:widowControl w:val="0"/>
        <w:tabs>
          <w:tab w:val="left" w:pos="688"/>
        </w:tabs>
        <w:autoSpaceDE w:val="0"/>
        <w:autoSpaceDN w:val="0"/>
        <w:spacing w:before="11"/>
        <w:jc w:val="both"/>
        <w:rPr>
          <w:rStyle w:val="eop"/>
        </w:rPr>
      </w:pPr>
    </w:p>
    <w:p w14:paraId="4DC8DB45" w14:textId="77777777" w:rsidR="00CA20F7" w:rsidRPr="00602F08" w:rsidRDefault="00CA20F7" w:rsidP="00B6212D">
      <w:pPr>
        <w:pStyle w:val="ListParagraph"/>
        <w:widowControl w:val="0"/>
        <w:numPr>
          <w:ilvl w:val="0"/>
          <w:numId w:val="10"/>
        </w:numPr>
        <w:tabs>
          <w:tab w:val="left" w:pos="688"/>
        </w:tabs>
        <w:autoSpaceDE w:val="0"/>
        <w:autoSpaceDN w:val="0"/>
        <w:spacing w:before="11"/>
        <w:contextualSpacing w:val="0"/>
        <w:jc w:val="both"/>
        <w:rPr>
          <w:rStyle w:val="eop"/>
          <w:rFonts w:ascii="Times New Roman" w:hAnsi="Times New Roman"/>
        </w:rPr>
      </w:pPr>
      <w:r w:rsidRPr="00602F08">
        <w:rPr>
          <w:rStyle w:val="eop"/>
          <w:rFonts w:ascii="Times New Roman" w:hAnsi="Times New Roman"/>
        </w:rPr>
        <w:t>The claimants have adduced evidence that this experience is not confined to them. In evidence from Mr Paul Hook of Refugee Action:</w:t>
      </w:r>
    </w:p>
    <w:p w14:paraId="2D90CC45" w14:textId="77777777" w:rsidR="00CA20F7" w:rsidRPr="00602F08" w:rsidRDefault="00CA20F7" w:rsidP="00B6212D">
      <w:pPr>
        <w:ind w:left="687"/>
        <w:jc w:val="both"/>
        <w:rPr>
          <w:rStyle w:val="eop"/>
        </w:rPr>
      </w:pPr>
    </w:p>
    <w:p w14:paraId="26F9439E" w14:textId="77777777" w:rsidR="00CA20F7" w:rsidRPr="00602F08" w:rsidRDefault="00CA20F7" w:rsidP="00B6212D">
      <w:pPr>
        <w:ind w:left="1440"/>
        <w:jc w:val="both"/>
        <w:rPr>
          <w:rStyle w:val="eop"/>
        </w:rPr>
      </w:pPr>
      <w:r w:rsidRPr="00602F08">
        <w:rPr>
          <w:rStyle w:val="eop"/>
        </w:rPr>
        <w:t>“These delays are an extensive problem that has been ongoing for some time. This has not just had an impact on Refugee Action’s clients but also on failed asylum seekers more broadly within the sector. I have spoken to a number of experienced professionals within the sector who have also encountered delays to the provision of s.4 support, and am aware that this is an area of general concern.”</w:t>
      </w:r>
    </w:p>
    <w:p w14:paraId="43A3C1FD" w14:textId="77777777" w:rsidR="00CA20F7" w:rsidRPr="00602F08" w:rsidRDefault="00CA20F7" w:rsidP="00B6212D">
      <w:pPr>
        <w:jc w:val="both"/>
        <w:rPr>
          <w:rStyle w:val="eop"/>
        </w:rPr>
      </w:pPr>
    </w:p>
    <w:p w14:paraId="7F3711DF" w14:textId="7D167FBE" w:rsidR="003A1A63" w:rsidRPr="00602F08" w:rsidRDefault="00B7781B" w:rsidP="00B6212D">
      <w:pPr>
        <w:ind w:left="687"/>
        <w:jc w:val="both"/>
        <w:rPr>
          <w:rStyle w:val="eop"/>
        </w:rPr>
      </w:pPr>
      <w:r w:rsidRPr="00602F08">
        <w:rPr>
          <w:rStyle w:val="eop"/>
        </w:rPr>
        <w:t xml:space="preserve">There is further </w:t>
      </w:r>
      <w:r w:rsidR="000E2C78" w:rsidRPr="00602F08">
        <w:rPr>
          <w:rStyle w:val="eop"/>
        </w:rPr>
        <w:t xml:space="preserve">evidence from </w:t>
      </w:r>
      <w:r w:rsidRPr="00602F08">
        <w:rPr>
          <w:rStyle w:val="eop"/>
        </w:rPr>
        <w:t xml:space="preserve">Ms </w:t>
      </w:r>
      <w:r w:rsidR="003A1A63" w:rsidRPr="00602F08">
        <w:rPr>
          <w:rStyle w:val="eop"/>
        </w:rPr>
        <w:t xml:space="preserve">Stefania </w:t>
      </w:r>
      <w:r w:rsidR="0028509A" w:rsidRPr="00602F08">
        <w:rPr>
          <w:rStyle w:val="eop"/>
        </w:rPr>
        <w:t>Raschig</w:t>
      </w:r>
      <w:r w:rsidR="003A1A63" w:rsidRPr="00602F08">
        <w:rPr>
          <w:rStyle w:val="eop"/>
        </w:rPr>
        <w:t xml:space="preserve"> of the Refugee Support Service </w:t>
      </w:r>
      <w:r w:rsidRPr="00602F08">
        <w:rPr>
          <w:rStyle w:val="eop"/>
        </w:rPr>
        <w:t xml:space="preserve">and </w:t>
      </w:r>
      <w:r w:rsidR="000A0B49" w:rsidRPr="00602F08">
        <w:rPr>
          <w:rStyle w:val="eop"/>
        </w:rPr>
        <w:t>Ms Deborah Gubbay of Bristol Refugee Rights.</w:t>
      </w:r>
      <w:r w:rsidR="00275EDA" w:rsidRPr="00602F08">
        <w:rPr>
          <w:rStyle w:val="eop"/>
        </w:rPr>
        <w:t xml:space="preserve"> </w:t>
      </w:r>
      <w:r w:rsidR="008F407D" w:rsidRPr="00602F08">
        <w:rPr>
          <w:rStyle w:val="eop"/>
        </w:rPr>
        <w:t xml:space="preserve">All this evidence is informed evidence from those with </w:t>
      </w:r>
      <w:r w:rsidR="008900B7" w:rsidRPr="00602F08">
        <w:rPr>
          <w:rStyle w:val="eop"/>
        </w:rPr>
        <w:t xml:space="preserve">relevant </w:t>
      </w:r>
      <w:r w:rsidR="008F407D" w:rsidRPr="00602F08">
        <w:rPr>
          <w:rStyle w:val="eop"/>
        </w:rPr>
        <w:t>experience</w:t>
      </w:r>
      <w:r w:rsidR="008900B7" w:rsidRPr="00602F08">
        <w:rPr>
          <w:rStyle w:val="eop"/>
        </w:rPr>
        <w:t xml:space="preserve"> of what is happening</w:t>
      </w:r>
      <w:r w:rsidR="002F5455" w:rsidRPr="00602F08">
        <w:rPr>
          <w:rStyle w:val="eop"/>
        </w:rPr>
        <w:t>.</w:t>
      </w:r>
    </w:p>
    <w:p w14:paraId="2049D1F2" w14:textId="77777777" w:rsidR="000E2C78" w:rsidRPr="00602F08" w:rsidRDefault="000E2C78" w:rsidP="00B6212D">
      <w:pPr>
        <w:ind w:left="687"/>
        <w:jc w:val="both"/>
        <w:rPr>
          <w:rStyle w:val="eop"/>
        </w:rPr>
      </w:pPr>
    </w:p>
    <w:p w14:paraId="7C55EC96" w14:textId="493F6671" w:rsidR="00CA20F7" w:rsidRPr="00602F08" w:rsidRDefault="00CA20F7" w:rsidP="00B6212D">
      <w:pPr>
        <w:numPr>
          <w:ilvl w:val="0"/>
          <w:numId w:val="10"/>
        </w:numPr>
        <w:jc w:val="both"/>
        <w:rPr>
          <w:rStyle w:val="eop"/>
        </w:rPr>
      </w:pPr>
      <w:r w:rsidRPr="00602F08">
        <w:rPr>
          <w:rStyle w:val="eop"/>
        </w:rPr>
        <w:t>Ms Polly Glynn</w:t>
      </w:r>
      <w:r w:rsidR="00191AF9" w:rsidRPr="00602F08">
        <w:rPr>
          <w:rStyle w:val="eop"/>
        </w:rPr>
        <w:t xml:space="preserve">, </w:t>
      </w:r>
      <w:r w:rsidR="00E05F3D" w:rsidRPr="00602F08">
        <w:rPr>
          <w:rStyle w:val="eop"/>
        </w:rPr>
        <w:t xml:space="preserve">one of the solicitors representing </w:t>
      </w:r>
      <w:r w:rsidRPr="00602F08">
        <w:rPr>
          <w:rStyle w:val="eop"/>
        </w:rPr>
        <w:t>the claimants</w:t>
      </w:r>
      <w:r w:rsidR="00E05F3D" w:rsidRPr="00602F08">
        <w:rPr>
          <w:rStyle w:val="eop"/>
        </w:rPr>
        <w:t>,</w:t>
      </w:r>
      <w:r w:rsidR="0023237C" w:rsidRPr="00602F08">
        <w:rPr>
          <w:rStyle w:val="eop"/>
        </w:rPr>
        <w:t xml:space="preserve"> highlights</w:t>
      </w:r>
      <w:r w:rsidRPr="00602F08">
        <w:rPr>
          <w:rStyle w:val="eop"/>
        </w:rPr>
        <w:t>:</w:t>
      </w:r>
    </w:p>
    <w:p w14:paraId="076222FE" w14:textId="77777777" w:rsidR="00CA20F7" w:rsidRPr="00602F08" w:rsidRDefault="00CA20F7" w:rsidP="00B6212D">
      <w:pPr>
        <w:ind w:left="687"/>
        <w:jc w:val="both"/>
        <w:rPr>
          <w:rStyle w:val="eop"/>
        </w:rPr>
      </w:pPr>
    </w:p>
    <w:p w14:paraId="60A26CA3" w14:textId="6FEEF205" w:rsidR="00CF7CB0" w:rsidRPr="00602F08" w:rsidRDefault="00CA20F7" w:rsidP="00B6212D">
      <w:pPr>
        <w:ind w:left="1440"/>
        <w:jc w:val="both"/>
        <w:rPr>
          <w:rStyle w:val="eop"/>
        </w:rPr>
      </w:pPr>
      <w:r w:rsidRPr="00602F08">
        <w:rPr>
          <w:rStyle w:val="eop"/>
        </w:rPr>
        <w:t>“</w:t>
      </w:r>
      <w:r w:rsidR="0023237C" w:rsidRPr="00602F08">
        <w:rPr>
          <w:rStyle w:val="eop"/>
        </w:rPr>
        <w:t xml:space="preserve">… </w:t>
      </w:r>
      <w:r w:rsidRPr="00602F08">
        <w:rPr>
          <w:rStyle w:val="eop"/>
        </w:rPr>
        <w:t>clients who do not have access to advisors who can prepare pre-action letters, or to solicitors who are able to take the cases on, remain for long periods without accommodation.”</w:t>
      </w:r>
    </w:p>
    <w:p w14:paraId="0DE4450C" w14:textId="66DFD6DA" w:rsidR="00CF7CB0" w:rsidRPr="00602F08" w:rsidRDefault="00CF7CB0" w:rsidP="00B6212D">
      <w:pPr>
        <w:jc w:val="both"/>
        <w:rPr>
          <w:rStyle w:val="eop"/>
        </w:rPr>
      </w:pPr>
      <w:r w:rsidRPr="00602F08">
        <w:rPr>
          <w:rStyle w:val="eop"/>
        </w:rPr>
        <w:tab/>
      </w:r>
    </w:p>
    <w:p w14:paraId="3442552B" w14:textId="392CA0D1" w:rsidR="00CA7F5C" w:rsidRPr="00602F08" w:rsidRDefault="00CA7F5C" w:rsidP="00B6212D">
      <w:pPr>
        <w:ind w:left="720" w:hanging="720"/>
        <w:jc w:val="both"/>
        <w:rPr>
          <w:rStyle w:val="normaltextrun"/>
        </w:rPr>
      </w:pPr>
      <w:r w:rsidRPr="00602F08">
        <w:rPr>
          <w:rStyle w:val="eop"/>
        </w:rPr>
        <w:tab/>
        <w:t>Ms Glynn also highlights the delays for those who do access advisors</w:t>
      </w:r>
      <w:r w:rsidR="00EF14A8" w:rsidRPr="00602F08">
        <w:rPr>
          <w:rStyle w:val="eop"/>
        </w:rPr>
        <w:t>:</w:t>
      </w:r>
      <w:r w:rsidR="001C0CEF" w:rsidRPr="00602F08">
        <w:rPr>
          <w:rStyle w:val="eop"/>
        </w:rPr>
        <w:t xml:space="preserve"> </w:t>
      </w:r>
      <w:r w:rsidR="00EF14A8" w:rsidRPr="00602F08">
        <w:rPr>
          <w:rStyle w:val="eop"/>
        </w:rPr>
        <w:t>l</w:t>
      </w:r>
      <w:r w:rsidR="00EA241A" w:rsidRPr="00602F08">
        <w:rPr>
          <w:rStyle w:val="eop"/>
        </w:rPr>
        <w:t>egal aid application</w:t>
      </w:r>
      <w:r w:rsidR="00754FBB" w:rsidRPr="00602F08">
        <w:rPr>
          <w:rStyle w:val="eop"/>
        </w:rPr>
        <w:t>s</w:t>
      </w:r>
      <w:r w:rsidR="00EA241A" w:rsidRPr="00602F08">
        <w:rPr>
          <w:rStyle w:val="eop"/>
        </w:rPr>
        <w:t xml:space="preserve">, pre-action correspondence, and sometimes proceedings, </w:t>
      </w:r>
      <w:r w:rsidR="00754FBB" w:rsidRPr="00602F08">
        <w:rPr>
          <w:rStyle w:val="eop"/>
        </w:rPr>
        <w:t>all take time.</w:t>
      </w:r>
      <w:r w:rsidR="006A4B2B" w:rsidRPr="00602F08">
        <w:rPr>
          <w:rStyle w:val="eop"/>
        </w:rPr>
        <w:t xml:space="preserve"> </w:t>
      </w:r>
      <w:r w:rsidR="0003056C" w:rsidRPr="00602F08">
        <w:rPr>
          <w:rStyle w:val="eop"/>
        </w:rPr>
        <w:t>Ultimately</w:t>
      </w:r>
      <w:r w:rsidR="006A4B2B" w:rsidRPr="00602F08">
        <w:rPr>
          <w:rStyle w:val="eop"/>
        </w:rPr>
        <w:t xml:space="preserve"> </w:t>
      </w:r>
      <w:r w:rsidR="009C0148" w:rsidRPr="00602F08">
        <w:rPr>
          <w:rStyle w:val="eop"/>
        </w:rPr>
        <w:t>the performance of the duty</w:t>
      </w:r>
      <w:r w:rsidR="006A4B2B" w:rsidRPr="00602F08">
        <w:rPr>
          <w:rStyle w:val="eop"/>
        </w:rPr>
        <w:t xml:space="preserve"> </w:t>
      </w:r>
      <w:r w:rsidR="0003056C" w:rsidRPr="00602F08">
        <w:rPr>
          <w:rStyle w:val="eop"/>
        </w:rPr>
        <w:t>may be</w:t>
      </w:r>
      <w:r w:rsidR="006A4B2B" w:rsidRPr="00602F08">
        <w:rPr>
          <w:rStyle w:val="eop"/>
        </w:rPr>
        <w:t xml:space="preserve"> achieved</w:t>
      </w:r>
      <w:r w:rsidR="00B22B0F" w:rsidRPr="00602F08">
        <w:rPr>
          <w:rStyle w:val="eop"/>
        </w:rPr>
        <w:t xml:space="preserve">, but through </w:t>
      </w:r>
      <w:r w:rsidR="00691770" w:rsidRPr="00602F08">
        <w:rPr>
          <w:rStyle w:val="eop"/>
        </w:rPr>
        <w:t>pressure to prioritise the particular case</w:t>
      </w:r>
      <w:r w:rsidR="00A64DD4" w:rsidRPr="00602F08">
        <w:rPr>
          <w:rStyle w:val="eop"/>
        </w:rPr>
        <w:t xml:space="preserve"> over others</w:t>
      </w:r>
      <w:r w:rsidR="009C0148" w:rsidRPr="00602F08">
        <w:rPr>
          <w:rStyle w:val="eop"/>
        </w:rPr>
        <w:t>.</w:t>
      </w:r>
      <w:r w:rsidR="0085705F" w:rsidRPr="00602F08">
        <w:rPr>
          <w:rStyle w:val="eop"/>
        </w:rPr>
        <w:t xml:space="preserve"> Again</w:t>
      </w:r>
      <w:r w:rsidR="00A208B6" w:rsidRPr="00602F08">
        <w:rPr>
          <w:rStyle w:val="eop"/>
        </w:rPr>
        <w:t>,</w:t>
      </w:r>
      <w:r w:rsidR="0085705F" w:rsidRPr="00602F08">
        <w:rPr>
          <w:rStyle w:val="eop"/>
        </w:rPr>
        <w:t xml:space="preserve"> this is informed evidence from someone with relevant experience of what is happening.</w:t>
      </w:r>
    </w:p>
    <w:p w14:paraId="7F931DA1" w14:textId="77777777" w:rsidR="00CF7CB0" w:rsidRPr="00602F08" w:rsidRDefault="00CF7CB0" w:rsidP="00B6212D">
      <w:pPr>
        <w:jc w:val="both"/>
        <w:rPr>
          <w:rStyle w:val="normaltextrun"/>
        </w:rPr>
      </w:pPr>
    </w:p>
    <w:p w14:paraId="066DA1ED" w14:textId="5FC1C2D3" w:rsidR="00CA20F7" w:rsidRPr="00602F08" w:rsidRDefault="00025EA2"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lang w:val="en-US"/>
        </w:rPr>
        <w:t>System-wide f</w:t>
      </w:r>
      <w:r w:rsidR="00CA20F7" w:rsidRPr="00602F08">
        <w:rPr>
          <w:rStyle w:val="normaltextrun"/>
          <w:rFonts w:ascii="Times New Roman" w:hAnsi="Times New Roman"/>
          <w:lang w:val="en-US"/>
        </w:rPr>
        <w:t xml:space="preserve">igures </w:t>
      </w:r>
      <w:r w:rsidR="00361928" w:rsidRPr="00602F08">
        <w:rPr>
          <w:rStyle w:val="normaltextrun"/>
          <w:rFonts w:ascii="Times New Roman" w:hAnsi="Times New Roman"/>
          <w:lang w:val="en-US"/>
        </w:rPr>
        <w:t xml:space="preserve">were </w:t>
      </w:r>
      <w:r w:rsidR="00CA20F7" w:rsidRPr="00602F08">
        <w:rPr>
          <w:rStyle w:val="normaltextrun"/>
          <w:rFonts w:ascii="Times New Roman" w:hAnsi="Times New Roman"/>
          <w:lang w:val="en-US"/>
        </w:rPr>
        <w:t xml:space="preserve">provided to the Court </w:t>
      </w:r>
      <w:r w:rsidR="00B7272A" w:rsidRPr="00602F08">
        <w:rPr>
          <w:rStyle w:val="normaltextrun"/>
          <w:rFonts w:ascii="Times New Roman" w:hAnsi="Times New Roman"/>
          <w:lang w:val="en-US"/>
        </w:rPr>
        <w:t>on behalf of</w:t>
      </w:r>
      <w:r w:rsidR="00CA20F7" w:rsidRPr="00602F08">
        <w:rPr>
          <w:rStyle w:val="normaltextrun"/>
          <w:rFonts w:ascii="Times New Roman" w:hAnsi="Times New Roman"/>
          <w:lang w:val="en-US"/>
        </w:rPr>
        <w:t xml:space="preserve"> the Secretary of State. </w:t>
      </w:r>
      <w:r w:rsidR="00757642" w:rsidRPr="00602F08">
        <w:rPr>
          <w:rStyle w:val="normaltextrun"/>
          <w:rFonts w:ascii="Times New Roman" w:hAnsi="Times New Roman"/>
          <w:lang w:val="en-US"/>
        </w:rPr>
        <w:t xml:space="preserve">In final </w:t>
      </w:r>
      <w:r w:rsidR="00767A5A" w:rsidRPr="00602F08">
        <w:rPr>
          <w:rStyle w:val="normaltextrun"/>
          <w:rFonts w:ascii="Times New Roman" w:hAnsi="Times New Roman"/>
          <w:lang w:val="en-US"/>
        </w:rPr>
        <w:t>form</w:t>
      </w:r>
      <w:r w:rsidR="006862AF" w:rsidRPr="00602F08">
        <w:rPr>
          <w:rStyle w:val="normaltextrun"/>
          <w:rFonts w:ascii="Times New Roman" w:hAnsi="Times New Roman"/>
          <w:lang w:val="en-US"/>
        </w:rPr>
        <w:t xml:space="preserve"> </w:t>
      </w:r>
      <w:r w:rsidR="0069424C" w:rsidRPr="00602F08">
        <w:rPr>
          <w:rStyle w:val="normaltextrun"/>
          <w:rFonts w:ascii="Times New Roman" w:hAnsi="Times New Roman"/>
          <w:lang w:val="en-US"/>
        </w:rPr>
        <w:t xml:space="preserve">as provided </w:t>
      </w:r>
      <w:r w:rsidR="00B85BF7" w:rsidRPr="00602F08">
        <w:rPr>
          <w:rStyle w:val="normaltextrun"/>
          <w:rFonts w:ascii="Times New Roman" w:hAnsi="Times New Roman"/>
          <w:lang w:val="en-US"/>
        </w:rPr>
        <w:t xml:space="preserve">at the </w:t>
      </w:r>
      <w:r w:rsidR="00EE05DA" w:rsidRPr="00602F08">
        <w:rPr>
          <w:rStyle w:val="normaltextrun"/>
          <w:rFonts w:ascii="Times New Roman" w:hAnsi="Times New Roman"/>
          <w:lang w:val="en-US"/>
        </w:rPr>
        <w:t xml:space="preserve">oral </w:t>
      </w:r>
      <w:r w:rsidR="00B85BF7" w:rsidRPr="00602F08">
        <w:rPr>
          <w:rStyle w:val="normaltextrun"/>
          <w:rFonts w:ascii="Times New Roman" w:hAnsi="Times New Roman"/>
          <w:lang w:val="en-US"/>
        </w:rPr>
        <w:t>hearing in</w:t>
      </w:r>
      <w:r w:rsidR="006862AF" w:rsidRPr="00602F08">
        <w:rPr>
          <w:rStyle w:val="normaltextrun"/>
          <w:rFonts w:ascii="Times New Roman" w:hAnsi="Times New Roman"/>
          <w:lang w:val="en-US"/>
        </w:rPr>
        <w:t xml:space="preserve"> July 2020</w:t>
      </w:r>
      <w:r w:rsidR="007F5896" w:rsidRPr="00602F08">
        <w:rPr>
          <w:rStyle w:val="normaltextrun"/>
          <w:rFonts w:ascii="Times New Roman" w:hAnsi="Times New Roman"/>
          <w:lang w:val="en-US"/>
        </w:rPr>
        <w:t>,</w:t>
      </w:r>
      <w:r w:rsidR="00767A5A" w:rsidRPr="00602F08">
        <w:rPr>
          <w:rStyle w:val="normaltextrun"/>
          <w:rFonts w:ascii="Times New Roman" w:hAnsi="Times New Roman"/>
          <w:lang w:val="en-US"/>
        </w:rPr>
        <w:t xml:space="preserve"> for</w:t>
      </w:r>
      <w:r w:rsidR="00CA20F7" w:rsidRPr="00602F08">
        <w:rPr>
          <w:rStyle w:val="normaltextrun"/>
          <w:rFonts w:ascii="Times New Roman" w:hAnsi="Times New Roman"/>
          <w:lang w:val="en-US"/>
        </w:rPr>
        <w:t xml:space="preserve"> “dispersed to dispers</w:t>
      </w:r>
      <w:r w:rsidR="007F5896" w:rsidRPr="00602F08">
        <w:rPr>
          <w:rStyle w:val="normaltextrun"/>
          <w:rFonts w:ascii="Times New Roman" w:hAnsi="Times New Roman"/>
          <w:lang w:val="en-US"/>
        </w:rPr>
        <w:t>[al]</w:t>
      </w:r>
      <w:r w:rsidR="00CA20F7" w:rsidRPr="00602F08">
        <w:rPr>
          <w:rStyle w:val="normaltextrun"/>
          <w:rFonts w:ascii="Times New Roman" w:hAnsi="Times New Roman"/>
          <w:lang w:val="en-US"/>
        </w:rPr>
        <w:t xml:space="preserve"> accommodation within required timescale</w:t>
      </w:r>
      <w:r w:rsidR="000F76BB" w:rsidRPr="00602F08">
        <w:rPr>
          <w:rStyle w:val="normaltextrun"/>
          <w:rFonts w:ascii="Times New Roman" w:hAnsi="Times New Roman"/>
          <w:lang w:val="en-US"/>
        </w:rPr>
        <w:t xml:space="preserve"> (target </w:t>
      </w:r>
      <w:r w:rsidR="00C063F9" w:rsidRPr="00602F08">
        <w:rPr>
          <w:rStyle w:val="normaltextrun"/>
          <w:rFonts w:ascii="Times New Roman" w:hAnsi="Times New Roman"/>
          <w:lang w:val="en-US"/>
        </w:rPr>
        <w:t>= 98% or more)</w:t>
      </w:r>
      <w:r w:rsidR="00F17653" w:rsidRPr="00602F08">
        <w:rPr>
          <w:rStyle w:val="normaltextrun"/>
          <w:rFonts w:ascii="Times New Roman" w:hAnsi="Times New Roman"/>
          <w:lang w:val="en-US"/>
        </w:rPr>
        <w:t xml:space="preserve"> [KPI 2]</w:t>
      </w:r>
      <w:r w:rsidR="00CA20F7" w:rsidRPr="00602F08">
        <w:rPr>
          <w:rStyle w:val="normaltextrun"/>
          <w:rFonts w:ascii="Times New Roman" w:hAnsi="Times New Roman"/>
          <w:lang w:val="en-US"/>
        </w:rPr>
        <w:t xml:space="preserve">” </w:t>
      </w:r>
      <w:r w:rsidR="00113736" w:rsidRPr="00602F08">
        <w:rPr>
          <w:rStyle w:val="normaltextrun"/>
          <w:rFonts w:ascii="Times New Roman" w:hAnsi="Times New Roman"/>
          <w:lang w:val="en-US"/>
        </w:rPr>
        <w:t xml:space="preserve">the </w:t>
      </w:r>
      <w:r w:rsidR="00CA20F7" w:rsidRPr="00602F08">
        <w:rPr>
          <w:rStyle w:val="normaltextrun"/>
          <w:rFonts w:ascii="Times New Roman" w:hAnsi="Times New Roman"/>
          <w:lang w:val="en-US"/>
        </w:rPr>
        <w:t>average of monthly figures (with aggregate over entire quarter shown in square brackets</w:t>
      </w:r>
      <w:r w:rsidR="006828F1" w:rsidRPr="00602F08">
        <w:rPr>
          <w:rStyle w:val="normaltextrun"/>
          <w:rFonts w:ascii="Times New Roman" w:hAnsi="Times New Roman"/>
          <w:lang w:val="en-US"/>
        </w:rPr>
        <w:t>)</w:t>
      </w:r>
      <w:r w:rsidR="00AB451A" w:rsidRPr="00602F08">
        <w:rPr>
          <w:rStyle w:val="normaltextrun"/>
          <w:rFonts w:ascii="Times New Roman" w:hAnsi="Times New Roman"/>
          <w:lang w:val="en-US"/>
        </w:rPr>
        <w:t xml:space="preserve"> </w:t>
      </w:r>
      <w:r w:rsidR="00113736" w:rsidRPr="00602F08">
        <w:rPr>
          <w:rStyle w:val="normaltextrun"/>
          <w:rFonts w:ascii="Times New Roman" w:hAnsi="Times New Roman"/>
          <w:lang w:val="en-US"/>
        </w:rPr>
        <w:t>is</w:t>
      </w:r>
      <w:r w:rsidR="006828F1" w:rsidRPr="00602F08">
        <w:rPr>
          <w:rStyle w:val="normaltextrun"/>
          <w:rFonts w:ascii="Times New Roman" w:hAnsi="Times New Roman"/>
          <w:lang w:val="en-US"/>
        </w:rPr>
        <w:t xml:space="preserve"> as follows</w:t>
      </w:r>
      <w:r w:rsidR="00AB451A" w:rsidRPr="00602F08">
        <w:rPr>
          <w:rStyle w:val="normaltextrun"/>
          <w:rFonts w:ascii="Times New Roman" w:hAnsi="Times New Roman"/>
          <w:lang w:val="en-US"/>
        </w:rPr>
        <w:t>:</w:t>
      </w:r>
    </w:p>
    <w:p w14:paraId="36E9A57A" w14:textId="77777777" w:rsidR="00CA20F7" w:rsidRPr="00602F08" w:rsidRDefault="00CA20F7" w:rsidP="00B6212D">
      <w:pPr>
        <w:jc w:val="both"/>
        <w:rPr>
          <w:rStyle w:val="normaltextrun"/>
          <w:lang w:val="en-US"/>
        </w:rPr>
      </w:pPr>
    </w:p>
    <w:p w14:paraId="3C7E0722" w14:textId="77777777" w:rsidR="00CA20F7" w:rsidRPr="00602F08" w:rsidRDefault="00CA20F7" w:rsidP="00B6212D">
      <w:pPr>
        <w:ind w:left="1134" w:firstLine="567"/>
        <w:jc w:val="both"/>
        <w:rPr>
          <w:rStyle w:val="normaltextrun"/>
          <w:lang w:val="en-US"/>
        </w:rPr>
      </w:pPr>
      <w:r w:rsidRPr="00602F08">
        <w:rPr>
          <w:rStyle w:val="normaltextrun"/>
          <w:lang w:val="en-US"/>
        </w:rPr>
        <w:t>Country/Region</w:t>
      </w:r>
      <w:r w:rsidRPr="00602F08">
        <w:rPr>
          <w:rStyle w:val="normaltextrun"/>
          <w:lang w:val="en-US"/>
        </w:rPr>
        <w:tab/>
      </w:r>
      <w:r w:rsidRPr="00602F08">
        <w:rPr>
          <w:rStyle w:val="normaltextrun"/>
          <w:lang w:val="en-US"/>
        </w:rPr>
        <w:tab/>
        <w:t>Sep-Dec 2019</w:t>
      </w:r>
      <w:r w:rsidRPr="00602F08">
        <w:rPr>
          <w:rStyle w:val="normaltextrun"/>
          <w:lang w:val="en-US"/>
        </w:rPr>
        <w:tab/>
      </w:r>
      <w:r w:rsidRPr="00602F08">
        <w:rPr>
          <w:rStyle w:val="normaltextrun"/>
          <w:lang w:val="en-US"/>
        </w:rPr>
        <w:tab/>
      </w:r>
      <w:r w:rsidRPr="00602F08">
        <w:rPr>
          <w:rStyle w:val="normaltextrun"/>
          <w:lang w:val="en-US"/>
        </w:rPr>
        <w:tab/>
        <w:t>Jan-Mar 2020</w:t>
      </w:r>
    </w:p>
    <w:p w14:paraId="49E4825C" w14:textId="77777777" w:rsidR="00CA20F7" w:rsidRPr="00602F08" w:rsidRDefault="00CA20F7" w:rsidP="00B6212D">
      <w:pPr>
        <w:jc w:val="both"/>
        <w:rPr>
          <w:rStyle w:val="normaltextrun"/>
          <w:lang w:val="en-US"/>
        </w:rPr>
      </w:pPr>
    </w:p>
    <w:p w14:paraId="5E69E98C" w14:textId="77777777" w:rsidR="00CA20F7" w:rsidRPr="00602F08" w:rsidRDefault="00CA20F7" w:rsidP="00B6212D">
      <w:pPr>
        <w:ind w:left="1134" w:firstLine="567"/>
        <w:jc w:val="both"/>
        <w:rPr>
          <w:rStyle w:val="normaltextrun"/>
          <w:lang w:val="en-US"/>
        </w:rPr>
      </w:pPr>
      <w:r w:rsidRPr="00602F08">
        <w:rPr>
          <w:rStyle w:val="normaltextrun"/>
          <w:lang w:val="en-US"/>
        </w:rPr>
        <w:t>Scotland</w:t>
      </w:r>
      <w:r w:rsidRPr="00602F08">
        <w:rPr>
          <w:rStyle w:val="normaltextrun"/>
          <w:lang w:val="en-US"/>
        </w:rPr>
        <w:tab/>
      </w:r>
      <w:r w:rsidRPr="00602F08">
        <w:rPr>
          <w:rStyle w:val="normaltextrun"/>
          <w:lang w:val="en-US"/>
        </w:rPr>
        <w:tab/>
      </w:r>
      <w:r w:rsidRPr="00602F08">
        <w:rPr>
          <w:rStyle w:val="normaltextrun"/>
          <w:lang w:val="en-US"/>
        </w:rPr>
        <w:tab/>
        <w:t>62%</w:t>
      </w:r>
      <w:r w:rsidRPr="00602F08">
        <w:rPr>
          <w:rStyle w:val="normaltextrun"/>
          <w:lang w:val="en-US"/>
        </w:rPr>
        <w:tab/>
        <w:t>[63%]</w:t>
      </w:r>
      <w:r w:rsidRPr="00602F08">
        <w:rPr>
          <w:rStyle w:val="normaltextrun"/>
          <w:lang w:val="en-US"/>
        </w:rPr>
        <w:tab/>
      </w:r>
      <w:r w:rsidRPr="00602F08">
        <w:rPr>
          <w:rStyle w:val="normaltextrun"/>
          <w:lang w:val="en-US"/>
        </w:rPr>
        <w:tab/>
      </w:r>
      <w:r w:rsidRPr="00602F08">
        <w:rPr>
          <w:rStyle w:val="normaltextrun"/>
          <w:lang w:val="en-US"/>
        </w:rPr>
        <w:tab/>
        <w:t>67% [66%]</w:t>
      </w:r>
    </w:p>
    <w:p w14:paraId="20318FCE" w14:textId="77777777" w:rsidR="00CA20F7" w:rsidRPr="00602F08" w:rsidRDefault="00CA20F7" w:rsidP="00B6212D">
      <w:pPr>
        <w:ind w:left="1134" w:firstLine="567"/>
        <w:jc w:val="both"/>
        <w:rPr>
          <w:rStyle w:val="normaltextrun"/>
          <w:lang w:val="en-US"/>
        </w:rPr>
      </w:pPr>
      <w:r w:rsidRPr="00602F08">
        <w:rPr>
          <w:rStyle w:val="normaltextrun"/>
          <w:lang w:val="en-US"/>
        </w:rPr>
        <w:t>Northern Ireland</w:t>
      </w:r>
      <w:r w:rsidRPr="00602F08">
        <w:rPr>
          <w:rStyle w:val="normaltextrun"/>
          <w:lang w:val="en-US"/>
        </w:rPr>
        <w:tab/>
      </w:r>
      <w:r w:rsidRPr="00602F08">
        <w:rPr>
          <w:rStyle w:val="normaltextrun"/>
          <w:lang w:val="en-US"/>
        </w:rPr>
        <w:tab/>
        <w:t>76%</w:t>
      </w:r>
      <w:r w:rsidRPr="00602F08">
        <w:rPr>
          <w:rStyle w:val="normaltextrun"/>
          <w:lang w:val="en-US"/>
        </w:rPr>
        <w:tab/>
        <w:t>[72%]</w:t>
      </w:r>
      <w:r w:rsidRPr="00602F08">
        <w:rPr>
          <w:rStyle w:val="normaltextrun"/>
          <w:lang w:val="en-US"/>
        </w:rPr>
        <w:tab/>
      </w:r>
      <w:r w:rsidRPr="00602F08">
        <w:rPr>
          <w:rStyle w:val="normaltextrun"/>
          <w:lang w:val="en-US"/>
        </w:rPr>
        <w:tab/>
      </w:r>
      <w:r w:rsidRPr="00602F08">
        <w:rPr>
          <w:rStyle w:val="normaltextrun"/>
          <w:lang w:val="en-US"/>
        </w:rPr>
        <w:tab/>
        <w:t>92% [93%]</w:t>
      </w:r>
    </w:p>
    <w:p w14:paraId="2866938D" w14:textId="77777777" w:rsidR="00CA20F7" w:rsidRPr="00602F08" w:rsidRDefault="00CA20F7" w:rsidP="00B6212D">
      <w:pPr>
        <w:ind w:left="1134" w:firstLine="567"/>
        <w:jc w:val="both"/>
        <w:rPr>
          <w:rStyle w:val="normaltextrun"/>
          <w:lang w:val="en-US"/>
        </w:rPr>
      </w:pPr>
      <w:r w:rsidRPr="00602F08">
        <w:rPr>
          <w:rStyle w:val="normaltextrun"/>
          <w:lang w:val="en-US"/>
        </w:rPr>
        <w:t>Wales</w:t>
      </w:r>
      <w:r w:rsidRPr="00602F08">
        <w:rPr>
          <w:rStyle w:val="normaltextrun"/>
          <w:lang w:val="en-US"/>
        </w:rPr>
        <w:tab/>
      </w:r>
      <w:r w:rsidRPr="00602F08">
        <w:rPr>
          <w:rStyle w:val="normaltextrun"/>
          <w:lang w:val="en-US"/>
        </w:rPr>
        <w:tab/>
      </w:r>
      <w:r w:rsidRPr="00602F08">
        <w:rPr>
          <w:rStyle w:val="normaltextrun"/>
          <w:lang w:val="en-US"/>
        </w:rPr>
        <w:tab/>
        <w:t>99%</w:t>
      </w:r>
      <w:r w:rsidRPr="00602F08">
        <w:rPr>
          <w:rStyle w:val="normaltextrun"/>
          <w:lang w:val="en-US"/>
        </w:rPr>
        <w:tab/>
        <w:t>[99%]</w:t>
      </w:r>
      <w:r w:rsidRPr="00602F08">
        <w:rPr>
          <w:rStyle w:val="normaltextrun"/>
          <w:lang w:val="en-US"/>
        </w:rPr>
        <w:tab/>
      </w:r>
      <w:r w:rsidRPr="00602F08">
        <w:rPr>
          <w:rStyle w:val="normaltextrun"/>
          <w:lang w:val="en-US"/>
        </w:rPr>
        <w:tab/>
      </w:r>
      <w:r w:rsidRPr="00602F08">
        <w:rPr>
          <w:rStyle w:val="normaltextrun"/>
          <w:lang w:val="en-US"/>
        </w:rPr>
        <w:tab/>
        <w:t>98% [97%]</w:t>
      </w:r>
    </w:p>
    <w:p w14:paraId="0237472B" w14:textId="77777777" w:rsidR="00CA20F7" w:rsidRPr="00602F08" w:rsidRDefault="00CA20F7" w:rsidP="00B6212D">
      <w:pPr>
        <w:jc w:val="both"/>
        <w:rPr>
          <w:rStyle w:val="normaltextrun"/>
          <w:lang w:val="en-US"/>
        </w:rPr>
      </w:pPr>
    </w:p>
    <w:p w14:paraId="1DB1DFEA" w14:textId="77777777" w:rsidR="00CA20F7" w:rsidRPr="00602F08" w:rsidRDefault="00CA20F7" w:rsidP="00B6212D">
      <w:pPr>
        <w:ind w:left="1134" w:firstLine="567"/>
        <w:jc w:val="both"/>
        <w:rPr>
          <w:rStyle w:val="normaltextrun"/>
          <w:lang w:val="en-US"/>
        </w:rPr>
      </w:pPr>
      <w:r w:rsidRPr="00602F08">
        <w:rPr>
          <w:rStyle w:val="normaltextrun"/>
          <w:lang w:val="en-US"/>
        </w:rPr>
        <w:t>England:</w:t>
      </w:r>
    </w:p>
    <w:p w14:paraId="4BE7DCB1" w14:textId="77777777" w:rsidR="00CA20F7" w:rsidRPr="00602F08" w:rsidRDefault="00CA20F7" w:rsidP="00B6212D">
      <w:pPr>
        <w:ind w:left="1134" w:firstLine="567"/>
        <w:jc w:val="both"/>
        <w:rPr>
          <w:rStyle w:val="normaltextrun"/>
          <w:lang w:val="en-US"/>
        </w:rPr>
      </w:pPr>
      <w:r w:rsidRPr="00602F08">
        <w:rPr>
          <w:rStyle w:val="normaltextrun"/>
          <w:lang w:val="en-US"/>
        </w:rPr>
        <w:t>North East, Yorkshire</w:t>
      </w:r>
    </w:p>
    <w:p w14:paraId="190A4420" w14:textId="77777777" w:rsidR="00CA20F7" w:rsidRPr="00602F08" w:rsidRDefault="00CA20F7" w:rsidP="00B6212D">
      <w:pPr>
        <w:ind w:left="1134" w:firstLine="567"/>
        <w:jc w:val="both"/>
        <w:rPr>
          <w:rStyle w:val="normaltextrun"/>
          <w:lang w:val="en-US"/>
        </w:rPr>
      </w:pPr>
      <w:r w:rsidRPr="00602F08">
        <w:rPr>
          <w:rStyle w:val="normaltextrun"/>
          <w:lang w:val="en-US"/>
        </w:rPr>
        <w:t>and Humber</w:t>
      </w:r>
      <w:r w:rsidRPr="00602F08">
        <w:rPr>
          <w:rStyle w:val="normaltextrun"/>
          <w:lang w:val="en-US"/>
        </w:rPr>
        <w:tab/>
      </w:r>
      <w:r w:rsidRPr="00602F08">
        <w:rPr>
          <w:rStyle w:val="normaltextrun"/>
          <w:lang w:val="en-US"/>
        </w:rPr>
        <w:tab/>
        <w:t>76%</w:t>
      </w:r>
      <w:r w:rsidRPr="00602F08">
        <w:rPr>
          <w:rStyle w:val="normaltextrun"/>
          <w:lang w:val="en-US"/>
        </w:rPr>
        <w:tab/>
        <w:t>[75%]</w:t>
      </w:r>
      <w:r w:rsidRPr="00602F08">
        <w:rPr>
          <w:rStyle w:val="normaltextrun"/>
          <w:lang w:val="en-US"/>
        </w:rPr>
        <w:tab/>
      </w:r>
      <w:r w:rsidRPr="00602F08">
        <w:rPr>
          <w:rStyle w:val="normaltextrun"/>
          <w:lang w:val="en-US"/>
        </w:rPr>
        <w:tab/>
      </w:r>
      <w:r w:rsidRPr="00602F08">
        <w:rPr>
          <w:rStyle w:val="normaltextrun"/>
          <w:lang w:val="en-US"/>
        </w:rPr>
        <w:tab/>
        <w:t>79% [76%]</w:t>
      </w:r>
    </w:p>
    <w:p w14:paraId="39E44097" w14:textId="77777777" w:rsidR="00CA20F7" w:rsidRPr="00602F08" w:rsidRDefault="00CA20F7" w:rsidP="00B6212D">
      <w:pPr>
        <w:ind w:left="1134" w:firstLine="567"/>
        <w:jc w:val="both"/>
        <w:rPr>
          <w:rStyle w:val="normaltextrun"/>
          <w:lang w:val="en-US"/>
        </w:rPr>
      </w:pPr>
      <w:r w:rsidRPr="00602F08">
        <w:rPr>
          <w:rStyle w:val="normaltextrun"/>
          <w:lang w:val="en-US"/>
        </w:rPr>
        <w:t>North West</w:t>
      </w:r>
      <w:r w:rsidRPr="00602F08">
        <w:rPr>
          <w:rStyle w:val="normaltextrun"/>
          <w:lang w:val="en-US"/>
        </w:rPr>
        <w:tab/>
      </w:r>
      <w:r w:rsidRPr="00602F08">
        <w:rPr>
          <w:rStyle w:val="normaltextrun"/>
          <w:lang w:val="en-US"/>
        </w:rPr>
        <w:tab/>
      </w:r>
      <w:r w:rsidRPr="00602F08">
        <w:rPr>
          <w:rStyle w:val="normaltextrun"/>
          <w:lang w:val="en-US"/>
        </w:rPr>
        <w:tab/>
        <w:t>94%</w:t>
      </w:r>
      <w:r w:rsidRPr="00602F08">
        <w:rPr>
          <w:rStyle w:val="normaltextrun"/>
          <w:lang w:val="en-US"/>
        </w:rPr>
        <w:tab/>
        <w:t>[94%]</w:t>
      </w:r>
      <w:r w:rsidRPr="00602F08">
        <w:rPr>
          <w:rStyle w:val="normaltextrun"/>
          <w:lang w:val="en-US"/>
        </w:rPr>
        <w:tab/>
      </w:r>
      <w:r w:rsidRPr="00602F08">
        <w:rPr>
          <w:rStyle w:val="normaltextrun"/>
          <w:lang w:val="en-US"/>
        </w:rPr>
        <w:tab/>
      </w:r>
      <w:r w:rsidRPr="00602F08">
        <w:rPr>
          <w:rStyle w:val="normaltextrun"/>
          <w:lang w:val="en-US"/>
        </w:rPr>
        <w:tab/>
        <w:t>98% [98%]</w:t>
      </w:r>
    </w:p>
    <w:p w14:paraId="7C6EF720" w14:textId="77777777" w:rsidR="00987E37" w:rsidRPr="00602F08" w:rsidRDefault="00CA20F7" w:rsidP="00B6212D">
      <w:pPr>
        <w:ind w:left="1134" w:firstLine="567"/>
        <w:jc w:val="both"/>
        <w:rPr>
          <w:rStyle w:val="normaltextrun"/>
          <w:lang w:val="en-US"/>
        </w:rPr>
      </w:pPr>
      <w:r w:rsidRPr="00602F08">
        <w:rPr>
          <w:rStyle w:val="normaltextrun"/>
          <w:lang w:val="en-US"/>
        </w:rPr>
        <w:t>Midlands and East</w:t>
      </w:r>
    </w:p>
    <w:p w14:paraId="048EA6D8" w14:textId="42420962" w:rsidR="00CA20F7" w:rsidRPr="00602F08" w:rsidRDefault="00987E37" w:rsidP="00B6212D">
      <w:pPr>
        <w:ind w:left="1134" w:firstLine="567"/>
        <w:jc w:val="both"/>
        <w:rPr>
          <w:rStyle w:val="normaltextrun"/>
          <w:lang w:val="en-US"/>
        </w:rPr>
      </w:pPr>
      <w:r w:rsidRPr="00602F08">
        <w:rPr>
          <w:rStyle w:val="normaltextrun"/>
          <w:lang w:val="en-US"/>
        </w:rPr>
        <w:t>of England</w:t>
      </w:r>
      <w:r w:rsidR="00CA20F7" w:rsidRPr="00602F08">
        <w:rPr>
          <w:rStyle w:val="normaltextrun"/>
          <w:lang w:val="en-US"/>
        </w:rPr>
        <w:tab/>
      </w:r>
      <w:r w:rsidR="007719F1" w:rsidRPr="00602F08">
        <w:rPr>
          <w:rStyle w:val="normaltextrun"/>
          <w:lang w:val="en-US"/>
        </w:rPr>
        <w:tab/>
      </w:r>
      <w:r w:rsidRPr="00602F08">
        <w:rPr>
          <w:rStyle w:val="normaltextrun"/>
          <w:lang w:val="en-US"/>
        </w:rPr>
        <w:tab/>
      </w:r>
      <w:r w:rsidR="00CA20F7" w:rsidRPr="00602F08">
        <w:rPr>
          <w:rStyle w:val="normaltextrun"/>
          <w:lang w:val="en-US"/>
        </w:rPr>
        <w:t xml:space="preserve">61% </w:t>
      </w:r>
      <w:r w:rsidR="00CA20F7" w:rsidRPr="00602F08">
        <w:rPr>
          <w:rStyle w:val="normaltextrun"/>
          <w:lang w:val="en-US"/>
        </w:rPr>
        <w:tab/>
        <w:t>[61%]</w:t>
      </w:r>
      <w:r w:rsidR="00CA20F7" w:rsidRPr="00602F08">
        <w:rPr>
          <w:rStyle w:val="normaltextrun"/>
          <w:lang w:val="en-US"/>
        </w:rPr>
        <w:tab/>
      </w:r>
      <w:r w:rsidR="00CA20F7" w:rsidRPr="00602F08">
        <w:rPr>
          <w:rStyle w:val="normaltextrun"/>
          <w:lang w:val="en-US"/>
        </w:rPr>
        <w:tab/>
      </w:r>
      <w:r w:rsidR="00CA20F7" w:rsidRPr="00602F08">
        <w:rPr>
          <w:rStyle w:val="normaltextrun"/>
          <w:lang w:val="en-US"/>
        </w:rPr>
        <w:tab/>
        <w:t>64% [63%]</w:t>
      </w:r>
    </w:p>
    <w:p w14:paraId="6FA3529B" w14:textId="5B3E468B" w:rsidR="00CA20F7" w:rsidRPr="00602F08" w:rsidRDefault="00CA20F7" w:rsidP="00B6212D">
      <w:pPr>
        <w:ind w:left="1134" w:firstLine="567"/>
        <w:jc w:val="both"/>
        <w:rPr>
          <w:rStyle w:val="normaltextrun"/>
          <w:lang w:val="en-US"/>
        </w:rPr>
      </w:pPr>
      <w:r w:rsidRPr="00602F08">
        <w:rPr>
          <w:rStyle w:val="normaltextrun"/>
          <w:lang w:val="en-US"/>
        </w:rPr>
        <w:t>South</w:t>
      </w:r>
      <w:r w:rsidRPr="00602F08">
        <w:rPr>
          <w:rStyle w:val="normaltextrun"/>
          <w:lang w:val="en-US"/>
        </w:rPr>
        <w:tab/>
      </w:r>
      <w:r w:rsidRPr="00602F08">
        <w:rPr>
          <w:rStyle w:val="normaltextrun"/>
          <w:lang w:val="en-US"/>
        </w:rPr>
        <w:tab/>
      </w:r>
      <w:r w:rsidRPr="00602F08">
        <w:rPr>
          <w:rStyle w:val="normaltextrun"/>
          <w:lang w:val="en-US"/>
        </w:rPr>
        <w:tab/>
        <w:t xml:space="preserve">96% </w:t>
      </w:r>
      <w:r w:rsidRPr="00602F08">
        <w:rPr>
          <w:rStyle w:val="normaltextrun"/>
          <w:lang w:val="en-US"/>
        </w:rPr>
        <w:tab/>
        <w:t>[96%]</w:t>
      </w:r>
      <w:r w:rsidRPr="00602F08">
        <w:rPr>
          <w:rStyle w:val="normaltextrun"/>
          <w:lang w:val="en-US"/>
        </w:rPr>
        <w:tab/>
      </w:r>
      <w:r w:rsidRPr="00602F08">
        <w:rPr>
          <w:rStyle w:val="normaltextrun"/>
          <w:lang w:val="en-US"/>
        </w:rPr>
        <w:tab/>
      </w:r>
      <w:r w:rsidRPr="00602F08">
        <w:rPr>
          <w:rStyle w:val="normaltextrun"/>
          <w:lang w:val="en-US"/>
        </w:rPr>
        <w:tab/>
        <w:t>98% [98%]</w:t>
      </w:r>
      <w:r w:rsidRPr="00602F08">
        <w:rPr>
          <w:rStyle w:val="normaltextrun"/>
          <w:lang w:val="en-US"/>
        </w:rPr>
        <w:tab/>
      </w:r>
    </w:p>
    <w:p w14:paraId="1F2AF084" w14:textId="77777777" w:rsidR="00FC5A19" w:rsidRPr="00602F08" w:rsidRDefault="00FC5A19" w:rsidP="00B6212D">
      <w:pPr>
        <w:jc w:val="both"/>
        <w:rPr>
          <w:rStyle w:val="normaltextrun"/>
          <w:lang w:val="en-US"/>
        </w:rPr>
      </w:pPr>
    </w:p>
    <w:p w14:paraId="3D88EB58" w14:textId="20C70A85" w:rsidR="00CA20F7" w:rsidRPr="00602F08" w:rsidRDefault="00CA20F7" w:rsidP="00B6212D">
      <w:pPr>
        <w:numPr>
          <w:ilvl w:val="0"/>
          <w:numId w:val="10"/>
        </w:numPr>
        <w:jc w:val="both"/>
        <w:rPr>
          <w:rStyle w:val="normaltextrun"/>
          <w:lang w:val="en-US"/>
        </w:rPr>
      </w:pPr>
      <w:r w:rsidRPr="00602F08">
        <w:rPr>
          <w:rStyle w:val="normaltextrun"/>
          <w:lang w:val="en-US"/>
        </w:rPr>
        <w:t>It should be noted that data for September 2019 for Wales was “awaited”. Figures for Scotland, Northern Ireland, North East, Yorkshire and Humber were October to December 20</w:t>
      </w:r>
      <w:r w:rsidR="00CB6E35" w:rsidRPr="00602F08">
        <w:rPr>
          <w:rStyle w:val="normaltextrun"/>
          <w:lang w:val="en-US"/>
        </w:rPr>
        <w:t>1</w:t>
      </w:r>
      <w:r w:rsidRPr="00602F08">
        <w:rPr>
          <w:rStyle w:val="normaltextrun"/>
          <w:lang w:val="en-US"/>
        </w:rPr>
        <w:t xml:space="preserve">9 rather than September to December. Further, at least as at July 2020, January to March 2020 figures were </w:t>
      </w:r>
      <w:r w:rsidR="00716835" w:rsidRPr="00602F08">
        <w:rPr>
          <w:rStyle w:val="normaltextrun"/>
          <w:lang w:val="en-US"/>
        </w:rPr>
        <w:t xml:space="preserve">still </w:t>
      </w:r>
      <w:r w:rsidRPr="00602F08">
        <w:rPr>
          <w:rStyle w:val="normaltextrun"/>
          <w:lang w:val="en-US"/>
        </w:rPr>
        <w:t>“provisional due to data quality issues and possible outstanding disagreements/ disputes with Accommodation Providers.”</w:t>
      </w:r>
    </w:p>
    <w:p w14:paraId="508E8F51" w14:textId="77777777" w:rsidR="00A75C4B" w:rsidRPr="00602F08" w:rsidRDefault="00A75C4B" w:rsidP="00B6212D">
      <w:pPr>
        <w:ind w:left="687"/>
        <w:jc w:val="both"/>
        <w:rPr>
          <w:rStyle w:val="normaltextrun"/>
          <w:lang w:val="en-US"/>
        </w:rPr>
      </w:pPr>
    </w:p>
    <w:p w14:paraId="709062B6" w14:textId="5577BF9A" w:rsidR="00A75C4B" w:rsidRPr="00602F08" w:rsidRDefault="008E4761" w:rsidP="00B6212D">
      <w:pPr>
        <w:numPr>
          <w:ilvl w:val="0"/>
          <w:numId w:val="10"/>
        </w:numPr>
        <w:jc w:val="both"/>
        <w:rPr>
          <w:lang w:val="en-US"/>
        </w:rPr>
      </w:pPr>
      <w:r w:rsidRPr="00602F08">
        <w:rPr>
          <w:rStyle w:val="normaltextrun"/>
          <w:lang w:val="en-US"/>
        </w:rPr>
        <w:t>I</w:t>
      </w:r>
      <w:r w:rsidR="00A75C4B" w:rsidRPr="00602F08">
        <w:rPr>
          <w:rStyle w:val="normaltextrun"/>
          <w:lang w:val="en-US"/>
        </w:rPr>
        <w:t xml:space="preserve">n no country/region was “dispersed to dispers[al] accommodation within required timescale” achieved in full. </w:t>
      </w:r>
      <w:r w:rsidR="00FD6DE9" w:rsidRPr="00602F08">
        <w:rPr>
          <w:rStyle w:val="normaltextrun"/>
          <w:lang w:val="en-US"/>
        </w:rPr>
        <w:t>C</w:t>
      </w:r>
      <w:r w:rsidR="00A75C4B" w:rsidRPr="00602F08">
        <w:rPr>
          <w:rStyle w:val="normaltextrun"/>
          <w:lang w:val="en-US"/>
        </w:rPr>
        <w:t xml:space="preserve">onsistently high percentages </w:t>
      </w:r>
      <w:r w:rsidR="00FD6DE9" w:rsidRPr="00602F08">
        <w:rPr>
          <w:rStyle w:val="normaltextrun"/>
          <w:lang w:val="en-US"/>
        </w:rPr>
        <w:t xml:space="preserve">were shown </w:t>
      </w:r>
      <w:r w:rsidR="00A75C4B" w:rsidRPr="00602F08">
        <w:rPr>
          <w:rStyle w:val="normaltextrun"/>
          <w:lang w:val="en-US"/>
        </w:rPr>
        <w:t xml:space="preserve">in Wales, the North West and the South. In the North East, Yorkshire and Humber and in Midlands and the East and Scotland at times in Northern Ireland percentages were materially below “target”. </w:t>
      </w:r>
      <w:r w:rsidR="00EA471A" w:rsidRPr="00602F08">
        <w:rPr>
          <w:rStyle w:val="normaltextrun"/>
          <w:lang w:val="en-US"/>
        </w:rPr>
        <w:t xml:space="preserve">Again the context is </w:t>
      </w:r>
      <w:r w:rsidR="00A76EF7" w:rsidRPr="00602F08">
        <w:rPr>
          <w:rStyle w:val="normaltextrun"/>
          <w:lang w:val="en-US"/>
        </w:rPr>
        <w:t>crucial; t</w:t>
      </w:r>
      <w:r w:rsidR="00A75C4B" w:rsidRPr="00602F08">
        <w:rPr>
          <w:rStyle w:val="normaltextrun"/>
          <w:lang w:val="en-US"/>
        </w:rPr>
        <w:t xml:space="preserve">hese represent delays (of unspecified length) in provision of accommodation to those who </w:t>
      </w:r>
      <w:r w:rsidR="00A75C4B" w:rsidRPr="00602F08">
        <w:t>faced “an imminent prospect of serious suffering caused or materially aggravated by denial of shelter, food or the most basic necessities of life”.</w:t>
      </w:r>
      <w:r w:rsidR="004A2693" w:rsidRPr="00602F08">
        <w:t xml:space="preserve"> </w:t>
      </w:r>
    </w:p>
    <w:p w14:paraId="4B4C9290" w14:textId="77777777" w:rsidR="00AE1C34" w:rsidRPr="00602F08" w:rsidRDefault="00AE1C34" w:rsidP="00B6212D">
      <w:pPr>
        <w:pStyle w:val="ListParagraph"/>
        <w:jc w:val="both"/>
        <w:rPr>
          <w:rFonts w:ascii="Times New Roman" w:hAnsi="Times New Roman"/>
          <w:lang w:val="en-US"/>
        </w:rPr>
      </w:pPr>
    </w:p>
    <w:p w14:paraId="1F2ADE87" w14:textId="74BF5B75" w:rsidR="00BD2B01" w:rsidRPr="00602F08" w:rsidRDefault="00E53484" w:rsidP="00B6212D">
      <w:pPr>
        <w:numPr>
          <w:ilvl w:val="0"/>
          <w:numId w:val="10"/>
        </w:numPr>
        <w:jc w:val="both"/>
        <w:rPr>
          <w:lang w:val="en-US"/>
        </w:rPr>
      </w:pPr>
      <w:r w:rsidRPr="00602F08">
        <w:rPr>
          <w:lang w:val="en-US"/>
        </w:rPr>
        <w:t>Even t</w:t>
      </w:r>
      <w:r w:rsidR="00A22617" w:rsidRPr="00602F08">
        <w:rPr>
          <w:lang w:val="en-US"/>
        </w:rPr>
        <w:t>he high percentages for the North West contrast</w:t>
      </w:r>
      <w:r w:rsidR="00716835" w:rsidRPr="00602F08">
        <w:rPr>
          <w:lang w:val="en-US"/>
        </w:rPr>
        <w:t>ed</w:t>
      </w:r>
      <w:r w:rsidR="00A22617" w:rsidRPr="00602F08">
        <w:rPr>
          <w:lang w:val="en-US"/>
        </w:rPr>
        <w:t xml:space="preserve"> with this evidence from </w:t>
      </w:r>
      <w:r w:rsidR="00BD2B01" w:rsidRPr="00602F08">
        <w:rPr>
          <w:lang w:val="en-US"/>
        </w:rPr>
        <w:t>Ms Polly Glynn in a witness statement dated 16 June 2020</w:t>
      </w:r>
      <w:r w:rsidR="00F45917" w:rsidRPr="00602F08">
        <w:rPr>
          <w:lang w:val="en-US"/>
        </w:rPr>
        <w:t>, reporting experience “on the ground”</w:t>
      </w:r>
      <w:r w:rsidR="00BD2B01" w:rsidRPr="00602F08">
        <w:rPr>
          <w:lang w:val="en-US"/>
        </w:rPr>
        <w:t>:</w:t>
      </w:r>
    </w:p>
    <w:p w14:paraId="4AA79EDC" w14:textId="77777777" w:rsidR="00BD2B01" w:rsidRPr="00602F08" w:rsidRDefault="00BD2B01" w:rsidP="00B6212D">
      <w:pPr>
        <w:pStyle w:val="ListParagraph"/>
        <w:jc w:val="both"/>
        <w:rPr>
          <w:rFonts w:ascii="Times New Roman" w:hAnsi="Times New Roman"/>
          <w:lang w:val="en-US"/>
        </w:rPr>
      </w:pPr>
    </w:p>
    <w:p w14:paraId="1FDEC596" w14:textId="4E959DD9" w:rsidR="0044323B" w:rsidRPr="00602F08" w:rsidRDefault="00BD2B01" w:rsidP="00B6212D">
      <w:pPr>
        <w:ind w:left="1440"/>
        <w:jc w:val="both"/>
        <w:rPr>
          <w:lang w:val="en-US"/>
        </w:rPr>
      </w:pPr>
      <w:r w:rsidRPr="00602F08">
        <w:rPr>
          <w:lang w:val="en-US"/>
        </w:rPr>
        <w:t>“</w:t>
      </w:r>
      <w:r w:rsidR="004800B4" w:rsidRPr="00602F08">
        <w:rPr>
          <w:lang w:val="en-US"/>
        </w:rPr>
        <w:t xml:space="preserve">I have been in contact with </w:t>
      </w:r>
      <w:r w:rsidR="00F0352E" w:rsidRPr="00602F08">
        <w:rPr>
          <w:lang w:val="en-US"/>
        </w:rPr>
        <w:t>one office of Refugee Action which is located in the North West – in Manchester. They assist people to apply for section 4 support</w:t>
      </w:r>
      <w:r w:rsidR="0044323B" w:rsidRPr="00602F08">
        <w:rPr>
          <w:lang w:val="en-US"/>
        </w:rPr>
        <w:t>, and there is no reason to think their client group would be any more likely to experience delays tha</w:t>
      </w:r>
      <w:r w:rsidR="00716835" w:rsidRPr="00602F08">
        <w:rPr>
          <w:lang w:val="en-US"/>
        </w:rPr>
        <w:t>n</w:t>
      </w:r>
      <w:r w:rsidR="0044323B" w:rsidRPr="00602F08">
        <w:rPr>
          <w:lang w:val="en-US"/>
        </w:rPr>
        <w:t xml:space="preserve"> the average applicant.</w:t>
      </w:r>
    </w:p>
    <w:p w14:paraId="2B81D96B" w14:textId="77777777" w:rsidR="0044323B" w:rsidRPr="00602F08" w:rsidRDefault="0044323B" w:rsidP="00B6212D">
      <w:pPr>
        <w:ind w:left="1440"/>
        <w:jc w:val="both"/>
        <w:rPr>
          <w:lang w:val="en-US"/>
        </w:rPr>
      </w:pPr>
    </w:p>
    <w:p w14:paraId="4D9E8BF3" w14:textId="6D46C72E" w:rsidR="00A939AF" w:rsidRPr="00602F08" w:rsidRDefault="00F45917" w:rsidP="00B6212D">
      <w:pPr>
        <w:ind w:left="1440"/>
        <w:jc w:val="both"/>
        <w:rPr>
          <w:lang w:val="en-US"/>
        </w:rPr>
      </w:pPr>
      <w:r w:rsidRPr="00602F08">
        <w:rPr>
          <w:lang w:val="en-US"/>
        </w:rPr>
        <w:t>In the period 1</w:t>
      </w:r>
      <w:r w:rsidRPr="00602F08">
        <w:rPr>
          <w:vertAlign w:val="superscript"/>
          <w:lang w:val="en-US"/>
        </w:rPr>
        <w:t>st</w:t>
      </w:r>
      <w:r w:rsidRPr="00602F08">
        <w:rPr>
          <w:lang w:val="en-US"/>
        </w:rPr>
        <w:t xml:space="preserve"> January </w:t>
      </w:r>
      <w:r w:rsidR="004800B4" w:rsidRPr="00602F08">
        <w:rPr>
          <w:lang w:val="en-US"/>
        </w:rPr>
        <w:t>to 31</w:t>
      </w:r>
      <w:r w:rsidR="004800B4" w:rsidRPr="00602F08">
        <w:rPr>
          <w:vertAlign w:val="superscript"/>
          <w:lang w:val="en-US"/>
        </w:rPr>
        <w:t>st</w:t>
      </w:r>
      <w:r w:rsidR="004800B4" w:rsidRPr="00602F08">
        <w:rPr>
          <w:lang w:val="en-US"/>
        </w:rPr>
        <w:t xml:space="preserve"> March 2020 covered by the data, 46 of their service</w:t>
      </w:r>
      <w:r w:rsidR="0044323B" w:rsidRPr="00602F08">
        <w:rPr>
          <w:lang w:val="en-US"/>
        </w:rPr>
        <w:t xml:space="preserve"> users were granted section 4 support (i</w:t>
      </w:r>
      <w:r w:rsidR="00716835" w:rsidRPr="00602F08">
        <w:rPr>
          <w:lang w:val="en-US"/>
        </w:rPr>
        <w:t>.e.</w:t>
      </w:r>
      <w:r w:rsidR="0044323B" w:rsidRPr="00602F08">
        <w:rPr>
          <w:lang w:val="en-US"/>
        </w:rPr>
        <w:t xml:space="preserve"> told in principle that they would be </w:t>
      </w:r>
      <w:r w:rsidR="00322DDB" w:rsidRPr="00602F08">
        <w:rPr>
          <w:lang w:val="en-US"/>
        </w:rPr>
        <w:t xml:space="preserve">provided with accommodation and support). Out of these 46 service users, only 13 were provided with accommodation within 14 days or less from the date of the positive </w:t>
      </w:r>
      <w:r w:rsidR="00CE096D" w:rsidRPr="00602F08">
        <w:rPr>
          <w:lang w:val="en-US"/>
        </w:rPr>
        <w:t>section 4 decision. This is 28% of this sample.</w:t>
      </w:r>
    </w:p>
    <w:p w14:paraId="7DD5F6D4" w14:textId="77777777" w:rsidR="00A939AF" w:rsidRPr="00602F08" w:rsidRDefault="00A939AF" w:rsidP="00B6212D">
      <w:pPr>
        <w:ind w:left="1440"/>
        <w:jc w:val="both"/>
        <w:rPr>
          <w:lang w:val="en-US"/>
        </w:rPr>
      </w:pPr>
    </w:p>
    <w:p w14:paraId="60703275" w14:textId="3938F3E5" w:rsidR="00AE1C34" w:rsidRPr="00602F08" w:rsidRDefault="00A939AF" w:rsidP="00B6212D">
      <w:pPr>
        <w:ind w:left="1440"/>
        <w:jc w:val="both"/>
        <w:rPr>
          <w:lang w:val="en-US"/>
        </w:rPr>
      </w:pPr>
      <w:r w:rsidRPr="00602F08">
        <w:rPr>
          <w:lang w:val="en-US"/>
        </w:rPr>
        <w:t>…</w:t>
      </w:r>
      <w:r w:rsidR="004800B4" w:rsidRPr="00602F08">
        <w:rPr>
          <w:lang w:val="en-US"/>
        </w:rPr>
        <w:t xml:space="preserve"> </w:t>
      </w:r>
      <w:r w:rsidR="00A22617" w:rsidRPr="00602F08">
        <w:rPr>
          <w:lang w:val="en-US"/>
        </w:rPr>
        <w:t xml:space="preserve"> </w:t>
      </w:r>
    </w:p>
    <w:p w14:paraId="48B9673C" w14:textId="55987C5A" w:rsidR="00CA20F7" w:rsidRPr="00602F08" w:rsidRDefault="00807102" w:rsidP="00B6212D">
      <w:pPr>
        <w:jc w:val="both"/>
        <w:rPr>
          <w:rStyle w:val="normaltextrun"/>
          <w:lang w:val="en-US"/>
        </w:rPr>
      </w:pPr>
      <w:r w:rsidRPr="00602F08">
        <w:rPr>
          <w:rStyle w:val="normaltextrun"/>
          <w:lang w:val="en-US"/>
        </w:rPr>
        <w:tab/>
      </w:r>
      <w:r w:rsidRPr="00602F08">
        <w:rPr>
          <w:rStyle w:val="normaltextrun"/>
          <w:lang w:val="en-US"/>
        </w:rPr>
        <w:tab/>
      </w:r>
    </w:p>
    <w:p w14:paraId="55E7612F" w14:textId="1DB64D6B" w:rsidR="00807102" w:rsidRPr="00602F08" w:rsidRDefault="00807102" w:rsidP="00B6212D">
      <w:pPr>
        <w:ind w:left="1440" w:hanging="1440"/>
        <w:jc w:val="both"/>
        <w:rPr>
          <w:rStyle w:val="normaltextrun"/>
          <w:lang w:val="en-US"/>
        </w:rPr>
      </w:pPr>
      <w:r w:rsidRPr="00602F08">
        <w:rPr>
          <w:rStyle w:val="normaltextrun"/>
          <w:lang w:val="en-US"/>
        </w:rPr>
        <w:tab/>
        <w:t>At the date of the last review on 7</w:t>
      </w:r>
      <w:r w:rsidRPr="00602F08">
        <w:rPr>
          <w:rStyle w:val="normaltextrun"/>
          <w:vertAlign w:val="superscript"/>
          <w:lang w:val="en-US"/>
        </w:rPr>
        <w:t>th</w:t>
      </w:r>
      <w:r w:rsidRPr="00602F08">
        <w:rPr>
          <w:rStyle w:val="normaltextrun"/>
          <w:lang w:val="en-US"/>
        </w:rPr>
        <w:t xml:space="preserve"> May 2020, 13 applicants (28%) had still not </w:t>
      </w:r>
      <w:r w:rsidR="0014796C" w:rsidRPr="00602F08">
        <w:rPr>
          <w:rStyle w:val="normaltextrun"/>
          <w:lang w:val="en-US"/>
        </w:rPr>
        <w:t xml:space="preserve">been provided with accommodation or support. These applicants had waited </w:t>
      </w:r>
      <w:r w:rsidR="00177C95" w:rsidRPr="00602F08">
        <w:rPr>
          <w:rStyle w:val="normaltextrun"/>
          <w:lang w:val="en-US"/>
        </w:rPr>
        <w:t xml:space="preserve">in a state of destitution on average for almost 60 days after a positive decision </w:t>
      </w:r>
      <w:r w:rsidR="00D34334" w:rsidRPr="00602F08">
        <w:rPr>
          <w:rStyle w:val="normaltextrun"/>
          <w:lang w:val="en-US"/>
        </w:rPr>
        <w:t>… was made.</w:t>
      </w:r>
    </w:p>
    <w:p w14:paraId="411119B4" w14:textId="4813E5AF" w:rsidR="00D34334" w:rsidRPr="00602F08" w:rsidRDefault="00D34334" w:rsidP="00B6212D">
      <w:pPr>
        <w:jc w:val="both"/>
        <w:rPr>
          <w:rStyle w:val="normaltextrun"/>
          <w:lang w:val="en-US"/>
        </w:rPr>
      </w:pPr>
    </w:p>
    <w:p w14:paraId="3E5F3581" w14:textId="1CB72485" w:rsidR="00D34334" w:rsidRPr="00602F08" w:rsidRDefault="00D34334" w:rsidP="00B6212D">
      <w:pPr>
        <w:ind w:left="1440" w:hanging="1440"/>
        <w:jc w:val="both"/>
        <w:rPr>
          <w:rStyle w:val="normaltextrun"/>
          <w:lang w:val="en-US"/>
        </w:rPr>
      </w:pPr>
      <w:r w:rsidRPr="00602F08">
        <w:rPr>
          <w:rStyle w:val="normaltextrun"/>
          <w:lang w:val="en-US"/>
        </w:rPr>
        <w:tab/>
        <w:t xml:space="preserve">The remaining 20 applicants had been provided with accommodation </w:t>
      </w:r>
      <w:r w:rsidR="009568CE" w:rsidRPr="00602F08">
        <w:rPr>
          <w:rStyle w:val="normaltextrun"/>
          <w:lang w:val="en-US"/>
        </w:rPr>
        <w:t>as at 7</w:t>
      </w:r>
      <w:r w:rsidR="009568CE" w:rsidRPr="00602F08">
        <w:rPr>
          <w:rStyle w:val="normaltextrun"/>
          <w:vertAlign w:val="superscript"/>
          <w:lang w:val="en-US"/>
        </w:rPr>
        <w:t>th</w:t>
      </w:r>
      <w:r w:rsidR="009568CE" w:rsidRPr="00602F08">
        <w:rPr>
          <w:rStyle w:val="normaltextrun"/>
          <w:lang w:val="en-US"/>
        </w:rPr>
        <w:t xml:space="preserve"> May 2020. These applicants had waited in destitution an average of 28.7 days after the positive decision on the application </w:t>
      </w:r>
      <w:r w:rsidR="0069559C" w:rsidRPr="00602F08">
        <w:rPr>
          <w:rStyle w:val="normaltextrun"/>
          <w:lang w:val="en-US"/>
        </w:rPr>
        <w:t xml:space="preserve">for section 4 support to be provided with accommodation (and obviously for a period </w:t>
      </w:r>
      <w:r w:rsidR="00195862" w:rsidRPr="00602F08">
        <w:rPr>
          <w:rStyle w:val="normaltextrun"/>
          <w:lang w:val="en-US"/>
        </w:rPr>
        <w:t>before that too</w:t>
      </w:r>
      <w:r w:rsidR="00346B3D" w:rsidRPr="00602F08">
        <w:rPr>
          <w:rStyle w:val="normaltextrun"/>
          <w:lang w:val="en-US"/>
        </w:rPr>
        <w:t>). …</w:t>
      </w:r>
      <w:r w:rsidR="00D75043" w:rsidRPr="00602F08">
        <w:rPr>
          <w:rStyle w:val="normaltextrun"/>
          <w:lang w:val="en-US"/>
        </w:rPr>
        <w:t>”.</w:t>
      </w:r>
    </w:p>
    <w:p w14:paraId="3900BF02" w14:textId="77777777" w:rsidR="00D75043" w:rsidRPr="00602F08" w:rsidRDefault="00D75043" w:rsidP="00B6212D">
      <w:pPr>
        <w:ind w:left="1440" w:hanging="1440"/>
        <w:jc w:val="both"/>
        <w:rPr>
          <w:rStyle w:val="normaltextrun"/>
          <w:lang w:val="en-US"/>
        </w:rPr>
      </w:pPr>
    </w:p>
    <w:p w14:paraId="7F046130" w14:textId="45325B67" w:rsidR="00F2679C" w:rsidRPr="00602F08" w:rsidRDefault="00E9395C" w:rsidP="00B6212D">
      <w:pPr>
        <w:numPr>
          <w:ilvl w:val="0"/>
          <w:numId w:val="10"/>
        </w:numPr>
        <w:jc w:val="both"/>
        <w:rPr>
          <w:rStyle w:val="normaltextrun"/>
          <w:lang w:val="en-US"/>
        </w:rPr>
      </w:pPr>
      <w:r w:rsidRPr="00602F08">
        <w:rPr>
          <w:rStyle w:val="normaltextrun"/>
          <w:lang w:val="en-US"/>
        </w:rPr>
        <w:t xml:space="preserve">Mr Bilbao </w:t>
      </w:r>
      <w:r w:rsidR="00CF6AF7" w:rsidRPr="00602F08">
        <w:rPr>
          <w:rStyle w:val="normaltextrun"/>
          <w:lang w:val="en-US"/>
        </w:rPr>
        <w:t xml:space="preserve">provided </w:t>
      </w:r>
      <w:r w:rsidR="00F2679C" w:rsidRPr="00602F08">
        <w:rPr>
          <w:rStyle w:val="normaltextrun"/>
          <w:lang w:val="en-US"/>
        </w:rPr>
        <w:t xml:space="preserve">his </w:t>
      </w:r>
      <w:r w:rsidR="00CF6AF7" w:rsidRPr="00602F08">
        <w:rPr>
          <w:rStyle w:val="normaltextrun"/>
          <w:lang w:val="en-US"/>
        </w:rPr>
        <w:t>evidence</w:t>
      </w:r>
      <w:r w:rsidR="00AF14DD" w:rsidRPr="00602F08">
        <w:rPr>
          <w:rStyle w:val="normaltextrun"/>
          <w:lang w:val="en-US"/>
        </w:rPr>
        <w:t>, detailed earlier in this judgment,</w:t>
      </w:r>
      <w:r w:rsidR="00CF6AF7" w:rsidRPr="00602F08">
        <w:rPr>
          <w:rStyle w:val="normaltextrun"/>
          <w:lang w:val="en-US"/>
        </w:rPr>
        <w:t xml:space="preserve"> </w:t>
      </w:r>
      <w:r w:rsidR="00475A1A" w:rsidRPr="00602F08">
        <w:rPr>
          <w:rStyle w:val="normaltextrun"/>
          <w:lang w:val="en-US"/>
        </w:rPr>
        <w:t xml:space="preserve">on 17 August 2020 </w:t>
      </w:r>
      <w:r w:rsidR="00D26068" w:rsidRPr="00602F08">
        <w:rPr>
          <w:rStyle w:val="normaltextrun"/>
          <w:lang w:val="en-US"/>
        </w:rPr>
        <w:t xml:space="preserve">“in order to provide the Court with a full explanation of the source of the statistics provided” </w:t>
      </w:r>
      <w:r w:rsidR="007F0F69" w:rsidRPr="00602F08">
        <w:rPr>
          <w:rStyle w:val="normaltextrun"/>
          <w:lang w:val="en-US"/>
        </w:rPr>
        <w:t xml:space="preserve">“after consulting colleagues across the support casework, accommodation monitoring, contract compliance, service delivery and contract management teams”. </w:t>
      </w:r>
    </w:p>
    <w:p w14:paraId="46A311C1" w14:textId="77777777" w:rsidR="00F2679C" w:rsidRPr="00602F08" w:rsidRDefault="00F2679C" w:rsidP="00B6212D">
      <w:pPr>
        <w:ind w:left="687"/>
        <w:jc w:val="both"/>
        <w:rPr>
          <w:rStyle w:val="normaltextrun"/>
          <w:lang w:val="en-US"/>
        </w:rPr>
      </w:pPr>
    </w:p>
    <w:p w14:paraId="6FBC946E" w14:textId="508C4642" w:rsidR="00B9787D" w:rsidRPr="00602F08" w:rsidRDefault="00716835" w:rsidP="00B6212D">
      <w:pPr>
        <w:numPr>
          <w:ilvl w:val="0"/>
          <w:numId w:val="10"/>
        </w:numPr>
        <w:jc w:val="both"/>
        <w:rPr>
          <w:rStyle w:val="normaltextrun"/>
          <w:lang w:val="en-US"/>
        </w:rPr>
      </w:pPr>
      <w:r w:rsidRPr="00602F08">
        <w:rPr>
          <w:rStyle w:val="normaltextrun"/>
          <w:lang w:val="en-US"/>
        </w:rPr>
        <w:t>Mr Bilbao</w:t>
      </w:r>
      <w:r w:rsidR="00223A15" w:rsidRPr="00602F08">
        <w:rPr>
          <w:rStyle w:val="normaltextrun"/>
          <w:lang w:val="en-US"/>
        </w:rPr>
        <w:t xml:space="preserve"> </w:t>
      </w:r>
      <w:r w:rsidR="00CA20F7" w:rsidRPr="00602F08">
        <w:rPr>
          <w:rStyle w:val="normaltextrun"/>
          <w:lang w:val="en-US"/>
        </w:rPr>
        <w:t>caution</w:t>
      </w:r>
      <w:r w:rsidRPr="00602F08">
        <w:rPr>
          <w:rStyle w:val="normaltextrun"/>
          <w:lang w:val="en-US"/>
        </w:rPr>
        <w:t>ed</w:t>
      </w:r>
      <w:r w:rsidR="00CA20F7" w:rsidRPr="00602F08">
        <w:rPr>
          <w:rStyle w:val="normaltextrun"/>
          <w:lang w:val="en-US"/>
        </w:rPr>
        <w:t xml:space="preserve"> </w:t>
      </w:r>
      <w:r w:rsidR="00DA26AA" w:rsidRPr="00602F08">
        <w:rPr>
          <w:rStyle w:val="normaltextrun"/>
          <w:lang w:val="en-US"/>
        </w:rPr>
        <w:t xml:space="preserve">in </w:t>
      </w:r>
      <w:r w:rsidR="00EC1CCC" w:rsidRPr="00602F08">
        <w:rPr>
          <w:rStyle w:val="normaltextrun"/>
          <w:lang w:val="en-US"/>
        </w:rPr>
        <w:t>that</w:t>
      </w:r>
      <w:r w:rsidR="00DA26AA" w:rsidRPr="00602F08">
        <w:rPr>
          <w:rStyle w:val="normaltextrun"/>
          <w:lang w:val="en-US"/>
        </w:rPr>
        <w:t xml:space="preserve"> evidence to the Court </w:t>
      </w:r>
      <w:r w:rsidR="00CA20F7" w:rsidRPr="00602F08">
        <w:rPr>
          <w:rStyle w:val="normaltextrun"/>
          <w:lang w:val="en-US"/>
        </w:rPr>
        <w:t xml:space="preserve">that the calculation used </w:t>
      </w:r>
      <w:r w:rsidR="004E1223" w:rsidRPr="00602F08">
        <w:rPr>
          <w:rStyle w:val="normaltextrun"/>
          <w:lang w:val="en-US"/>
        </w:rPr>
        <w:t xml:space="preserve">for these figures </w:t>
      </w:r>
      <w:r w:rsidR="00CA20F7" w:rsidRPr="00602F08">
        <w:rPr>
          <w:rStyle w:val="normaltextrun"/>
          <w:lang w:val="en-US"/>
        </w:rPr>
        <w:t xml:space="preserve">“is the inverse of the normal performance reporting and is not normally used by the Home Office”. </w:t>
      </w:r>
      <w:r w:rsidRPr="00602F08">
        <w:rPr>
          <w:rStyle w:val="normaltextrun"/>
          <w:lang w:val="en-US"/>
        </w:rPr>
        <w:t>I note that t</w:t>
      </w:r>
      <w:r w:rsidR="00DA26AA" w:rsidRPr="00602F08">
        <w:rPr>
          <w:rStyle w:val="normaltextrun"/>
          <w:lang w:val="en-US"/>
        </w:rPr>
        <w:t>he calculation</w:t>
      </w:r>
      <w:r w:rsidR="00CA20F7" w:rsidRPr="00602F08">
        <w:rPr>
          <w:rStyle w:val="normaltextrun"/>
          <w:lang w:val="en-US"/>
        </w:rPr>
        <w:t xml:space="preserve"> </w:t>
      </w:r>
      <w:r w:rsidR="00EC1CCC" w:rsidRPr="00602F08">
        <w:rPr>
          <w:rStyle w:val="normaltextrun"/>
          <w:lang w:val="en-US"/>
        </w:rPr>
        <w:t>is however by reference to KPI 2</w:t>
      </w:r>
      <w:r w:rsidRPr="00602F08">
        <w:rPr>
          <w:rStyle w:val="normaltextrun"/>
          <w:lang w:val="en-US"/>
        </w:rPr>
        <w:t>, used by the Home Office</w:t>
      </w:r>
      <w:r w:rsidR="00EC1CCC" w:rsidRPr="00602F08">
        <w:rPr>
          <w:rStyle w:val="normaltextrun"/>
          <w:lang w:val="en-US"/>
        </w:rPr>
        <w:t xml:space="preserve">. And </w:t>
      </w:r>
      <w:r w:rsidRPr="00602F08">
        <w:rPr>
          <w:rStyle w:val="normaltextrun"/>
          <w:lang w:val="en-US"/>
        </w:rPr>
        <w:t xml:space="preserve">that </w:t>
      </w:r>
      <w:r w:rsidR="00EC1CCC" w:rsidRPr="00602F08">
        <w:rPr>
          <w:rStyle w:val="normaltextrun"/>
          <w:lang w:val="en-US"/>
        </w:rPr>
        <w:t xml:space="preserve">it </w:t>
      </w:r>
      <w:r w:rsidR="00CA20F7" w:rsidRPr="00602F08">
        <w:rPr>
          <w:rStyle w:val="normaltextrun"/>
          <w:lang w:val="en-US"/>
        </w:rPr>
        <w:t xml:space="preserve">was the calculation used for </w:t>
      </w:r>
      <w:r w:rsidR="004A2693" w:rsidRPr="00602F08">
        <w:rPr>
          <w:rStyle w:val="normaltextrun"/>
          <w:lang w:val="en-US"/>
        </w:rPr>
        <w:t>earlier</w:t>
      </w:r>
      <w:r w:rsidR="00CA20F7" w:rsidRPr="00602F08">
        <w:rPr>
          <w:rStyle w:val="normaltextrun"/>
          <w:lang w:val="en-US"/>
        </w:rPr>
        <w:t xml:space="preserve"> figures provided </w:t>
      </w:r>
      <w:r w:rsidRPr="00602F08">
        <w:rPr>
          <w:rStyle w:val="normaltextrun"/>
          <w:lang w:val="en-US"/>
        </w:rPr>
        <w:t xml:space="preserve">to the Court </w:t>
      </w:r>
      <w:r w:rsidR="00014AF2" w:rsidRPr="00602F08">
        <w:rPr>
          <w:rStyle w:val="normaltextrun"/>
          <w:lang w:val="en-US"/>
        </w:rPr>
        <w:t xml:space="preserve">on behalf of </w:t>
      </w:r>
      <w:r w:rsidR="00CE331C" w:rsidRPr="00602F08">
        <w:rPr>
          <w:rStyle w:val="normaltextrun"/>
          <w:lang w:val="en-US"/>
        </w:rPr>
        <w:t xml:space="preserve">the Secretary of State </w:t>
      </w:r>
      <w:r w:rsidR="00325726" w:rsidRPr="00602F08">
        <w:rPr>
          <w:rStyle w:val="normaltextrun"/>
          <w:lang w:val="en-US"/>
        </w:rPr>
        <w:t>on 22 May 2020</w:t>
      </w:r>
      <w:r w:rsidR="007A4727" w:rsidRPr="00602F08">
        <w:rPr>
          <w:rStyle w:val="normaltextrun"/>
          <w:lang w:val="en-US"/>
        </w:rPr>
        <w:t>, to which I refer in the next section,</w:t>
      </w:r>
      <w:r w:rsidR="00325726" w:rsidRPr="00602F08">
        <w:rPr>
          <w:rStyle w:val="normaltextrun"/>
          <w:lang w:val="en-US"/>
        </w:rPr>
        <w:t xml:space="preserve"> </w:t>
      </w:r>
      <w:r w:rsidR="00CA20F7" w:rsidRPr="00602F08">
        <w:rPr>
          <w:rStyle w:val="normaltextrun"/>
          <w:lang w:val="en-US"/>
        </w:rPr>
        <w:t xml:space="preserve">in response to </w:t>
      </w:r>
      <w:r w:rsidR="007A4727" w:rsidRPr="00602F08">
        <w:rPr>
          <w:rStyle w:val="normaltextrun"/>
          <w:lang w:val="en-US"/>
        </w:rPr>
        <w:t xml:space="preserve">the </w:t>
      </w:r>
      <w:r w:rsidR="000D0D38" w:rsidRPr="00602F08">
        <w:rPr>
          <w:rStyle w:val="normaltextrun"/>
          <w:lang w:val="en-US"/>
        </w:rPr>
        <w:t xml:space="preserve">Order </w:t>
      </w:r>
      <w:r w:rsidR="00F53108" w:rsidRPr="00602F08">
        <w:rPr>
          <w:rStyle w:val="normaltextrun"/>
          <w:lang w:val="en-US"/>
        </w:rPr>
        <w:t>made by Pep</w:t>
      </w:r>
      <w:r w:rsidR="00F30768" w:rsidRPr="00602F08">
        <w:rPr>
          <w:rStyle w:val="normaltextrun"/>
          <w:lang w:val="en-US"/>
        </w:rPr>
        <w:t xml:space="preserve">perall J on </w:t>
      </w:r>
      <w:r w:rsidR="00714E8F" w:rsidRPr="00602F08">
        <w:rPr>
          <w:rStyle w:val="normaltextrun"/>
          <w:lang w:val="en-US"/>
        </w:rPr>
        <w:t>7 May 2020</w:t>
      </w:r>
      <w:r w:rsidR="00A34623" w:rsidRPr="00602F08">
        <w:rPr>
          <w:rStyle w:val="normaltextrun"/>
          <w:lang w:val="en-US"/>
        </w:rPr>
        <w:t xml:space="preserve">. </w:t>
      </w:r>
    </w:p>
    <w:p w14:paraId="30F2E0E6" w14:textId="57683F8F" w:rsidR="004A2693" w:rsidRPr="00602F08" w:rsidRDefault="004A2693" w:rsidP="00B6212D">
      <w:pPr>
        <w:jc w:val="both"/>
        <w:rPr>
          <w:rStyle w:val="normaltextrun"/>
        </w:rPr>
      </w:pPr>
    </w:p>
    <w:p w14:paraId="555B2EFC" w14:textId="4B4FF562" w:rsidR="0075305C" w:rsidRPr="00602F08" w:rsidRDefault="0075305C" w:rsidP="00B6212D">
      <w:pPr>
        <w:pStyle w:val="ListParagraph"/>
        <w:jc w:val="both"/>
        <w:rPr>
          <w:rStyle w:val="normaltextrun"/>
          <w:rFonts w:ascii="Times New Roman" w:hAnsi="Times New Roman"/>
        </w:rPr>
      </w:pPr>
    </w:p>
    <w:p w14:paraId="55858173" w14:textId="77777777" w:rsidR="00C1685E" w:rsidRPr="00602F08" w:rsidRDefault="00C1685E" w:rsidP="00B6212D">
      <w:pPr>
        <w:pStyle w:val="ListParagraph"/>
        <w:jc w:val="both"/>
        <w:rPr>
          <w:rStyle w:val="normaltextrun"/>
          <w:rFonts w:ascii="Times New Roman" w:hAnsi="Times New Roman"/>
        </w:rPr>
      </w:pPr>
    </w:p>
    <w:p w14:paraId="14B53833" w14:textId="24F12A37" w:rsidR="00B9787D" w:rsidRPr="00602F08" w:rsidRDefault="0068251A" w:rsidP="00B6212D">
      <w:pPr>
        <w:widowControl w:val="0"/>
        <w:tabs>
          <w:tab w:val="left" w:pos="688"/>
        </w:tabs>
        <w:autoSpaceDE w:val="0"/>
        <w:autoSpaceDN w:val="0"/>
        <w:spacing w:before="11"/>
        <w:jc w:val="both"/>
        <w:rPr>
          <w:rStyle w:val="normaltextrun"/>
          <w:b/>
          <w:bCs/>
          <w:u w:val="single"/>
        </w:rPr>
      </w:pPr>
      <w:r w:rsidRPr="00602F08">
        <w:rPr>
          <w:rStyle w:val="normaltextrun"/>
          <w:b/>
          <w:bCs/>
          <w:u w:val="single"/>
        </w:rPr>
        <w:t>K</w:t>
      </w:r>
      <w:r w:rsidR="00B9787D" w:rsidRPr="00602F08">
        <w:rPr>
          <w:rStyle w:val="normaltextrun"/>
          <w:b/>
          <w:bCs/>
          <w:u w:val="single"/>
        </w:rPr>
        <w:t>nowledge of performance of the duty</w:t>
      </w:r>
    </w:p>
    <w:p w14:paraId="53292F49" w14:textId="77777777" w:rsidR="0015171F" w:rsidRPr="00602F08" w:rsidRDefault="0015171F" w:rsidP="00B6212D">
      <w:pPr>
        <w:pStyle w:val="ListParagraph"/>
        <w:jc w:val="both"/>
        <w:rPr>
          <w:rStyle w:val="eop"/>
          <w:rFonts w:ascii="Times New Roman" w:hAnsi="Times New Roman"/>
        </w:rPr>
      </w:pPr>
    </w:p>
    <w:p w14:paraId="0F4B0613" w14:textId="174FEF64" w:rsidR="006C4B43" w:rsidRPr="00602F08" w:rsidRDefault="00035EA7" w:rsidP="00B6212D">
      <w:pPr>
        <w:numPr>
          <w:ilvl w:val="0"/>
          <w:numId w:val="10"/>
        </w:numPr>
        <w:jc w:val="both"/>
        <w:rPr>
          <w:rStyle w:val="normaltextrun"/>
          <w:lang w:val="en-US"/>
        </w:rPr>
      </w:pPr>
      <w:r w:rsidRPr="00602F08">
        <w:rPr>
          <w:rStyle w:val="normaltextrun"/>
          <w:lang w:val="en-US"/>
        </w:rPr>
        <w:t xml:space="preserve">The response </w:t>
      </w:r>
      <w:r w:rsidR="00CE331C" w:rsidRPr="00602F08">
        <w:rPr>
          <w:rStyle w:val="normaltextrun"/>
          <w:lang w:val="en-US"/>
        </w:rPr>
        <w:t xml:space="preserve">on behalf of the Secretary of State </w:t>
      </w:r>
      <w:r w:rsidRPr="00602F08">
        <w:rPr>
          <w:rStyle w:val="normaltextrun"/>
          <w:lang w:val="en-US"/>
        </w:rPr>
        <w:t xml:space="preserve">to the </w:t>
      </w:r>
      <w:r w:rsidR="006C4B43" w:rsidRPr="00602F08">
        <w:rPr>
          <w:rStyle w:val="normaltextrun"/>
          <w:lang w:val="en-US"/>
        </w:rPr>
        <w:t>Order of Pepperal</w:t>
      </w:r>
      <w:r w:rsidR="00325726" w:rsidRPr="00602F08">
        <w:rPr>
          <w:rStyle w:val="normaltextrun"/>
          <w:lang w:val="en-US"/>
        </w:rPr>
        <w:t>l</w:t>
      </w:r>
      <w:r w:rsidR="006C4B43" w:rsidRPr="00602F08">
        <w:rPr>
          <w:rStyle w:val="normaltextrun"/>
          <w:lang w:val="en-US"/>
        </w:rPr>
        <w:t xml:space="preserve"> J </w:t>
      </w:r>
      <w:r w:rsidR="00DC6326" w:rsidRPr="00602F08">
        <w:rPr>
          <w:rStyle w:val="normaltextrun"/>
          <w:lang w:val="en-US"/>
        </w:rPr>
        <w:t xml:space="preserve">on 7 May 2020 </w:t>
      </w:r>
      <w:r w:rsidRPr="00602F08">
        <w:rPr>
          <w:rStyle w:val="normaltextrun"/>
          <w:lang w:val="en-US"/>
        </w:rPr>
        <w:t xml:space="preserve">has </w:t>
      </w:r>
      <w:r w:rsidR="00716835" w:rsidRPr="00602F08">
        <w:rPr>
          <w:rStyle w:val="normaltextrun"/>
          <w:lang w:val="en-US"/>
        </w:rPr>
        <w:t xml:space="preserve">important </w:t>
      </w:r>
      <w:r w:rsidRPr="00602F08">
        <w:rPr>
          <w:rStyle w:val="normaltextrun"/>
          <w:lang w:val="en-US"/>
        </w:rPr>
        <w:t>wide</w:t>
      </w:r>
      <w:r w:rsidR="00325726" w:rsidRPr="00602F08">
        <w:rPr>
          <w:rStyle w:val="normaltextrun"/>
          <w:lang w:val="en-US"/>
        </w:rPr>
        <w:t>r implications.</w:t>
      </w:r>
    </w:p>
    <w:p w14:paraId="21E8AF8F" w14:textId="76A3CBF3" w:rsidR="00DC6326" w:rsidRPr="00602F08" w:rsidRDefault="00DC6326" w:rsidP="00B6212D">
      <w:pPr>
        <w:jc w:val="both"/>
        <w:rPr>
          <w:rStyle w:val="normaltextrun"/>
          <w:lang w:val="en-US"/>
        </w:rPr>
      </w:pPr>
    </w:p>
    <w:p w14:paraId="5942911F" w14:textId="4C99E43F" w:rsidR="00DC6326" w:rsidRPr="00602F08" w:rsidRDefault="00DC6326" w:rsidP="00B6212D">
      <w:pPr>
        <w:widowControl w:val="0"/>
        <w:numPr>
          <w:ilvl w:val="0"/>
          <w:numId w:val="10"/>
        </w:numPr>
        <w:tabs>
          <w:tab w:val="left" w:pos="688"/>
        </w:tabs>
        <w:autoSpaceDE w:val="0"/>
        <w:autoSpaceDN w:val="0"/>
        <w:spacing w:before="11"/>
        <w:jc w:val="both"/>
        <w:rPr>
          <w:rStyle w:val="normaltextrun"/>
        </w:rPr>
      </w:pPr>
      <w:r w:rsidRPr="00602F08">
        <w:rPr>
          <w:rStyle w:val="normaltextrun"/>
          <w:lang w:val="en-US"/>
        </w:rPr>
        <w:t>The Order</w:t>
      </w:r>
      <w:r w:rsidR="001B7617" w:rsidRPr="00602F08">
        <w:rPr>
          <w:rStyle w:val="normaltextrun"/>
          <w:lang w:val="en-US"/>
        </w:rPr>
        <w:t xml:space="preserve"> included</w:t>
      </w:r>
      <w:r w:rsidRPr="00602F08">
        <w:rPr>
          <w:rStyle w:val="normaltextrun"/>
          <w:lang w:val="en-US"/>
        </w:rPr>
        <w:t xml:space="preserve"> these terms:</w:t>
      </w:r>
    </w:p>
    <w:p w14:paraId="69C64965" w14:textId="77777777" w:rsidR="00DC6326" w:rsidRPr="00602F08" w:rsidRDefault="00DC6326" w:rsidP="00B6212D">
      <w:pPr>
        <w:pStyle w:val="ListParagraph"/>
        <w:jc w:val="both"/>
        <w:rPr>
          <w:rStyle w:val="normaltextrun"/>
          <w:rFonts w:ascii="Times New Roman" w:hAnsi="Times New Roman"/>
          <w:lang w:val="en-US"/>
        </w:rPr>
      </w:pPr>
    </w:p>
    <w:p w14:paraId="76FAA08C" w14:textId="1E4CC5A1" w:rsidR="00DC6326" w:rsidRPr="00602F08" w:rsidRDefault="00DC6326" w:rsidP="00B6212D">
      <w:pPr>
        <w:widowControl w:val="0"/>
        <w:tabs>
          <w:tab w:val="left" w:pos="688"/>
        </w:tabs>
        <w:autoSpaceDE w:val="0"/>
        <w:autoSpaceDN w:val="0"/>
        <w:spacing w:before="11"/>
        <w:ind w:left="687"/>
        <w:jc w:val="both"/>
      </w:pPr>
      <w:r w:rsidRPr="00602F08">
        <w:tab/>
      </w:r>
      <w:r w:rsidRPr="00602F08">
        <w:tab/>
      </w:r>
      <w:r w:rsidRPr="00602F08">
        <w:tab/>
        <w:t xml:space="preserve">“1. The [Secretary of State] shall … give disclosure of: </w:t>
      </w:r>
    </w:p>
    <w:p w14:paraId="024675C1" w14:textId="77777777" w:rsidR="00056EEF" w:rsidRPr="00602F08" w:rsidRDefault="00056EEF" w:rsidP="00B6212D">
      <w:pPr>
        <w:widowControl w:val="0"/>
        <w:tabs>
          <w:tab w:val="left" w:pos="688"/>
        </w:tabs>
        <w:autoSpaceDE w:val="0"/>
        <w:autoSpaceDN w:val="0"/>
        <w:spacing w:before="11"/>
        <w:ind w:left="687"/>
        <w:jc w:val="both"/>
      </w:pPr>
    </w:p>
    <w:p w14:paraId="07EE1A8A" w14:textId="4CF038BF" w:rsidR="00DC6326" w:rsidRPr="00602F08" w:rsidRDefault="00DC6326" w:rsidP="00B6212D">
      <w:pPr>
        <w:widowControl w:val="0"/>
        <w:tabs>
          <w:tab w:val="left" w:pos="688"/>
        </w:tabs>
        <w:autoSpaceDE w:val="0"/>
        <w:autoSpaceDN w:val="0"/>
        <w:spacing w:before="11"/>
        <w:ind w:left="1440" w:hanging="753"/>
        <w:jc w:val="both"/>
      </w:pPr>
      <w:r w:rsidRPr="00602F08">
        <w:tab/>
      </w:r>
      <w:r w:rsidRPr="00602F08">
        <w:tab/>
        <w:t xml:space="preserve">1) the s.4 accommodation provider's contractual reporting on its performance on dispersal within the timeframes set by </w:t>
      </w:r>
      <w:r w:rsidR="00803DFB" w:rsidRPr="00602F08">
        <w:t>[the Secretary of State]</w:t>
      </w:r>
      <w:r w:rsidRPr="00602F08">
        <w:t xml:space="preserve"> since inception of its contract with </w:t>
      </w:r>
      <w:r w:rsidR="00552438" w:rsidRPr="00602F08">
        <w:t>[the Secretary of State]</w:t>
      </w:r>
      <w:r w:rsidRPr="00602F08">
        <w:t xml:space="preserve"> ["the Contract"]; </w:t>
      </w:r>
      <w:r w:rsidR="006C4602" w:rsidRPr="00602F08">
        <w:t>…</w:t>
      </w:r>
      <w:r w:rsidRPr="00602F08">
        <w:t xml:space="preserve"> </w:t>
      </w:r>
    </w:p>
    <w:p w14:paraId="547CE764" w14:textId="674BC882" w:rsidR="00DC6326" w:rsidRPr="00602F08" w:rsidRDefault="00DC6326" w:rsidP="00B6212D">
      <w:pPr>
        <w:widowControl w:val="0"/>
        <w:tabs>
          <w:tab w:val="left" w:pos="688"/>
        </w:tabs>
        <w:autoSpaceDE w:val="0"/>
        <w:autoSpaceDN w:val="0"/>
        <w:spacing w:before="11"/>
        <w:ind w:left="1440" w:hanging="753"/>
        <w:jc w:val="both"/>
      </w:pPr>
      <w:r w:rsidRPr="00602F08">
        <w:tab/>
      </w:r>
      <w:r w:rsidRPr="00602F08">
        <w:tab/>
      </w:r>
      <w:r w:rsidR="001B7617" w:rsidRPr="00602F08">
        <w:t>…</w:t>
      </w:r>
      <w:r w:rsidRPr="00602F08">
        <w:t xml:space="preserve"> </w:t>
      </w:r>
    </w:p>
    <w:p w14:paraId="0EC4E90F" w14:textId="77777777" w:rsidR="00AF546B" w:rsidRPr="00602F08" w:rsidRDefault="00DC6326" w:rsidP="00B6212D">
      <w:pPr>
        <w:widowControl w:val="0"/>
        <w:tabs>
          <w:tab w:val="left" w:pos="688"/>
        </w:tabs>
        <w:autoSpaceDE w:val="0"/>
        <w:autoSpaceDN w:val="0"/>
        <w:spacing w:before="11"/>
        <w:ind w:left="1440" w:hanging="753"/>
        <w:jc w:val="both"/>
      </w:pPr>
      <w:r w:rsidRPr="00602F08">
        <w:tab/>
      </w:r>
    </w:p>
    <w:p w14:paraId="56C5B733" w14:textId="4A8503C8" w:rsidR="00DC6326" w:rsidRPr="00602F08" w:rsidRDefault="00AF546B" w:rsidP="00B6212D">
      <w:pPr>
        <w:widowControl w:val="0"/>
        <w:tabs>
          <w:tab w:val="left" w:pos="688"/>
        </w:tabs>
        <w:autoSpaceDE w:val="0"/>
        <w:autoSpaceDN w:val="0"/>
        <w:spacing w:before="11"/>
        <w:ind w:left="1440" w:hanging="753"/>
        <w:jc w:val="both"/>
      </w:pPr>
      <w:r w:rsidRPr="00602F08">
        <w:tab/>
      </w:r>
      <w:r w:rsidR="00DC6326" w:rsidRPr="00602F08">
        <w:tab/>
        <w:t xml:space="preserve">by, at her election: </w:t>
      </w:r>
    </w:p>
    <w:p w14:paraId="6BEEFB40" w14:textId="77777777" w:rsidR="00AF546B" w:rsidRPr="00602F08" w:rsidRDefault="00AF546B" w:rsidP="00B6212D">
      <w:pPr>
        <w:widowControl w:val="0"/>
        <w:tabs>
          <w:tab w:val="left" w:pos="688"/>
        </w:tabs>
        <w:autoSpaceDE w:val="0"/>
        <w:autoSpaceDN w:val="0"/>
        <w:spacing w:before="11"/>
        <w:ind w:left="1440" w:hanging="753"/>
        <w:jc w:val="both"/>
      </w:pPr>
    </w:p>
    <w:p w14:paraId="7A12117D" w14:textId="30B5D3A4" w:rsidR="00DC6326" w:rsidRPr="00602F08" w:rsidRDefault="00DC6326" w:rsidP="00B6212D">
      <w:pPr>
        <w:widowControl w:val="0"/>
        <w:tabs>
          <w:tab w:val="left" w:pos="688"/>
        </w:tabs>
        <w:autoSpaceDE w:val="0"/>
        <w:autoSpaceDN w:val="0"/>
        <w:spacing w:before="11"/>
        <w:ind w:left="1440" w:hanging="753"/>
        <w:jc w:val="both"/>
      </w:pPr>
      <w:r w:rsidRPr="00602F08">
        <w:tab/>
      </w:r>
      <w:r w:rsidR="00AF546B" w:rsidRPr="00602F08">
        <w:tab/>
      </w:r>
      <w:r w:rsidRPr="00602F08">
        <w:t xml:space="preserve">(a) Serving copies of the relevant documents (suitably redacted, if so advised, in order to protect the identity of the contractors, so far as this is possible while still preserving the overall figures on delay and any reasons given by the contractors), and/or </w:t>
      </w:r>
    </w:p>
    <w:p w14:paraId="2235F32E" w14:textId="77777777" w:rsidR="00DC6326" w:rsidRPr="00602F08" w:rsidRDefault="00DC6326" w:rsidP="00B6212D">
      <w:pPr>
        <w:widowControl w:val="0"/>
        <w:tabs>
          <w:tab w:val="left" w:pos="688"/>
        </w:tabs>
        <w:autoSpaceDE w:val="0"/>
        <w:autoSpaceDN w:val="0"/>
        <w:spacing w:before="11"/>
        <w:ind w:left="1440" w:hanging="753"/>
        <w:jc w:val="both"/>
        <w:rPr>
          <w:rStyle w:val="normaltextrun"/>
          <w:lang w:val="en-US"/>
        </w:rPr>
      </w:pPr>
      <w:r w:rsidRPr="00602F08">
        <w:tab/>
      </w:r>
      <w:r w:rsidRPr="00602F08">
        <w:tab/>
        <w:t>(b) Providing a fair summary of the data contained within the relevant documents by way of a witness statement or otherwise.”</w:t>
      </w:r>
      <w:r w:rsidRPr="00602F08">
        <w:rPr>
          <w:rStyle w:val="normaltextrun"/>
          <w:lang w:val="en-US"/>
        </w:rPr>
        <w:t xml:space="preserve"> </w:t>
      </w:r>
    </w:p>
    <w:p w14:paraId="2D2BEBC0" w14:textId="61F5CBA0" w:rsidR="00230F9E" w:rsidRPr="00602F08" w:rsidRDefault="00230F9E" w:rsidP="00B6212D">
      <w:pPr>
        <w:widowControl w:val="0"/>
        <w:tabs>
          <w:tab w:val="left" w:pos="688"/>
        </w:tabs>
        <w:autoSpaceDE w:val="0"/>
        <w:autoSpaceDN w:val="0"/>
        <w:spacing w:before="11"/>
        <w:jc w:val="both"/>
        <w:rPr>
          <w:rStyle w:val="normaltextrun"/>
          <w:lang w:val="en-US"/>
        </w:rPr>
      </w:pPr>
    </w:p>
    <w:p w14:paraId="59CF6BBA" w14:textId="17FF887A" w:rsidR="00DC6326" w:rsidRPr="00602F08" w:rsidRDefault="00EC5A21" w:rsidP="00B6212D">
      <w:pPr>
        <w:pStyle w:val="ListParagraph"/>
        <w:widowControl w:val="0"/>
        <w:numPr>
          <w:ilvl w:val="0"/>
          <w:numId w:val="10"/>
        </w:numPr>
        <w:tabs>
          <w:tab w:val="left" w:pos="688"/>
        </w:tabs>
        <w:autoSpaceDE w:val="0"/>
        <w:autoSpaceDN w:val="0"/>
        <w:spacing w:before="11"/>
        <w:jc w:val="both"/>
        <w:rPr>
          <w:rStyle w:val="normaltextrun"/>
          <w:rFonts w:ascii="Times New Roman" w:hAnsi="Times New Roman"/>
        </w:rPr>
      </w:pPr>
      <w:r w:rsidRPr="00602F08">
        <w:rPr>
          <w:rStyle w:val="normaltextrun"/>
          <w:rFonts w:ascii="Times New Roman" w:hAnsi="Times New Roman"/>
          <w:lang w:val="en-US"/>
        </w:rPr>
        <w:t xml:space="preserve">Two weeks were allowed to </w:t>
      </w:r>
      <w:r w:rsidR="0098427C" w:rsidRPr="00602F08">
        <w:rPr>
          <w:rStyle w:val="normaltextrun"/>
          <w:rFonts w:ascii="Times New Roman" w:hAnsi="Times New Roman"/>
          <w:lang w:val="en-US"/>
        </w:rPr>
        <w:t xml:space="preserve">provide this disclosure. </w:t>
      </w:r>
      <w:r w:rsidR="00DC6326" w:rsidRPr="00602F08">
        <w:rPr>
          <w:rStyle w:val="normaltextrun"/>
          <w:rFonts w:ascii="Times New Roman" w:hAnsi="Times New Roman"/>
          <w:lang w:val="en-US"/>
        </w:rPr>
        <w:t xml:space="preserve">The Secretary of State </w:t>
      </w:r>
      <w:r w:rsidR="002A42A2" w:rsidRPr="00602F08">
        <w:rPr>
          <w:rStyle w:val="normaltextrun"/>
          <w:rFonts w:ascii="Times New Roman" w:hAnsi="Times New Roman"/>
          <w:lang w:val="en-US"/>
        </w:rPr>
        <w:t xml:space="preserve">elected to </w:t>
      </w:r>
      <w:r w:rsidR="00FB60BD" w:rsidRPr="00602F08">
        <w:rPr>
          <w:rStyle w:val="normaltextrun"/>
          <w:rFonts w:ascii="Times New Roman" w:hAnsi="Times New Roman"/>
          <w:lang w:val="en-US"/>
        </w:rPr>
        <w:t>p</w:t>
      </w:r>
      <w:r w:rsidR="002A42A2" w:rsidRPr="00602F08">
        <w:rPr>
          <w:rStyle w:val="normaltextrun"/>
          <w:rFonts w:ascii="Times New Roman" w:hAnsi="Times New Roman"/>
          <w:lang w:val="en-US"/>
        </w:rPr>
        <w:t>rovide a fair summar</w:t>
      </w:r>
      <w:r w:rsidR="00FB60BD" w:rsidRPr="00602F08">
        <w:rPr>
          <w:rStyle w:val="normaltextrun"/>
          <w:rFonts w:ascii="Times New Roman" w:hAnsi="Times New Roman"/>
          <w:lang w:val="en-US"/>
        </w:rPr>
        <w:t>y</w:t>
      </w:r>
      <w:r w:rsidR="0029020A" w:rsidRPr="00602F08">
        <w:rPr>
          <w:rStyle w:val="normaltextrun"/>
          <w:rFonts w:ascii="Times New Roman" w:hAnsi="Times New Roman"/>
          <w:lang w:val="en-US"/>
        </w:rPr>
        <w:t xml:space="preserve">. As ordered, this was to be a fair summary “of the </w:t>
      </w:r>
      <w:r w:rsidR="00C10BA9" w:rsidRPr="00602F08">
        <w:rPr>
          <w:rStyle w:val="normaltextrun"/>
          <w:rFonts w:ascii="Times New Roman" w:hAnsi="Times New Roman"/>
          <w:lang w:val="en-US"/>
        </w:rPr>
        <w:t xml:space="preserve">data contained within the </w:t>
      </w:r>
      <w:r w:rsidR="0029020A" w:rsidRPr="00602F08">
        <w:rPr>
          <w:rStyle w:val="normaltextrun"/>
          <w:rFonts w:ascii="Times New Roman" w:hAnsi="Times New Roman"/>
          <w:lang w:val="en-US"/>
        </w:rPr>
        <w:t>relevant documents</w:t>
      </w:r>
      <w:r w:rsidR="00C10BA9" w:rsidRPr="00602F08">
        <w:rPr>
          <w:rStyle w:val="normaltextrun"/>
          <w:rFonts w:ascii="Times New Roman" w:hAnsi="Times New Roman"/>
          <w:lang w:val="en-US"/>
        </w:rPr>
        <w:t>”. O</w:t>
      </w:r>
      <w:r w:rsidR="00312EF2" w:rsidRPr="00602F08">
        <w:rPr>
          <w:rStyle w:val="normaltextrun"/>
          <w:rFonts w:ascii="Times New Roman" w:hAnsi="Times New Roman"/>
          <w:lang w:val="en-US"/>
        </w:rPr>
        <w:t>n 22 May 2020 the</w:t>
      </w:r>
      <w:r w:rsidR="00AF546B" w:rsidRPr="00602F08">
        <w:rPr>
          <w:rStyle w:val="normaltextrun"/>
          <w:rFonts w:ascii="Times New Roman" w:hAnsi="Times New Roman"/>
          <w:lang w:val="en-US"/>
        </w:rPr>
        <w:t xml:space="preserve"> following</w:t>
      </w:r>
      <w:r w:rsidR="00312EF2" w:rsidRPr="00602F08">
        <w:rPr>
          <w:rStyle w:val="normaltextrun"/>
          <w:rFonts w:ascii="Times New Roman" w:hAnsi="Times New Roman"/>
          <w:lang w:val="en-US"/>
        </w:rPr>
        <w:t xml:space="preserve"> figures</w:t>
      </w:r>
      <w:r w:rsidR="00C10BA9" w:rsidRPr="00602F08">
        <w:rPr>
          <w:rStyle w:val="normaltextrun"/>
          <w:rFonts w:ascii="Times New Roman" w:hAnsi="Times New Roman"/>
          <w:lang w:val="en-US"/>
        </w:rPr>
        <w:t xml:space="preserve"> were provided</w:t>
      </w:r>
      <w:r w:rsidR="002A5310" w:rsidRPr="00602F08">
        <w:rPr>
          <w:rStyle w:val="normaltextrun"/>
          <w:rFonts w:ascii="Times New Roman" w:hAnsi="Times New Roman"/>
          <w:lang w:val="en-US"/>
        </w:rPr>
        <w:t xml:space="preserve"> on her behalf</w:t>
      </w:r>
      <w:r w:rsidR="00942514" w:rsidRPr="00602F08">
        <w:rPr>
          <w:rStyle w:val="normaltextrun"/>
          <w:rFonts w:ascii="Times New Roman" w:hAnsi="Times New Roman"/>
          <w:lang w:val="en-US"/>
        </w:rPr>
        <w:t xml:space="preserve"> for “dispersed to dispers[al] accommodation within required timescale (target = 98% or more) [KPI 2]”</w:t>
      </w:r>
      <w:r w:rsidR="00312EF2" w:rsidRPr="00602F08">
        <w:rPr>
          <w:rStyle w:val="normaltextrun"/>
          <w:rFonts w:ascii="Times New Roman" w:hAnsi="Times New Roman"/>
          <w:lang w:val="en-US"/>
        </w:rPr>
        <w:t>:</w:t>
      </w:r>
    </w:p>
    <w:p w14:paraId="11C307E6" w14:textId="77777777" w:rsidR="00312EF2" w:rsidRPr="00602F08" w:rsidRDefault="00312EF2" w:rsidP="00B6212D">
      <w:pPr>
        <w:widowControl w:val="0"/>
        <w:tabs>
          <w:tab w:val="left" w:pos="688"/>
        </w:tabs>
        <w:autoSpaceDE w:val="0"/>
        <w:autoSpaceDN w:val="0"/>
        <w:spacing w:before="11"/>
        <w:jc w:val="both"/>
        <w:rPr>
          <w:rStyle w:val="normaltextrun"/>
        </w:rPr>
      </w:pPr>
    </w:p>
    <w:p w14:paraId="0212C505" w14:textId="77777777" w:rsidR="00312EF2" w:rsidRPr="00602F08" w:rsidRDefault="00312EF2" w:rsidP="00B6212D">
      <w:pPr>
        <w:ind w:left="1134" w:firstLine="567"/>
        <w:jc w:val="both"/>
        <w:rPr>
          <w:rStyle w:val="normaltextrun"/>
          <w:lang w:val="en-US"/>
        </w:rPr>
      </w:pPr>
      <w:r w:rsidRPr="00602F08">
        <w:rPr>
          <w:rStyle w:val="normaltextrun"/>
          <w:lang w:val="en-US"/>
        </w:rPr>
        <w:t>Country/Region</w:t>
      </w:r>
      <w:r w:rsidRPr="00602F08">
        <w:rPr>
          <w:rStyle w:val="normaltextrun"/>
          <w:lang w:val="en-US"/>
        </w:rPr>
        <w:tab/>
      </w:r>
      <w:r w:rsidRPr="00602F08">
        <w:rPr>
          <w:rStyle w:val="normaltextrun"/>
          <w:lang w:val="en-US"/>
        </w:rPr>
        <w:tab/>
        <w:t>Sep-Dec 2019</w:t>
      </w:r>
      <w:r w:rsidRPr="00602F08">
        <w:rPr>
          <w:rStyle w:val="normaltextrun"/>
          <w:lang w:val="en-US"/>
        </w:rPr>
        <w:tab/>
      </w:r>
      <w:r w:rsidRPr="00602F08">
        <w:rPr>
          <w:rStyle w:val="normaltextrun"/>
          <w:lang w:val="en-US"/>
        </w:rPr>
        <w:tab/>
      </w:r>
      <w:r w:rsidRPr="00602F08">
        <w:rPr>
          <w:rStyle w:val="normaltextrun"/>
          <w:lang w:val="en-US"/>
        </w:rPr>
        <w:tab/>
        <w:t>Jan-Mar 2020</w:t>
      </w:r>
    </w:p>
    <w:p w14:paraId="251D08B7" w14:textId="77777777" w:rsidR="00312EF2" w:rsidRPr="00602F08" w:rsidRDefault="00312EF2" w:rsidP="00B6212D">
      <w:pPr>
        <w:jc w:val="both"/>
        <w:rPr>
          <w:rStyle w:val="normaltextrun"/>
          <w:lang w:val="en-US"/>
        </w:rPr>
      </w:pPr>
    </w:p>
    <w:p w14:paraId="65E41B4A" w14:textId="21A9FAC9" w:rsidR="00312EF2" w:rsidRPr="00602F08" w:rsidRDefault="00312EF2" w:rsidP="00B6212D">
      <w:pPr>
        <w:ind w:left="1134" w:firstLine="567"/>
        <w:jc w:val="both"/>
        <w:rPr>
          <w:rStyle w:val="normaltextrun"/>
          <w:lang w:val="en-US"/>
        </w:rPr>
      </w:pPr>
      <w:r w:rsidRPr="00602F08">
        <w:rPr>
          <w:rStyle w:val="normaltextrun"/>
          <w:lang w:val="en-US"/>
        </w:rPr>
        <w:t>Scotland</w:t>
      </w:r>
      <w:r w:rsidRPr="00602F08">
        <w:rPr>
          <w:rStyle w:val="normaltextrun"/>
          <w:lang w:val="en-US"/>
        </w:rPr>
        <w:tab/>
      </w:r>
      <w:r w:rsidRPr="00602F08">
        <w:rPr>
          <w:rStyle w:val="normaltextrun"/>
          <w:lang w:val="en-US"/>
        </w:rPr>
        <w:tab/>
      </w:r>
      <w:r w:rsidRPr="00602F08">
        <w:rPr>
          <w:rStyle w:val="normaltextrun"/>
          <w:lang w:val="en-US"/>
        </w:rPr>
        <w:tab/>
        <w:t>80%</w:t>
      </w:r>
      <w:r w:rsidRPr="00602F08">
        <w:rPr>
          <w:rStyle w:val="normaltextrun"/>
          <w:lang w:val="en-US"/>
        </w:rPr>
        <w:tab/>
      </w:r>
      <w:r w:rsidRPr="00602F08">
        <w:rPr>
          <w:rStyle w:val="normaltextrun"/>
          <w:lang w:val="en-US"/>
        </w:rPr>
        <w:tab/>
      </w:r>
      <w:r w:rsidRPr="00602F08">
        <w:rPr>
          <w:rStyle w:val="normaltextrun"/>
          <w:lang w:val="en-US"/>
        </w:rPr>
        <w:tab/>
      </w:r>
      <w:r w:rsidRPr="00602F08">
        <w:rPr>
          <w:rStyle w:val="normaltextrun"/>
          <w:lang w:val="en-US"/>
        </w:rPr>
        <w:tab/>
        <w:t>88%</w:t>
      </w:r>
    </w:p>
    <w:p w14:paraId="7AF7C94F" w14:textId="37CF2DF4" w:rsidR="00312EF2" w:rsidRPr="00602F08" w:rsidRDefault="00312EF2" w:rsidP="00B6212D">
      <w:pPr>
        <w:ind w:left="1134" w:firstLine="567"/>
        <w:jc w:val="both"/>
        <w:rPr>
          <w:rStyle w:val="normaltextrun"/>
          <w:lang w:val="en-US"/>
        </w:rPr>
      </w:pPr>
      <w:r w:rsidRPr="00602F08">
        <w:rPr>
          <w:rStyle w:val="normaltextrun"/>
          <w:lang w:val="en-US"/>
        </w:rPr>
        <w:t>Northern Ireland</w:t>
      </w:r>
      <w:r w:rsidRPr="00602F08">
        <w:rPr>
          <w:rStyle w:val="normaltextrun"/>
          <w:lang w:val="en-US"/>
        </w:rPr>
        <w:tab/>
      </w:r>
      <w:r w:rsidRPr="00602F08">
        <w:rPr>
          <w:rStyle w:val="normaltextrun"/>
          <w:lang w:val="en-US"/>
        </w:rPr>
        <w:tab/>
      </w:r>
      <w:r w:rsidR="00F72C38" w:rsidRPr="00602F08">
        <w:rPr>
          <w:rStyle w:val="normaltextrun"/>
          <w:lang w:val="en-US"/>
        </w:rPr>
        <w:t>78</w:t>
      </w:r>
      <w:r w:rsidRPr="00602F08">
        <w:rPr>
          <w:rStyle w:val="normaltextrun"/>
          <w:lang w:val="en-US"/>
        </w:rPr>
        <w:t>%</w:t>
      </w:r>
      <w:r w:rsidRPr="00602F08">
        <w:rPr>
          <w:rStyle w:val="normaltextrun"/>
          <w:lang w:val="en-US"/>
        </w:rPr>
        <w:tab/>
      </w:r>
      <w:r w:rsidRPr="00602F08">
        <w:rPr>
          <w:rStyle w:val="normaltextrun"/>
          <w:lang w:val="en-US"/>
        </w:rPr>
        <w:tab/>
      </w:r>
      <w:r w:rsidRPr="00602F08">
        <w:rPr>
          <w:rStyle w:val="normaltextrun"/>
          <w:lang w:val="en-US"/>
        </w:rPr>
        <w:tab/>
      </w:r>
      <w:r w:rsidRPr="00602F08">
        <w:rPr>
          <w:rStyle w:val="normaltextrun"/>
          <w:lang w:val="en-US"/>
        </w:rPr>
        <w:tab/>
        <w:t>9</w:t>
      </w:r>
      <w:r w:rsidR="00F72C38" w:rsidRPr="00602F08">
        <w:rPr>
          <w:rStyle w:val="normaltextrun"/>
          <w:lang w:val="en-US"/>
        </w:rPr>
        <w:t>8%</w:t>
      </w:r>
    </w:p>
    <w:p w14:paraId="0EF2DD54" w14:textId="707AB5E8" w:rsidR="00312EF2" w:rsidRPr="00602F08" w:rsidRDefault="00312EF2" w:rsidP="00B6212D">
      <w:pPr>
        <w:ind w:left="1134" w:firstLine="567"/>
        <w:jc w:val="both"/>
        <w:rPr>
          <w:rStyle w:val="normaltextrun"/>
          <w:lang w:val="en-US"/>
        </w:rPr>
      </w:pPr>
      <w:r w:rsidRPr="00602F08">
        <w:rPr>
          <w:rStyle w:val="normaltextrun"/>
          <w:lang w:val="en-US"/>
        </w:rPr>
        <w:t>Wales</w:t>
      </w:r>
      <w:r w:rsidRPr="00602F08">
        <w:rPr>
          <w:rStyle w:val="normaltextrun"/>
          <w:lang w:val="en-US"/>
        </w:rPr>
        <w:tab/>
      </w:r>
      <w:r w:rsidRPr="00602F08">
        <w:rPr>
          <w:rStyle w:val="normaltextrun"/>
          <w:lang w:val="en-US"/>
        </w:rPr>
        <w:tab/>
      </w:r>
      <w:r w:rsidRPr="00602F08">
        <w:rPr>
          <w:rStyle w:val="normaltextrun"/>
          <w:lang w:val="en-US"/>
        </w:rPr>
        <w:tab/>
      </w:r>
      <w:r w:rsidR="00D71F2F" w:rsidRPr="00602F08">
        <w:rPr>
          <w:rStyle w:val="normaltextrun"/>
          <w:lang w:val="en-US"/>
        </w:rPr>
        <w:t>99%</w:t>
      </w:r>
      <w:r w:rsidRPr="00602F08">
        <w:rPr>
          <w:rStyle w:val="normaltextrun"/>
          <w:lang w:val="en-US"/>
        </w:rPr>
        <w:tab/>
      </w:r>
      <w:r w:rsidRPr="00602F08">
        <w:rPr>
          <w:rStyle w:val="normaltextrun"/>
          <w:lang w:val="en-US"/>
        </w:rPr>
        <w:tab/>
      </w:r>
      <w:r w:rsidRPr="00602F08">
        <w:rPr>
          <w:rStyle w:val="normaltextrun"/>
          <w:lang w:val="en-US"/>
        </w:rPr>
        <w:tab/>
      </w:r>
      <w:r w:rsidR="00F72C38" w:rsidRPr="00602F08">
        <w:rPr>
          <w:rStyle w:val="normaltextrun"/>
          <w:lang w:val="en-US"/>
        </w:rPr>
        <w:tab/>
      </w:r>
      <w:r w:rsidR="00D71F2F" w:rsidRPr="00602F08">
        <w:rPr>
          <w:rStyle w:val="normaltextrun"/>
          <w:lang w:val="en-US"/>
        </w:rPr>
        <w:t>No data yet</w:t>
      </w:r>
    </w:p>
    <w:p w14:paraId="16219C49" w14:textId="77777777" w:rsidR="00312EF2" w:rsidRPr="00602F08" w:rsidRDefault="00312EF2" w:rsidP="00B6212D">
      <w:pPr>
        <w:jc w:val="both"/>
        <w:rPr>
          <w:rStyle w:val="normaltextrun"/>
          <w:lang w:val="en-US"/>
        </w:rPr>
      </w:pPr>
    </w:p>
    <w:p w14:paraId="22755BE9" w14:textId="77777777" w:rsidR="00312EF2" w:rsidRPr="00602F08" w:rsidRDefault="00312EF2" w:rsidP="00B6212D">
      <w:pPr>
        <w:ind w:left="1134" w:firstLine="567"/>
        <w:jc w:val="both"/>
        <w:rPr>
          <w:rStyle w:val="normaltextrun"/>
          <w:lang w:val="en-US"/>
        </w:rPr>
      </w:pPr>
      <w:r w:rsidRPr="00602F08">
        <w:rPr>
          <w:rStyle w:val="normaltextrun"/>
          <w:lang w:val="en-US"/>
        </w:rPr>
        <w:t>England:</w:t>
      </w:r>
    </w:p>
    <w:p w14:paraId="0B53C6C0" w14:textId="77777777" w:rsidR="00312EF2" w:rsidRPr="00602F08" w:rsidRDefault="00312EF2" w:rsidP="00B6212D">
      <w:pPr>
        <w:ind w:left="1134" w:firstLine="567"/>
        <w:jc w:val="both"/>
        <w:rPr>
          <w:rStyle w:val="normaltextrun"/>
          <w:lang w:val="en-US"/>
        </w:rPr>
      </w:pPr>
      <w:r w:rsidRPr="00602F08">
        <w:rPr>
          <w:rStyle w:val="normaltextrun"/>
          <w:lang w:val="en-US"/>
        </w:rPr>
        <w:t>North East, Yorkshire</w:t>
      </w:r>
    </w:p>
    <w:p w14:paraId="27FC63B5" w14:textId="60153C7B" w:rsidR="00312EF2" w:rsidRPr="00602F08" w:rsidRDefault="00312EF2" w:rsidP="00B6212D">
      <w:pPr>
        <w:ind w:left="1134" w:firstLine="567"/>
        <w:jc w:val="both"/>
        <w:rPr>
          <w:rStyle w:val="normaltextrun"/>
          <w:lang w:val="en-US"/>
        </w:rPr>
      </w:pPr>
      <w:r w:rsidRPr="00602F08">
        <w:rPr>
          <w:rStyle w:val="normaltextrun"/>
          <w:lang w:val="en-US"/>
        </w:rPr>
        <w:t>and Humber</w:t>
      </w:r>
      <w:r w:rsidRPr="00602F08">
        <w:rPr>
          <w:rStyle w:val="normaltextrun"/>
          <w:lang w:val="en-US"/>
        </w:rPr>
        <w:tab/>
      </w:r>
      <w:r w:rsidRPr="00602F08">
        <w:rPr>
          <w:rStyle w:val="normaltextrun"/>
          <w:lang w:val="en-US"/>
        </w:rPr>
        <w:tab/>
      </w:r>
      <w:r w:rsidR="00D71F2F" w:rsidRPr="00602F08">
        <w:rPr>
          <w:rStyle w:val="normaltextrun"/>
          <w:lang w:val="en-US"/>
        </w:rPr>
        <w:t>85%</w:t>
      </w:r>
      <w:r w:rsidRPr="00602F08">
        <w:rPr>
          <w:rStyle w:val="normaltextrun"/>
          <w:lang w:val="en-US"/>
        </w:rPr>
        <w:tab/>
      </w:r>
      <w:r w:rsidRPr="00602F08">
        <w:rPr>
          <w:rStyle w:val="normaltextrun"/>
          <w:lang w:val="en-US"/>
        </w:rPr>
        <w:tab/>
      </w:r>
      <w:r w:rsidRPr="00602F08">
        <w:rPr>
          <w:rStyle w:val="normaltextrun"/>
          <w:lang w:val="en-US"/>
        </w:rPr>
        <w:tab/>
      </w:r>
      <w:r w:rsidR="00D71F2F" w:rsidRPr="00602F08">
        <w:rPr>
          <w:rStyle w:val="normaltextrun"/>
          <w:lang w:val="en-US"/>
        </w:rPr>
        <w:tab/>
        <w:t>83%</w:t>
      </w:r>
    </w:p>
    <w:p w14:paraId="1889D3D3" w14:textId="7CE48F17" w:rsidR="00312EF2" w:rsidRPr="00602F08" w:rsidRDefault="00312EF2" w:rsidP="00B6212D">
      <w:pPr>
        <w:ind w:left="1134" w:firstLine="567"/>
        <w:jc w:val="both"/>
        <w:rPr>
          <w:rStyle w:val="normaltextrun"/>
          <w:lang w:val="en-US"/>
        </w:rPr>
      </w:pPr>
      <w:r w:rsidRPr="00602F08">
        <w:rPr>
          <w:rStyle w:val="normaltextrun"/>
          <w:lang w:val="en-US"/>
        </w:rPr>
        <w:t>North West</w:t>
      </w:r>
      <w:r w:rsidRPr="00602F08">
        <w:rPr>
          <w:rStyle w:val="normaltextrun"/>
          <w:lang w:val="en-US"/>
        </w:rPr>
        <w:tab/>
      </w:r>
      <w:r w:rsidRPr="00602F08">
        <w:rPr>
          <w:rStyle w:val="normaltextrun"/>
          <w:lang w:val="en-US"/>
        </w:rPr>
        <w:tab/>
      </w:r>
      <w:r w:rsidRPr="00602F08">
        <w:rPr>
          <w:rStyle w:val="normaltextrun"/>
          <w:lang w:val="en-US"/>
        </w:rPr>
        <w:tab/>
        <w:t>94%</w:t>
      </w:r>
      <w:r w:rsidRPr="00602F08">
        <w:rPr>
          <w:rStyle w:val="normaltextrun"/>
          <w:lang w:val="en-US"/>
        </w:rPr>
        <w:tab/>
      </w:r>
      <w:r w:rsidRPr="00602F08">
        <w:rPr>
          <w:rStyle w:val="normaltextrun"/>
          <w:lang w:val="en-US"/>
        </w:rPr>
        <w:tab/>
      </w:r>
      <w:r w:rsidRPr="00602F08">
        <w:rPr>
          <w:rStyle w:val="normaltextrun"/>
          <w:lang w:val="en-US"/>
        </w:rPr>
        <w:tab/>
      </w:r>
      <w:r w:rsidR="00A41FD6" w:rsidRPr="00602F08">
        <w:rPr>
          <w:rStyle w:val="normaltextrun"/>
          <w:lang w:val="en-US"/>
        </w:rPr>
        <w:tab/>
        <w:t>100%</w:t>
      </w:r>
    </w:p>
    <w:p w14:paraId="2546539E" w14:textId="77777777" w:rsidR="00987E37" w:rsidRPr="00602F08" w:rsidRDefault="00312EF2" w:rsidP="00B6212D">
      <w:pPr>
        <w:ind w:left="1134" w:firstLine="567"/>
        <w:jc w:val="both"/>
        <w:rPr>
          <w:rStyle w:val="normaltextrun"/>
          <w:lang w:val="en-US"/>
        </w:rPr>
      </w:pPr>
      <w:r w:rsidRPr="00602F08">
        <w:rPr>
          <w:rStyle w:val="normaltextrun"/>
          <w:lang w:val="en-US"/>
        </w:rPr>
        <w:t>Midlands and East</w:t>
      </w:r>
      <w:r w:rsidR="00987E37" w:rsidRPr="00602F08">
        <w:rPr>
          <w:rStyle w:val="normaltextrun"/>
          <w:lang w:val="en-US"/>
        </w:rPr>
        <w:t xml:space="preserve"> of</w:t>
      </w:r>
    </w:p>
    <w:p w14:paraId="7A8FFA8C" w14:textId="03F39FFD" w:rsidR="00312EF2" w:rsidRPr="00602F08" w:rsidRDefault="00987E37" w:rsidP="00B6212D">
      <w:pPr>
        <w:ind w:left="1134" w:firstLine="567"/>
        <w:jc w:val="both"/>
        <w:rPr>
          <w:rStyle w:val="normaltextrun"/>
          <w:lang w:val="en-US"/>
        </w:rPr>
      </w:pPr>
      <w:r w:rsidRPr="00602F08">
        <w:rPr>
          <w:rStyle w:val="normaltextrun"/>
          <w:lang w:val="en-US"/>
        </w:rPr>
        <w:t>England</w:t>
      </w:r>
      <w:r w:rsidR="00312EF2" w:rsidRPr="00602F08">
        <w:rPr>
          <w:rStyle w:val="normaltextrun"/>
          <w:lang w:val="en-US"/>
        </w:rPr>
        <w:tab/>
      </w:r>
      <w:r w:rsidRPr="00602F08">
        <w:rPr>
          <w:rStyle w:val="normaltextrun"/>
          <w:lang w:val="en-US"/>
        </w:rPr>
        <w:tab/>
      </w:r>
      <w:r w:rsidRPr="00602F08">
        <w:rPr>
          <w:rStyle w:val="normaltextrun"/>
          <w:lang w:val="en-US"/>
        </w:rPr>
        <w:tab/>
      </w:r>
      <w:r w:rsidR="00312EF2" w:rsidRPr="00602F08">
        <w:rPr>
          <w:rStyle w:val="normaltextrun"/>
          <w:lang w:val="en-US"/>
        </w:rPr>
        <w:t>6</w:t>
      </w:r>
      <w:r w:rsidR="00F66E77" w:rsidRPr="00602F08">
        <w:rPr>
          <w:rStyle w:val="normaltextrun"/>
          <w:lang w:val="en-US"/>
        </w:rPr>
        <w:t>1%</w:t>
      </w:r>
      <w:r w:rsidR="00312EF2" w:rsidRPr="00602F08">
        <w:rPr>
          <w:rStyle w:val="normaltextrun"/>
          <w:lang w:val="en-US"/>
        </w:rPr>
        <w:tab/>
      </w:r>
      <w:r w:rsidR="00312EF2" w:rsidRPr="00602F08">
        <w:rPr>
          <w:rStyle w:val="normaltextrun"/>
          <w:lang w:val="en-US"/>
        </w:rPr>
        <w:tab/>
      </w:r>
      <w:r w:rsidR="00312EF2" w:rsidRPr="00602F08">
        <w:rPr>
          <w:rStyle w:val="normaltextrun"/>
          <w:lang w:val="en-US"/>
        </w:rPr>
        <w:tab/>
      </w:r>
      <w:r w:rsidR="00F66E77" w:rsidRPr="00602F08">
        <w:rPr>
          <w:rStyle w:val="normaltextrun"/>
          <w:lang w:val="en-US"/>
        </w:rPr>
        <w:tab/>
        <w:t>96%</w:t>
      </w:r>
    </w:p>
    <w:p w14:paraId="4C34BB5A" w14:textId="01627124" w:rsidR="006C4B43" w:rsidRPr="00602F08" w:rsidRDefault="00312EF2" w:rsidP="00B6212D">
      <w:pPr>
        <w:ind w:left="1134" w:firstLine="567"/>
        <w:jc w:val="both"/>
        <w:rPr>
          <w:rStyle w:val="normaltextrun"/>
          <w:lang w:val="en-US"/>
        </w:rPr>
      </w:pPr>
      <w:r w:rsidRPr="00602F08">
        <w:rPr>
          <w:rStyle w:val="normaltextrun"/>
          <w:lang w:val="en-US"/>
        </w:rPr>
        <w:t>South</w:t>
      </w:r>
      <w:r w:rsidRPr="00602F08">
        <w:rPr>
          <w:rStyle w:val="normaltextrun"/>
          <w:lang w:val="en-US"/>
        </w:rPr>
        <w:tab/>
      </w:r>
      <w:r w:rsidRPr="00602F08">
        <w:rPr>
          <w:rStyle w:val="normaltextrun"/>
          <w:lang w:val="en-US"/>
        </w:rPr>
        <w:tab/>
      </w:r>
      <w:r w:rsidRPr="00602F08">
        <w:rPr>
          <w:rStyle w:val="normaltextrun"/>
          <w:lang w:val="en-US"/>
        </w:rPr>
        <w:tab/>
      </w:r>
      <w:r w:rsidR="00F66E77" w:rsidRPr="00602F08">
        <w:rPr>
          <w:rStyle w:val="normaltextrun"/>
          <w:lang w:val="en-US"/>
        </w:rPr>
        <w:t>99%</w:t>
      </w:r>
      <w:r w:rsidRPr="00602F08">
        <w:rPr>
          <w:rStyle w:val="normaltextrun"/>
          <w:lang w:val="en-US"/>
        </w:rPr>
        <w:tab/>
      </w:r>
      <w:r w:rsidRPr="00602F08">
        <w:rPr>
          <w:rStyle w:val="normaltextrun"/>
          <w:lang w:val="en-US"/>
        </w:rPr>
        <w:tab/>
      </w:r>
      <w:r w:rsidRPr="00602F08">
        <w:rPr>
          <w:rStyle w:val="normaltextrun"/>
          <w:lang w:val="en-US"/>
        </w:rPr>
        <w:tab/>
      </w:r>
      <w:r w:rsidR="00F66E77" w:rsidRPr="00602F08">
        <w:rPr>
          <w:rStyle w:val="normaltextrun"/>
          <w:lang w:val="en-US"/>
        </w:rPr>
        <w:tab/>
      </w:r>
      <w:r w:rsidRPr="00602F08">
        <w:rPr>
          <w:rStyle w:val="normaltextrun"/>
          <w:lang w:val="en-US"/>
        </w:rPr>
        <w:t>98%</w:t>
      </w:r>
      <w:r w:rsidRPr="00602F08">
        <w:rPr>
          <w:rStyle w:val="normaltextrun"/>
          <w:lang w:val="en-US"/>
        </w:rPr>
        <w:tab/>
      </w:r>
    </w:p>
    <w:p w14:paraId="38C46391" w14:textId="77777777" w:rsidR="004A6BB0" w:rsidRPr="00602F08" w:rsidRDefault="004A6BB0" w:rsidP="004A6BB0">
      <w:pPr>
        <w:ind w:left="687"/>
        <w:jc w:val="both"/>
        <w:rPr>
          <w:rStyle w:val="normaltextrun"/>
          <w:lang w:val="en-US"/>
        </w:rPr>
      </w:pPr>
    </w:p>
    <w:p w14:paraId="0D01C138" w14:textId="5DA6C700" w:rsidR="004A6BB0" w:rsidRPr="00602F08" w:rsidRDefault="004A6BB0" w:rsidP="004A6BB0">
      <w:pPr>
        <w:ind w:left="687"/>
        <w:jc w:val="both"/>
        <w:rPr>
          <w:rStyle w:val="normaltextrun"/>
          <w:lang w:val="en-US"/>
        </w:rPr>
      </w:pPr>
      <w:r w:rsidRPr="00602F08">
        <w:rPr>
          <w:rStyle w:val="normaltextrun"/>
        </w:rPr>
        <w:t>The summary did not include any “reasons given by the contractors”.</w:t>
      </w:r>
    </w:p>
    <w:p w14:paraId="60092C84" w14:textId="767F4EDF" w:rsidR="00825B5B" w:rsidRPr="00602F08" w:rsidRDefault="00825B5B" w:rsidP="00B6212D">
      <w:pPr>
        <w:pStyle w:val="paragraph"/>
        <w:numPr>
          <w:ilvl w:val="0"/>
          <w:numId w:val="10"/>
        </w:numPr>
        <w:jc w:val="both"/>
        <w:textAlignment w:val="baseline"/>
        <w:rPr>
          <w:rStyle w:val="normaltextrun"/>
        </w:rPr>
      </w:pPr>
      <w:r w:rsidRPr="00602F08">
        <w:rPr>
          <w:rStyle w:val="normaltextrun"/>
        </w:rPr>
        <w:t xml:space="preserve">Based on these figures the written argument on behalf of the </w:t>
      </w:r>
      <w:r w:rsidR="001232DE" w:rsidRPr="00602F08">
        <w:rPr>
          <w:rStyle w:val="normaltextrun"/>
        </w:rPr>
        <w:t>S</w:t>
      </w:r>
      <w:r w:rsidRPr="00602F08">
        <w:rPr>
          <w:rStyle w:val="normaltextrun"/>
        </w:rPr>
        <w:t xml:space="preserve">ecretary of State as at </w:t>
      </w:r>
      <w:r w:rsidR="00C80D76" w:rsidRPr="00602F08">
        <w:rPr>
          <w:rStyle w:val="normaltextrun"/>
        </w:rPr>
        <w:t>16 July 2020</w:t>
      </w:r>
      <w:r w:rsidRPr="00602F08">
        <w:rPr>
          <w:rStyle w:val="normaltextrun"/>
        </w:rPr>
        <w:t xml:space="preserve"> was as follows:</w:t>
      </w:r>
    </w:p>
    <w:p w14:paraId="63228397" w14:textId="367EA513" w:rsidR="00980B96" w:rsidRPr="00602F08" w:rsidRDefault="00825B5B" w:rsidP="00B6212D">
      <w:pPr>
        <w:pStyle w:val="paragraph"/>
        <w:ind w:left="1407" w:firstLine="33"/>
        <w:jc w:val="both"/>
        <w:textAlignment w:val="baseline"/>
      </w:pPr>
      <w:r w:rsidRPr="00602F08">
        <w:rPr>
          <w:rStyle w:val="normaltextrun"/>
        </w:rPr>
        <w:t>“</w:t>
      </w:r>
      <w:r w:rsidR="00C055D3" w:rsidRPr="00602F08">
        <w:rPr>
          <w:rStyle w:val="normaltextrun"/>
        </w:rPr>
        <w:t>169.</w:t>
      </w:r>
      <w:r w:rsidR="00980B96" w:rsidRPr="00602F08">
        <w:rPr>
          <w:rStyle w:val="normaltextrun"/>
        </w:rPr>
        <w:t xml:space="preserve"> </w:t>
      </w:r>
      <w:r w:rsidRPr="00602F08">
        <w:rPr>
          <w:rStyle w:val="normaltextrun"/>
        </w:rPr>
        <w:t xml:space="preserve">It is clear </w:t>
      </w:r>
      <w:r w:rsidR="00980B96" w:rsidRPr="00602F08">
        <w:rPr>
          <w:rStyle w:val="normaltextrun"/>
        </w:rPr>
        <w:t>…</w:t>
      </w:r>
      <w:r w:rsidRPr="00602F08">
        <w:rPr>
          <w:rStyle w:val="normaltextrun"/>
        </w:rPr>
        <w:t xml:space="preserve"> that in the vast majority of cases, the accommodation providers have met and continue to meet the relevant contractual KPIs as to dispersal within the timeframes set out in the relevant contracts.</w:t>
      </w:r>
      <w:r w:rsidRPr="00602F08">
        <w:rPr>
          <w:rStyle w:val="eop"/>
        </w:rPr>
        <w:t> </w:t>
      </w:r>
    </w:p>
    <w:p w14:paraId="12568F08" w14:textId="77777777" w:rsidR="00980B96" w:rsidRPr="00602F08" w:rsidRDefault="00980B96" w:rsidP="00B6212D">
      <w:pPr>
        <w:pStyle w:val="paragraph"/>
        <w:ind w:left="1407" w:firstLine="33"/>
        <w:jc w:val="both"/>
        <w:textAlignment w:val="baseline"/>
      </w:pPr>
      <w:r w:rsidRPr="00602F08">
        <w:t xml:space="preserve">170. </w:t>
      </w:r>
      <w:r w:rsidR="00825B5B" w:rsidRPr="00602F08">
        <w:rPr>
          <w:rStyle w:val="normaltextrun"/>
        </w:rPr>
        <w:t>It is not unusual for there to be ‘teething’ issues in the first few months of a new contract, resulting in relevant KPI targets being missed. This is particularly so in the context of high value and complex contracts such as this set of new contracts. </w:t>
      </w:r>
      <w:r w:rsidR="00825B5B" w:rsidRPr="00602F08">
        <w:rPr>
          <w:rStyle w:val="eop"/>
        </w:rPr>
        <w:t> </w:t>
      </w:r>
    </w:p>
    <w:p w14:paraId="17AFCC5C" w14:textId="437EAE7D" w:rsidR="00980B96" w:rsidRPr="00602F08" w:rsidRDefault="00980B96" w:rsidP="00B6212D">
      <w:pPr>
        <w:pStyle w:val="paragraph"/>
        <w:ind w:left="1407" w:firstLine="33"/>
        <w:jc w:val="both"/>
        <w:textAlignment w:val="baseline"/>
      </w:pPr>
      <w:r w:rsidRPr="00602F08">
        <w:t xml:space="preserve">171. </w:t>
      </w:r>
      <w:r w:rsidR="00825B5B" w:rsidRPr="00602F08">
        <w:rPr>
          <w:rStyle w:val="normaltextrun"/>
        </w:rPr>
        <w:t>In the particular context of these contracts, there were difficulties with s</w:t>
      </w:r>
      <w:r w:rsidR="00825B5B" w:rsidRPr="00602F08">
        <w:rPr>
          <w:rStyle w:val="normaltextrun"/>
          <w:color w:val="000000"/>
        </w:rPr>
        <w:t xml:space="preserve">ervice delivery in regions where the accommodation providers were establishing working practices and developing relationships with new stakeholders. Serco, in particular, reported to </w:t>
      </w:r>
      <w:r w:rsidR="00DB6174" w:rsidRPr="00602F08">
        <w:rPr>
          <w:rStyle w:val="normaltextrun"/>
          <w:color w:val="000000"/>
        </w:rPr>
        <w:t>[the Secretary of State]</w:t>
      </w:r>
      <w:r w:rsidR="00825B5B" w:rsidRPr="00602F08">
        <w:rPr>
          <w:rStyle w:val="normaltextrun"/>
          <w:color w:val="000000"/>
        </w:rPr>
        <w:t xml:space="preserve"> that some of the accommodation that they had taken over from the outgoing accommodation provider in the Midlands and the East of England region (the area covered by the Contract under which accommodation was provided to the Claimants) was in poor condition and required immediate attention and repairs. This led to reduced accommodation stocks in the early months of the new contracts in those regions, which, in turn, </w:t>
      </w:r>
      <w:r w:rsidR="00825B5B" w:rsidRPr="00602F08">
        <w:rPr>
          <w:rStyle w:val="normaltextrun"/>
        </w:rPr>
        <w:t>is likely to have contributed to Serco’s initial difficulties in meeting the relevant KPIs. </w:t>
      </w:r>
      <w:r w:rsidR="00825B5B" w:rsidRPr="00602F08">
        <w:rPr>
          <w:rStyle w:val="eop"/>
        </w:rPr>
        <w:t> </w:t>
      </w:r>
    </w:p>
    <w:p w14:paraId="3671CE0C" w14:textId="5393A51A" w:rsidR="00980B96" w:rsidRPr="00602F08" w:rsidRDefault="00980B96" w:rsidP="00B6212D">
      <w:pPr>
        <w:pStyle w:val="paragraph"/>
        <w:ind w:left="1407" w:firstLine="33"/>
        <w:jc w:val="both"/>
        <w:textAlignment w:val="baseline"/>
      </w:pPr>
      <w:r w:rsidRPr="00602F08">
        <w:t xml:space="preserve">172. </w:t>
      </w:r>
      <w:r w:rsidR="00825B5B" w:rsidRPr="00602F08">
        <w:rPr>
          <w:rStyle w:val="normaltextrun"/>
          <w:color w:val="000000"/>
        </w:rPr>
        <w:t xml:space="preserve">To add to the difficulties, the volume of new applications for accommodation increased significantly during the course of 2019 and into the first few months of 2020. This has placed increased pressure on the asylum support system.  In September 2019, the </w:t>
      </w:r>
      <w:r w:rsidR="00DB6174" w:rsidRPr="00602F08">
        <w:rPr>
          <w:rStyle w:val="normaltextrun"/>
          <w:color w:val="000000"/>
        </w:rPr>
        <w:t>[Secretary of State]</w:t>
      </w:r>
      <w:r w:rsidR="00825B5B" w:rsidRPr="00602F08">
        <w:rPr>
          <w:rStyle w:val="normaltextrun"/>
          <w:color w:val="000000"/>
        </w:rPr>
        <w:t xml:space="preserve"> was providing support to circa 48,000 asylum seekers nationwide, which has increased to circa 51,500 by May 2020. </w:t>
      </w:r>
      <w:r w:rsidR="00825B5B" w:rsidRPr="00602F08">
        <w:rPr>
          <w:rStyle w:val="eop"/>
          <w:color w:val="000000"/>
        </w:rPr>
        <w:t> </w:t>
      </w:r>
    </w:p>
    <w:p w14:paraId="28E0DDB1" w14:textId="27EC243F" w:rsidR="00E02820" w:rsidRPr="00602F08" w:rsidRDefault="00980B96" w:rsidP="00B6212D">
      <w:pPr>
        <w:pStyle w:val="paragraph"/>
        <w:ind w:left="1407" w:firstLine="33"/>
        <w:jc w:val="both"/>
        <w:textAlignment w:val="baseline"/>
        <w:rPr>
          <w:rStyle w:val="normaltextrun"/>
          <w:color w:val="000000"/>
        </w:rPr>
      </w:pPr>
      <w:r w:rsidRPr="00602F08">
        <w:t xml:space="preserve">173. </w:t>
      </w:r>
      <w:r w:rsidR="00825B5B" w:rsidRPr="00602F08">
        <w:rPr>
          <w:rStyle w:val="normaltextrun"/>
        </w:rPr>
        <w:t xml:space="preserve">The </w:t>
      </w:r>
      <w:r w:rsidR="00DB6174" w:rsidRPr="00602F08">
        <w:rPr>
          <w:rStyle w:val="normaltextrun"/>
        </w:rPr>
        <w:t>[Secretary of State]</w:t>
      </w:r>
      <w:r w:rsidR="00825B5B" w:rsidRPr="00602F08">
        <w:rPr>
          <w:rStyle w:val="normaltextrun"/>
        </w:rPr>
        <w:t xml:space="preserve"> worked and continues to work with the accommodation providers to encourage and assist the accommodation providers to meet the relevant KPI targets. There has been significant improvement in accommodation providers meeting the relevant KPI targets during the period 1 January 2020 to 31 March 2020. In particular, Serco’s performance under KPI 2 has increased from 61% to 96% in </w:t>
      </w:r>
      <w:r w:rsidR="00825B5B" w:rsidRPr="00602F08">
        <w:rPr>
          <w:rStyle w:val="normaltextrun"/>
          <w:color w:val="000000"/>
        </w:rPr>
        <w:t>the Midlands and the East of England region – which is the region that is relevant to the Claimants’ claims.</w:t>
      </w:r>
      <w:r w:rsidR="00590E6C" w:rsidRPr="00602F08">
        <w:rPr>
          <w:rStyle w:val="normaltextrun"/>
          <w:color w:val="000000"/>
        </w:rPr>
        <w:t>”</w:t>
      </w:r>
    </w:p>
    <w:p w14:paraId="17CB92C7" w14:textId="0B7F688D" w:rsidR="00101D74" w:rsidRPr="00602F08" w:rsidRDefault="00101D74" w:rsidP="00B6212D">
      <w:pPr>
        <w:pStyle w:val="paragraph"/>
        <w:ind w:left="720" w:hanging="720"/>
        <w:jc w:val="both"/>
        <w:textAlignment w:val="baseline"/>
        <w:rPr>
          <w:rStyle w:val="normaltextrun"/>
          <w:color w:val="000000"/>
        </w:rPr>
      </w:pPr>
      <w:r w:rsidRPr="00602F08">
        <w:rPr>
          <w:rStyle w:val="normaltextrun"/>
          <w:color w:val="000000"/>
        </w:rPr>
        <w:tab/>
        <w:t xml:space="preserve">Paragraphs 170 to 173 of </w:t>
      </w:r>
      <w:r w:rsidR="00396A99" w:rsidRPr="00602F08">
        <w:rPr>
          <w:rStyle w:val="normaltextrun"/>
          <w:color w:val="000000"/>
        </w:rPr>
        <w:t>this written argument largely repeated what had been written in</w:t>
      </w:r>
      <w:r w:rsidR="009A1B30" w:rsidRPr="00602F08">
        <w:rPr>
          <w:rStyle w:val="normaltextrun"/>
          <w:color w:val="000000"/>
        </w:rPr>
        <w:t xml:space="preserve"> notes accompanying the </w:t>
      </w:r>
      <w:r w:rsidR="00B90891" w:rsidRPr="00602F08">
        <w:rPr>
          <w:rStyle w:val="normaltextrun"/>
          <w:color w:val="000000"/>
        </w:rPr>
        <w:t xml:space="preserve">provision of the </w:t>
      </w:r>
      <w:r w:rsidR="009A1B30" w:rsidRPr="00602F08">
        <w:rPr>
          <w:rStyle w:val="normaltextrun"/>
          <w:color w:val="000000"/>
        </w:rPr>
        <w:t>disclosure on 22 May 2020.</w:t>
      </w:r>
    </w:p>
    <w:p w14:paraId="186C5A40" w14:textId="7BC4F528" w:rsidR="001E4F9C" w:rsidRPr="00602F08" w:rsidRDefault="00215A9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By the </w:t>
      </w:r>
      <w:r w:rsidR="00246521" w:rsidRPr="00602F08">
        <w:rPr>
          <w:rStyle w:val="normaltextrun"/>
          <w:rFonts w:ascii="Times New Roman" w:hAnsi="Times New Roman"/>
          <w:lang w:val="en-US"/>
        </w:rPr>
        <w:t xml:space="preserve">time of the </w:t>
      </w:r>
      <w:r w:rsidRPr="00602F08">
        <w:rPr>
          <w:rStyle w:val="normaltextrun"/>
          <w:rFonts w:ascii="Times New Roman" w:hAnsi="Times New Roman"/>
          <w:lang w:val="en-US"/>
        </w:rPr>
        <w:t xml:space="preserve">oral hearing in late July it was accepted on behalf of the Secretary of State, and since the </w:t>
      </w:r>
      <w:r w:rsidR="00525CFC" w:rsidRPr="00602F08">
        <w:rPr>
          <w:rStyle w:val="normaltextrun"/>
          <w:rFonts w:ascii="Times New Roman" w:hAnsi="Times New Roman"/>
          <w:lang w:val="en-US"/>
        </w:rPr>
        <w:t xml:space="preserve">oral </w:t>
      </w:r>
      <w:r w:rsidRPr="00602F08">
        <w:rPr>
          <w:rStyle w:val="normaltextrun"/>
          <w:rFonts w:ascii="Times New Roman" w:hAnsi="Times New Roman"/>
          <w:lang w:val="en-US"/>
        </w:rPr>
        <w:t>hearing Mr Bilbao has confirmed, that the</w:t>
      </w:r>
      <w:r w:rsidR="002207EB" w:rsidRPr="00602F08">
        <w:rPr>
          <w:rStyle w:val="normaltextrun"/>
          <w:rFonts w:ascii="Times New Roman" w:hAnsi="Times New Roman"/>
          <w:lang w:val="en-US"/>
        </w:rPr>
        <w:t>se figures</w:t>
      </w:r>
      <w:r w:rsidRPr="00602F08">
        <w:rPr>
          <w:rStyle w:val="normaltextrun"/>
          <w:rFonts w:ascii="Times New Roman" w:hAnsi="Times New Roman"/>
          <w:lang w:val="en-US"/>
        </w:rPr>
        <w:t xml:space="preserve"> provided to the Court on 22 May 2020 were not correct</w:t>
      </w:r>
      <w:r w:rsidR="008F38D2" w:rsidRPr="00602F08">
        <w:rPr>
          <w:rStyle w:val="normaltextrun"/>
          <w:rFonts w:ascii="Times New Roman" w:hAnsi="Times New Roman"/>
          <w:lang w:val="en-US"/>
        </w:rPr>
        <w:t xml:space="preserve">. </w:t>
      </w:r>
    </w:p>
    <w:p w14:paraId="1662B379" w14:textId="77777777" w:rsidR="001E4F9C" w:rsidRPr="00602F08" w:rsidRDefault="001E4F9C" w:rsidP="00B6212D">
      <w:pPr>
        <w:pStyle w:val="ListParagraph"/>
        <w:ind w:left="687"/>
        <w:jc w:val="both"/>
        <w:rPr>
          <w:rStyle w:val="normaltextrun"/>
          <w:rFonts w:ascii="Times New Roman" w:hAnsi="Times New Roman"/>
          <w:lang w:val="en-US"/>
        </w:rPr>
      </w:pPr>
    </w:p>
    <w:p w14:paraId="503C021C" w14:textId="3BCCE189" w:rsidR="00215A93" w:rsidRPr="00602F08" w:rsidRDefault="00215A9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The figure for the Midlands and the East of England region, highlighted at paragraph 173 of the written argument on behalf of the Secretary of State increased from 61% to 64%, not 96%. </w:t>
      </w:r>
      <w:r w:rsidR="00D2664F" w:rsidRPr="00602F08">
        <w:rPr>
          <w:rStyle w:val="normaltextrun"/>
          <w:rFonts w:ascii="Times New Roman" w:hAnsi="Times New Roman"/>
        </w:rPr>
        <w:t>I</w:t>
      </w:r>
      <w:r w:rsidRPr="00602F08">
        <w:rPr>
          <w:rStyle w:val="normaltextrun"/>
          <w:rFonts w:ascii="Times New Roman" w:hAnsi="Times New Roman"/>
        </w:rPr>
        <w:t>t</w:t>
      </w:r>
      <w:r w:rsidR="00D2664F" w:rsidRPr="00602F08">
        <w:rPr>
          <w:rStyle w:val="normaltextrun"/>
          <w:rFonts w:ascii="Times New Roman" w:hAnsi="Times New Roman"/>
        </w:rPr>
        <w:t xml:space="preserve"> </w:t>
      </w:r>
      <w:r w:rsidRPr="00602F08">
        <w:rPr>
          <w:rStyle w:val="normaltextrun"/>
          <w:rFonts w:ascii="Times New Roman" w:hAnsi="Times New Roman"/>
        </w:rPr>
        <w:t xml:space="preserve">was not </w:t>
      </w:r>
      <w:r w:rsidR="00DF5D8E" w:rsidRPr="00602F08">
        <w:rPr>
          <w:rStyle w:val="normaltextrun"/>
          <w:rFonts w:ascii="Times New Roman" w:hAnsi="Times New Roman"/>
        </w:rPr>
        <w:t xml:space="preserve">in fact </w:t>
      </w:r>
      <w:r w:rsidRPr="00602F08">
        <w:rPr>
          <w:rStyle w:val="normaltextrun"/>
          <w:rFonts w:ascii="Times New Roman" w:hAnsi="Times New Roman"/>
        </w:rPr>
        <w:t xml:space="preserve">the case that “in the vast majority of cases, the accommodation providers have met and continue to meet the relevant contractual KPIs as to dispersal within the timeframes set out in the relevant contracts”. ‘Teething’ issues in the first few months of a new contract did not </w:t>
      </w:r>
      <w:r w:rsidR="007157C4" w:rsidRPr="00602F08">
        <w:rPr>
          <w:rStyle w:val="normaltextrun"/>
          <w:rFonts w:ascii="Times New Roman" w:hAnsi="Times New Roman"/>
        </w:rPr>
        <w:t xml:space="preserve">in fact </w:t>
      </w:r>
      <w:r w:rsidRPr="00602F08">
        <w:rPr>
          <w:rStyle w:val="normaltextrun"/>
          <w:rFonts w:ascii="Times New Roman" w:hAnsi="Times New Roman"/>
        </w:rPr>
        <w:t>explain the position, nor a reduction in accommodation stocks “in the early months” by reason of “immediate attention and repairs” and c</w:t>
      </w:r>
      <w:r w:rsidR="00F43333" w:rsidRPr="00602F08">
        <w:rPr>
          <w:rStyle w:val="normaltextrun"/>
          <w:rFonts w:ascii="Times New Roman" w:hAnsi="Times New Roman"/>
        </w:rPr>
        <w:t xml:space="preserve">ontributing to </w:t>
      </w:r>
      <w:r w:rsidR="0097006D" w:rsidRPr="00602F08">
        <w:rPr>
          <w:rStyle w:val="normaltextrun"/>
          <w:rFonts w:ascii="Times New Roman" w:hAnsi="Times New Roman"/>
        </w:rPr>
        <w:t>“</w:t>
      </w:r>
      <w:r w:rsidRPr="00602F08">
        <w:rPr>
          <w:rStyle w:val="normaltextrun"/>
          <w:rFonts w:ascii="Times New Roman" w:hAnsi="Times New Roman"/>
        </w:rPr>
        <w:t>initial difficulties”. Only in Nort</w:t>
      </w:r>
      <w:r w:rsidR="003701FC" w:rsidRPr="00602F08">
        <w:rPr>
          <w:rStyle w:val="normaltextrun"/>
          <w:rFonts w:ascii="Times New Roman" w:hAnsi="Times New Roman"/>
        </w:rPr>
        <w:t>h</w:t>
      </w:r>
      <w:r w:rsidRPr="00602F08">
        <w:rPr>
          <w:rStyle w:val="normaltextrun"/>
          <w:rFonts w:ascii="Times New Roman" w:hAnsi="Times New Roman"/>
        </w:rPr>
        <w:t xml:space="preserve">ern </w:t>
      </w:r>
      <w:r w:rsidR="00F74D44" w:rsidRPr="00602F08">
        <w:rPr>
          <w:rStyle w:val="normaltextrun"/>
          <w:rFonts w:ascii="Times New Roman" w:hAnsi="Times New Roman"/>
        </w:rPr>
        <w:t>Ireland</w:t>
      </w:r>
      <w:r w:rsidRPr="00602F08">
        <w:rPr>
          <w:rStyle w:val="normaltextrun"/>
          <w:rFonts w:ascii="Times New Roman" w:hAnsi="Times New Roman"/>
        </w:rPr>
        <w:t xml:space="preserve"> could it be said that there had “been significant improvement in accommodation providers meeting the relevant KPI targets during the period 1 January 2020 to 31 March 2020”.</w:t>
      </w:r>
    </w:p>
    <w:p w14:paraId="2929CA82" w14:textId="77777777" w:rsidR="00215A93" w:rsidRPr="00602F08" w:rsidRDefault="00215A93" w:rsidP="00B6212D">
      <w:pPr>
        <w:pStyle w:val="ListParagraph"/>
        <w:jc w:val="both"/>
        <w:rPr>
          <w:rStyle w:val="normaltextrun"/>
          <w:rFonts w:ascii="Times New Roman" w:hAnsi="Times New Roman"/>
          <w:lang w:val="en-US"/>
        </w:rPr>
      </w:pPr>
    </w:p>
    <w:p w14:paraId="59A3BA21" w14:textId="77B8D3C1" w:rsidR="006C4B43" w:rsidRPr="00602F08" w:rsidRDefault="006C4B4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On the first day of the </w:t>
      </w:r>
      <w:r w:rsidR="00E11FD7" w:rsidRPr="00602F08">
        <w:rPr>
          <w:rStyle w:val="normaltextrun"/>
          <w:rFonts w:ascii="Times New Roman" w:hAnsi="Times New Roman"/>
          <w:lang w:val="en-US"/>
        </w:rPr>
        <w:t xml:space="preserve">oral </w:t>
      </w:r>
      <w:r w:rsidRPr="00602F08">
        <w:rPr>
          <w:rStyle w:val="normaltextrun"/>
          <w:rFonts w:ascii="Times New Roman" w:hAnsi="Times New Roman"/>
          <w:lang w:val="en-US"/>
        </w:rPr>
        <w:t>hearing</w:t>
      </w:r>
      <w:r w:rsidR="00881ED1" w:rsidRPr="00602F08">
        <w:rPr>
          <w:rStyle w:val="normaltextrun"/>
          <w:rFonts w:ascii="Times New Roman" w:hAnsi="Times New Roman"/>
          <w:lang w:val="en-US"/>
        </w:rPr>
        <w:t>,</w:t>
      </w:r>
      <w:r w:rsidRPr="00602F08">
        <w:rPr>
          <w:rStyle w:val="normaltextrun"/>
          <w:rFonts w:ascii="Times New Roman" w:hAnsi="Times New Roman"/>
          <w:lang w:val="en-US"/>
        </w:rPr>
        <w:t xml:space="preserve"> Mr Ta</w:t>
      </w:r>
      <w:r w:rsidR="00645A51" w:rsidRPr="00602F08">
        <w:rPr>
          <w:rStyle w:val="normaltextrun"/>
          <w:rFonts w:ascii="Times New Roman" w:hAnsi="Times New Roman"/>
          <w:lang w:val="en-US"/>
        </w:rPr>
        <w:t>m</w:t>
      </w:r>
      <w:r w:rsidRPr="00602F08">
        <w:rPr>
          <w:rStyle w:val="normaltextrun"/>
          <w:rFonts w:ascii="Times New Roman" w:hAnsi="Times New Roman"/>
          <w:lang w:val="en-US"/>
        </w:rPr>
        <w:t xml:space="preserve"> QC properly </w:t>
      </w:r>
      <w:r w:rsidR="007E30EF" w:rsidRPr="00602F08">
        <w:rPr>
          <w:rStyle w:val="normaltextrun"/>
          <w:rFonts w:ascii="Times New Roman" w:hAnsi="Times New Roman"/>
          <w:lang w:val="en-US"/>
        </w:rPr>
        <w:t>intervened in the</w:t>
      </w:r>
      <w:r w:rsidR="00707BAA" w:rsidRPr="00602F08">
        <w:rPr>
          <w:rStyle w:val="normaltextrun"/>
          <w:rFonts w:ascii="Times New Roman" w:hAnsi="Times New Roman"/>
          <w:lang w:val="en-US"/>
        </w:rPr>
        <w:t xml:space="preserve"> </w:t>
      </w:r>
      <w:r w:rsidR="007E30EF" w:rsidRPr="00602F08">
        <w:rPr>
          <w:rStyle w:val="normaltextrun"/>
          <w:rFonts w:ascii="Times New Roman" w:hAnsi="Times New Roman"/>
          <w:lang w:val="en-US"/>
        </w:rPr>
        <w:t xml:space="preserve">course of argument to </w:t>
      </w:r>
      <w:r w:rsidRPr="00602F08">
        <w:rPr>
          <w:rStyle w:val="normaltextrun"/>
          <w:rFonts w:ascii="Times New Roman" w:hAnsi="Times New Roman"/>
          <w:lang w:val="en-US"/>
        </w:rPr>
        <w:t>indicat</w:t>
      </w:r>
      <w:r w:rsidR="00902EC6" w:rsidRPr="00602F08">
        <w:rPr>
          <w:rStyle w:val="normaltextrun"/>
          <w:rFonts w:ascii="Times New Roman" w:hAnsi="Times New Roman"/>
          <w:lang w:val="en-US"/>
        </w:rPr>
        <w:t>e</w:t>
      </w:r>
      <w:r w:rsidRPr="00602F08">
        <w:rPr>
          <w:rStyle w:val="normaltextrun"/>
          <w:rFonts w:ascii="Times New Roman" w:hAnsi="Times New Roman"/>
          <w:lang w:val="en-US"/>
        </w:rPr>
        <w:t xml:space="preserve"> that checks and changes would be required</w:t>
      </w:r>
      <w:r w:rsidR="00621FF7" w:rsidRPr="00602F08">
        <w:rPr>
          <w:rStyle w:val="normaltextrun"/>
          <w:rFonts w:ascii="Times New Roman" w:hAnsi="Times New Roman"/>
          <w:lang w:val="en-US"/>
        </w:rPr>
        <w:t xml:space="preserve"> to the </w:t>
      </w:r>
      <w:r w:rsidR="00C46055" w:rsidRPr="00602F08">
        <w:rPr>
          <w:rStyle w:val="normaltextrun"/>
          <w:rFonts w:ascii="Times New Roman" w:hAnsi="Times New Roman"/>
          <w:lang w:val="en-US"/>
        </w:rPr>
        <w:t>figures provided on 22 May 2020</w:t>
      </w:r>
      <w:r w:rsidRPr="00602F08">
        <w:rPr>
          <w:rStyle w:val="normaltextrun"/>
          <w:rFonts w:ascii="Times New Roman" w:hAnsi="Times New Roman"/>
          <w:lang w:val="en-US"/>
        </w:rPr>
        <w:t>. Updates were</w:t>
      </w:r>
      <w:r w:rsidR="00707BAA" w:rsidRPr="00602F08">
        <w:rPr>
          <w:rStyle w:val="normaltextrun"/>
          <w:rFonts w:ascii="Times New Roman" w:hAnsi="Times New Roman"/>
          <w:lang w:val="en-US"/>
        </w:rPr>
        <w:t xml:space="preserve"> then</w:t>
      </w:r>
      <w:r w:rsidRPr="00602F08">
        <w:rPr>
          <w:rStyle w:val="normaltextrun"/>
          <w:rFonts w:ascii="Times New Roman" w:hAnsi="Times New Roman"/>
          <w:lang w:val="en-US"/>
        </w:rPr>
        <w:t xml:space="preserve"> provided on each of the following days of the </w:t>
      </w:r>
      <w:r w:rsidR="00537F94" w:rsidRPr="00602F08">
        <w:rPr>
          <w:rStyle w:val="normaltextrun"/>
          <w:rFonts w:ascii="Times New Roman" w:hAnsi="Times New Roman"/>
          <w:lang w:val="en-US"/>
        </w:rPr>
        <w:t xml:space="preserve">oral </w:t>
      </w:r>
      <w:r w:rsidRPr="00602F08">
        <w:rPr>
          <w:rStyle w:val="normaltextrun"/>
          <w:rFonts w:ascii="Times New Roman" w:hAnsi="Times New Roman"/>
          <w:lang w:val="en-US"/>
        </w:rPr>
        <w:t xml:space="preserve">hearing, with a final explanation following in writing </w:t>
      </w:r>
      <w:r w:rsidR="00537F94" w:rsidRPr="00602F08">
        <w:rPr>
          <w:rStyle w:val="normaltextrun"/>
          <w:rFonts w:ascii="Times New Roman" w:hAnsi="Times New Roman"/>
          <w:lang w:val="en-US"/>
        </w:rPr>
        <w:t>after the oral hearing</w:t>
      </w:r>
      <w:r w:rsidR="001264E2" w:rsidRPr="00602F08">
        <w:rPr>
          <w:rStyle w:val="normaltextrun"/>
          <w:rFonts w:ascii="Times New Roman" w:hAnsi="Times New Roman"/>
          <w:lang w:val="en-US"/>
        </w:rPr>
        <w:t>, in the form of Mr Bilbao’s evidence</w:t>
      </w:r>
      <w:r w:rsidR="00B4476F" w:rsidRPr="00602F08">
        <w:rPr>
          <w:rStyle w:val="normaltextrun"/>
          <w:rFonts w:ascii="Times New Roman" w:hAnsi="Times New Roman"/>
          <w:lang w:val="en-US"/>
        </w:rPr>
        <w:t xml:space="preserve"> by wi</w:t>
      </w:r>
      <w:r w:rsidR="00E11FD7" w:rsidRPr="00602F08">
        <w:rPr>
          <w:rStyle w:val="normaltextrun"/>
          <w:rFonts w:ascii="Times New Roman" w:hAnsi="Times New Roman"/>
          <w:lang w:val="en-US"/>
        </w:rPr>
        <w:t>tness statement dated 17 August 2020</w:t>
      </w:r>
      <w:r w:rsidRPr="00602F08">
        <w:rPr>
          <w:rStyle w:val="normaltextrun"/>
          <w:rFonts w:ascii="Times New Roman" w:hAnsi="Times New Roman"/>
          <w:lang w:val="en-US"/>
        </w:rPr>
        <w:t>. Mr Ta</w:t>
      </w:r>
      <w:r w:rsidR="00645A51" w:rsidRPr="00602F08">
        <w:rPr>
          <w:rStyle w:val="normaltextrun"/>
          <w:rFonts w:ascii="Times New Roman" w:hAnsi="Times New Roman"/>
          <w:lang w:val="en-US"/>
        </w:rPr>
        <w:t>m</w:t>
      </w:r>
      <w:r w:rsidRPr="00602F08">
        <w:rPr>
          <w:rStyle w:val="normaltextrun"/>
          <w:rFonts w:ascii="Times New Roman" w:hAnsi="Times New Roman"/>
          <w:lang w:val="en-US"/>
        </w:rPr>
        <w:t xml:space="preserve"> QC handled the situation with the professionalism and integrity the Court would expect, but </w:t>
      </w:r>
      <w:r w:rsidR="00E47B5E" w:rsidRPr="00602F08">
        <w:rPr>
          <w:rFonts w:ascii="Times New Roman" w:hAnsi="Times New Roman"/>
          <w:spacing w:val="-3"/>
        </w:rPr>
        <w:t>Ms Zoe Leventhal and Mr Ben Amunwa</w:t>
      </w:r>
      <w:r w:rsidRPr="00602F08">
        <w:rPr>
          <w:rStyle w:val="normaltextrun"/>
          <w:rFonts w:ascii="Times New Roman" w:hAnsi="Times New Roman"/>
          <w:lang w:val="en-US"/>
        </w:rPr>
        <w:t xml:space="preserve"> </w:t>
      </w:r>
      <w:r w:rsidR="003701FC" w:rsidRPr="00602F08">
        <w:rPr>
          <w:rStyle w:val="normaltextrun"/>
          <w:rFonts w:ascii="Times New Roman" w:hAnsi="Times New Roman"/>
          <w:lang w:val="en-US"/>
        </w:rPr>
        <w:t xml:space="preserve">for AA </w:t>
      </w:r>
      <w:r w:rsidRPr="00602F08">
        <w:rPr>
          <w:rStyle w:val="normaltextrun"/>
          <w:rFonts w:ascii="Times New Roman" w:hAnsi="Times New Roman"/>
          <w:lang w:val="en-US"/>
        </w:rPr>
        <w:t xml:space="preserve">did not overstate the underlying position that he was handling and responding to when </w:t>
      </w:r>
      <w:r w:rsidR="00E47B5E" w:rsidRPr="00602F08">
        <w:rPr>
          <w:rStyle w:val="normaltextrun"/>
          <w:rFonts w:ascii="Times New Roman" w:hAnsi="Times New Roman"/>
          <w:lang w:val="en-US"/>
        </w:rPr>
        <w:t>they</w:t>
      </w:r>
      <w:r w:rsidRPr="00602F08">
        <w:rPr>
          <w:rStyle w:val="normaltextrun"/>
          <w:rFonts w:ascii="Times New Roman" w:hAnsi="Times New Roman"/>
          <w:lang w:val="en-US"/>
        </w:rPr>
        <w:t xml:space="preserve"> described it as chaotic. </w:t>
      </w:r>
    </w:p>
    <w:p w14:paraId="6D086B62" w14:textId="047C8E0B" w:rsidR="00CA20F7" w:rsidRPr="00602F08" w:rsidRDefault="00CA20F7" w:rsidP="00B6212D">
      <w:pPr>
        <w:pStyle w:val="ListParagraph"/>
        <w:widowControl w:val="0"/>
        <w:tabs>
          <w:tab w:val="left" w:pos="688"/>
        </w:tabs>
        <w:autoSpaceDE w:val="0"/>
        <w:autoSpaceDN w:val="0"/>
        <w:spacing w:before="11"/>
        <w:ind w:left="0"/>
        <w:contextualSpacing w:val="0"/>
        <w:jc w:val="both"/>
        <w:rPr>
          <w:rStyle w:val="eop"/>
          <w:rFonts w:ascii="Times New Roman" w:hAnsi="Times New Roman"/>
        </w:rPr>
      </w:pPr>
    </w:p>
    <w:p w14:paraId="1CE6638A" w14:textId="4A12C5D7" w:rsidR="00AA427A" w:rsidRPr="00602F08" w:rsidRDefault="001D4E81" w:rsidP="00B6212D">
      <w:pPr>
        <w:numPr>
          <w:ilvl w:val="0"/>
          <w:numId w:val="10"/>
        </w:numPr>
        <w:jc w:val="both"/>
        <w:rPr>
          <w:rStyle w:val="normaltextrun"/>
          <w:lang w:val="en-US"/>
        </w:rPr>
      </w:pPr>
      <w:r w:rsidRPr="00602F08">
        <w:rPr>
          <w:rStyle w:val="normaltextrun"/>
          <w:lang w:val="en-US"/>
        </w:rPr>
        <w:t>The actual overall provision of accommodation is as described earlier at paragraph</w:t>
      </w:r>
      <w:r w:rsidR="00EC507D">
        <w:rPr>
          <w:rStyle w:val="normaltextrun"/>
          <w:lang w:val="en-US"/>
        </w:rPr>
        <w:t xml:space="preserve"> [149</w:t>
      </w:r>
      <w:r w:rsidR="005676C6">
        <w:rPr>
          <w:rStyle w:val="normaltextrun"/>
          <w:lang w:val="en-US"/>
        </w:rPr>
        <w:t>]</w:t>
      </w:r>
      <w:r w:rsidRPr="00602F08">
        <w:rPr>
          <w:rStyle w:val="normaltextrun"/>
          <w:lang w:val="en-US"/>
        </w:rPr>
        <w:t xml:space="preserve">. </w:t>
      </w:r>
      <w:r w:rsidR="000646EE" w:rsidRPr="00602F08">
        <w:rPr>
          <w:rStyle w:val="normaltextrun"/>
          <w:lang w:val="en-US"/>
        </w:rPr>
        <w:t>It is obviously a serious matter where</w:t>
      </w:r>
      <w:r w:rsidRPr="00602F08">
        <w:rPr>
          <w:rStyle w:val="normaltextrun"/>
          <w:lang w:val="en-US"/>
        </w:rPr>
        <w:t>, as here,</w:t>
      </w:r>
      <w:r w:rsidR="000646EE" w:rsidRPr="00602F08">
        <w:rPr>
          <w:rStyle w:val="normaltextrun"/>
          <w:lang w:val="en-US"/>
        </w:rPr>
        <w:t xml:space="preserve"> inaccurate figures </w:t>
      </w:r>
      <w:r w:rsidR="007A7D8A" w:rsidRPr="00602F08">
        <w:rPr>
          <w:rStyle w:val="normaltextrun"/>
          <w:lang w:val="en-US"/>
        </w:rPr>
        <w:t>a</w:t>
      </w:r>
      <w:r w:rsidR="000646EE" w:rsidRPr="00602F08">
        <w:rPr>
          <w:rStyle w:val="normaltextrun"/>
          <w:lang w:val="en-US"/>
        </w:rPr>
        <w:t xml:space="preserve">re provided to a Court, but </w:t>
      </w:r>
      <w:r w:rsidR="00C815D4" w:rsidRPr="00602F08">
        <w:rPr>
          <w:rStyle w:val="normaltextrun"/>
          <w:lang w:val="en-US"/>
        </w:rPr>
        <w:t>the</w:t>
      </w:r>
      <w:r w:rsidR="00AA427A" w:rsidRPr="00602F08">
        <w:rPr>
          <w:rStyle w:val="normaltextrun"/>
          <w:lang w:val="en-US"/>
        </w:rPr>
        <w:t>re is a</w:t>
      </w:r>
      <w:r w:rsidR="00E112BB" w:rsidRPr="00602F08">
        <w:rPr>
          <w:rStyle w:val="normaltextrun"/>
          <w:lang w:val="en-US"/>
        </w:rPr>
        <w:t xml:space="preserve"> </w:t>
      </w:r>
      <w:r w:rsidR="0035017B" w:rsidRPr="00602F08">
        <w:rPr>
          <w:rStyle w:val="normaltextrun"/>
          <w:lang w:val="en-US"/>
        </w:rPr>
        <w:t>point with wider implications</w:t>
      </w:r>
      <w:r w:rsidR="003E65A2" w:rsidRPr="00602F08">
        <w:rPr>
          <w:rStyle w:val="normaltextrun"/>
          <w:lang w:val="en-US"/>
        </w:rPr>
        <w:t xml:space="preserve"> to the issues in the current proceeding</w:t>
      </w:r>
      <w:r w:rsidRPr="00602F08">
        <w:rPr>
          <w:rStyle w:val="normaltextrun"/>
          <w:lang w:val="en-US"/>
        </w:rPr>
        <w:t>s</w:t>
      </w:r>
      <w:r w:rsidR="00AA427A" w:rsidRPr="00602F08">
        <w:rPr>
          <w:rStyle w:val="normaltextrun"/>
          <w:lang w:val="en-US"/>
        </w:rPr>
        <w:t>.</w:t>
      </w:r>
      <w:r w:rsidRPr="00602F08">
        <w:rPr>
          <w:rStyle w:val="normaltextrun"/>
          <w:lang w:val="en-US"/>
        </w:rPr>
        <w:t xml:space="preserve"> </w:t>
      </w:r>
    </w:p>
    <w:p w14:paraId="4D856D4A" w14:textId="77777777" w:rsidR="00AA427A" w:rsidRPr="00602F08" w:rsidRDefault="00AA427A" w:rsidP="00B6212D">
      <w:pPr>
        <w:pStyle w:val="ListParagraph"/>
        <w:rPr>
          <w:rStyle w:val="normaltextrun"/>
          <w:rFonts w:ascii="Times New Roman" w:hAnsi="Times New Roman"/>
          <w:lang w:val="en-US"/>
        </w:rPr>
      </w:pPr>
    </w:p>
    <w:p w14:paraId="6D529AC1" w14:textId="5226D598" w:rsidR="001D4E81" w:rsidRPr="00602F08" w:rsidRDefault="00AA427A" w:rsidP="00B6212D">
      <w:pPr>
        <w:numPr>
          <w:ilvl w:val="0"/>
          <w:numId w:val="10"/>
        </w:numPr>
        <w:jc w:val="both"/>
        <w:rPr>
          <w:rStyle w:val="eop"/>
          <w:lang w:val="en-US"/>
        </w:rPr>
      </w:pPr>
      <w:r w:rsidRPr="00602F08">
        <w:rPr>
          <w:rStyle w:val="normaltextrun"/>
          <w:lang w:val="en-US"/>
        </w:rPr>
        <w:t>Th</w:t>
      </w:r>
      <w:r w:rsidR="001D4E81" w:rsidRPr="00602F08">
        <w:rPr>
          <w:rStyle w:val="normaltextrun"/>
          <w:lang w:val="en-US"/>
        </w:rPr>
        <w:t xml:space="preserve">is </w:t>
      </w:r>
      <w:r w:rsidR="00EF4D33" w:rsidRPr="00602F08">
        <w:rPr>
          <w:rStyle w:val="normaltextrun"/>
          <w:lang w:val="en-US"/>
        </w:rPr>
        <w:t xml:space="preserve">is </w:t>
      </w:r>
      <w:r w:rsidR="001D4E81" w:rsidRPr="00602F08">
        <w:rPr>
          <w:rStyle w:val="normaltextrun"/>
          <w:lang w:val="en-US"/>
        </w:rPr>
        <w:t>that the Secretary of State’s state of knowledge until July 2020</w:t>
      </w:r>
      <w:r w:rsidR="003C63C4" w:rsidRPr="00602F08">
        <w:rPr>
          <w:rStyle w:val="normaltextrun"/>
          <w:lang w:val="en-US"/>
        </w:rPr>
        <w:t>,</w:t>
      </w:r>
      <w:r w:rsidR="001D4E81" w:rsidRPr="00602F08">
        <w:rPr>
          <w:rStyle w:val="normaltextrun"/>
          <w:lang w:val="en-US"/>
        </w:rPr>
        <w:t xml:space="preserve"> through her officials</w:t>
      </w:r>
      <w:r w:rsidR="003C63C4" w:rsidRPr="00602F08">
        <w:rPr>
          <w:rStyle w:val="normaltextrun"/>
          <w:lang w:val="en-US"/>
        </w:rPr>
        <w:t>,</w:t>
      </w:r>
      <w:r w:rsidR="00162C50" w:rsidRPr="00602F08">
        <w:rPr>
          <w:rStyle w:val="normaltextrun"/>
          <w:lang w:val="en-US"/>
        </w:rPr>
        <w:t xml:space="preserve"> was </w:t>
      </w:r>
      <w:r w:rsidR="00995E83" w:rsidRPr="00602F08">
        <w:rPr>
          <w:rStyle w:val="normaltextrun"/>
          <w:lang w:val="en-US"/>
        </w:rPr>
        <w:t>inaccurate. Through her officials he</w:t>
      </w:r>
      <w:r w:rsidR="002A2FED" w:rsidRPr="00602F08">
        <w:rPr>
          <w:rStyle w:val="normaltextrun"/>
          <w:lang w:val="en-US"/>
        </w:rPr>
        <w:t>r</w:t>
      </w:r>
      <w:r w:rsidR="00995E83" w:rsidRPr="00602F08">
        <w:rPr>
          <w:rStyle w:val="normaltextrun"/>
          <w:lang w:val="en-US"/>
        </w:rPr>
        <w:t xml:space="preserve"> understanding</w:t>
      </w:r>
      <w:r w:rsidR="001D4E81" w:rsidRPr="00602F08">
        <w:rPr>
          <w:rStyle w:val="normaltextrun"/>
          <w:lang w:val="en-US"/>
        </w:rPr>
        <w:t xml:space="preserve"> was that the inaccurate figures were accurate, and therefore that the performance was as described in the written argument </w:t>
      </w:r>
      <w:r w:rsidR="00C27365" w:rsidRPr="00602F08">
        <w:rPr>
          <w:rStyle w:val="normaltextrun"/>
          <w:lang w:val="en-US"/>
        </w:rPr>
        <w:t xml:space="preserve">provided </w:t>
      </w:r>
      <w:r w:rsidR="001D4E81" w:rsidRPr="00602F08">
        <w:rPr>
          <w:rStyle w:val="normaltextrun"/>
          <w:lang w:val="en-US"/>
        </w:rPr>
        <w:t xml:space="preserve">on her behalf and quoted above. Indeed, the Court was informed the figures were adopted from a draft </w:t>
      </w:r>
      <w:r w:rsidR="00C27365" w:rsidRPr="00602F08">
        <w:rPr>
          <w:rStyle w:val="normaltextrun"/>
          <w:lang w:val="en-US"/>
        </w:rPr>
        <w:t xml:space="preserve">section </w:t>
      </w:r>
      <w:r w:rsidR="001D4E81" w:rsidRPr="00602F08">
        <w:rPr>
          <w:rStyle w:val="normaltextrun"/>
          <w:lang w:val="en-US"/>
        </w:rPr>
        <w:t>of a National Audit Office report</w:t>
      </w:r>
      <w:r w:rsidR="001D4E81" w:rsidRPr="00602F08">
        <w:rPr>
          <w:rStyle w:val="eop"/>
        </w:rPr>
        <w:t>.</w:t>
      </w:r>
    </w:p>
    <w:p w14:paraId="5D7E96E9" w14:textId="5B8056CB" w:rsidR="006527FF" w:rsidRPr="00602F08" w:rsidRDefault="000646EE" w:rsidP="00B6212D">
      <w:pPr>
        <w:ind w:left="687"/>
        <w:jc w:val="both"/>
        <w:rPr>
          <w:rStyle w:val="normaltextrun"/>
          <w:lang w:val="en-US"/>
        </w:rPr>
      </w:pPr>
      <w:r w:rsidRPr="00602F08">
        <w:rPr>
          <w:rStyle w:val="normaltextrun"/>
          <w:lang w:val="en-US"/>
        </w:rPr>
        <w:t xml:space="preserve"> </w:t>
      </w:r>
    </w:p>
    <w:p w14:paraId="31733CF4" w14:textId="7146DA23" w:rsidR="009B1FBE" w:rsidRPr="00602F08" w:rsidRDefault="009B1FBE" w:rsidP="0060244C">
      <w:pPr>
        <w:numPr>
          <w:ilvl w:val="0"/>
          <w:numId w:val="10"/>
        </w:numPr>
        <w:ind w:left="568"/>
        <w:jc w:val="both"/>
        <w:rPr>
          <w:rStyle w:val="eop"/>
          <w:lang w:val="en-US"/>
        </w:rPr>
      </w:pPr>
      <w:r w:rsidRPr="00602F08">
        <w:rPr>
          <w:rStyle w:val="normaltextrun"/>
          <w:lang w:val="en-US"/>
        </w:rPr>
        <w:t xml:space="preserve">At the oral hearing in July </w:t>
      </w:r>
      <w:r w:rsidR="002A2FED" w:rsidRPr="00602F08">
        <w:rPr>
          <w:rStyle w:val="normaltextrun"/>
          <w:lang w:val="en-US"/>
        </w:rPr>
        <w:t xml:space="preserve">2020 </w:t>
      </w:r>
      <w:r w:rsidRPr="00602F08">
        <w:rPr>
          <w:rStyle w:val="normaltextrun"/>
          <w:lang w:val="en-US"/>
        </w:rPr>
        <w:t xml:space="preserve">Mr Tam QC </w:t>
      </w:r>
      <w:r w:rsidR="00EF4D33" w:rsidRPr="00602F08">
        <w:rPr>
          <w:rStyle w:val="normaltextrun"/>
          <w:lang w:val="en-US"/>
        </w:rPr>
        <w:t xml:space="preserve">also </w:t>
      </w:r>
      <w:r w:rsidRPr="00602F08">
        <w:rPr>
          <w:rStyle w:val="normaltextrun"/>
          <w:lang w:val="en-US"/>
        </w:rPr>
        <w:t xml:space="preserve">informed the Court that the “service credit points due to be deducted” for February 2020 were not zero as stated on 22 May 2020 but 1250. For March 2020 they were not “low” as per the “preliminary indications” on 22 May 2020 but 1250. </w:t>
      </w:r>
    </w:p>
    <w:p w14:paraId="3D9D411B" w14:textId="77777777" w:rsidR="00B30302" w:rsidRPr="00602F08" w:rsidRDefault="00B30302" w:rsidP="00B6212D">
      <w:pPr>
        <w:pStyle w:val="ListParagraph"/>
        <w:jc w:val="both"/>
        <w:rPr>
          <w:rFonts w:ascii="Times New Roman" w:hAnsi="Times New Roman"/>
        </w:rPr>
      </w:pPr>
    </w:p>
    <w:p w14:paraId="6E58306D" w14:textId="659869FA" w:rsidR="00FC5748" w:rsidRPr="00602F08" w:rsidRDefault="006D1D7A" w:rsidP="00DF243A">
      <w:pPr>
        <w:numPr>
          <w:ilvl w:val="0"/>
          <w:numId w:val="10"/>
        </w:numPr>
        <w:jc w:val="both"/>
        <w:rPr>
          <w:lang w:val="en-US"/>
        </w:rPr>
      </w:pPr>
      <w:r w:rsidRPr="00602F08">
        <w:t xml:space="preserve">The Secretary of State was </w:t>
      </w:r>
      <w:r w:rsidR="006577B2" w:rsidRPr="00602F08">
        <w:t xml:space="preserve">due </w:t>
      </w:r>
      <w:r w:rsidRPr="00602F08">
        <w:t>to</w:t>
      </w:r>
      <w:r w:rsidR="000F44B4" w:rsidRPr="00602F08">
        <w:t xml:space="preserve"> </w:t>
      </w:r>
      <w:r w:rsidR="008F2094" w:rsidRPr="00602F08">
        <w:t xml:space="preserve">file evidence </w:t>
      </w:r>
      <w:r w:rsidR="006B7C8A" w:rsidRPr="00602F08">
        <w:t xml:space="preserve">after the oral hearing </w:t>
      </w:r>
      <w:r w:rsidR="00E13A01" w:rsidRPr="00602F08">
        <w:t xml:space="preserve">in late July </w:t>
      </w:r>
      <w:r w:rsidR="00322959" w:rsidRPr="00602F08">
        <w:t xml:space="preserve">2020 </w:t>
      </w:r>
      <w:r w:rsidR="008F2094" w:rsidRPr="00602F08">
        <w:t xml:space="preserve">to </w:t>
      </w:r>
      <w:r w:rsidR="000F44B4" w:rsidRPr="00602F08">
        <w:t>explain the errors that had led to the original disclosure of unreliable information</w:t>
      </w:r>
      <w:r w:rsidR="00322959" w:rsidRPr="00602F08">
        <w:t xml:space="preserve"> on 22 May 2020</w:t>
      </w:r>
      <w:r w:rsidR="000F44B4" w:rsidRPr="00602F08">
        <w:t>.</w:t>
      </w:r>
      <w:r w:rsidR="008F2094" w:rsidRPr="00602F08">
        <w:t xml:space="preserve"> </w:t>
      </w:r>
      <w:r w:rsidR="006D506A" w:rsidRPr="00602F08">
        <w:t xml:space="preserve">In </w:t>
      </w:r>
      <w:r w:rsidR="006527FF" w:rsidRPr="00602F08">
        <w:t xml:space="preserve">additional written submissions provided on behalf of the </w:t>
      </w:r>
      <w:r w:rsidR="006D506A" w:rsidRPr="00602F08">
        <w:t>Secretary of State</w:t>
      </w:r>
      <w:r w:rsidR="006527FF" w:rsidRPr="00602F08">
        <w:t xml:space="preserve"> on 13 September 2020, it was stated that the Secretary of State was aware that </w:t>
      </w:r>
      <w:r w:rsidR="00C666E7" w:rsidRPr="00602F08">
        <w:t>this</w:t>
      </w:r>
      <w:r w:rsidR="006527FF" w:rsidRPr="00602F08">
        <w:t xml:space="preserve"> remained </w:t>
      </w:r>
      <w:r w:rsidR="00B30302" w:rsidRPr="00602F08">
        <w:t xml:space="preserve">outstanding but “… </w:t>
      </w:r>
      <w:r w:rsidR="00212C9F" w:rsidRPr="00602F08">
        <w:t>as explained during the hearing, an illness is involved and this will take further time</w:t>
      </w:r>
      <w:r w:rsidR="00B30302" w:rsidRPr="00602F08">
        <w:t>”.</w:t>
      </w:r>
      <w:r w:rsidR="006527FF" w:rsidRPr="00602F08">
        <w:t xml:space="preserve"> </w:t>
      </w:r>
      <w:r w:rsidR="00FC5748" w:rsidRPr="00602F08">
        <w:rPr>
          <w:lang w:val="en-US"/>
        </w:rPr>
        <w:t>In the event an explanation was not provided until after a draft of this judgment was made available to the parties</w:t>
      </w:r>
      <w:r w:rsidR="00BF77CF" w:rsidRPr="00602F08">
        <w:rPr>
          <w:lang w:val="en-US"/>
        </w:rPr>
        <w:t>, in a witness statement from Mr Mill</w:t>
      </w:r>
      <w:r w:rsidR="003E5D48" w:rsidRPr="00602F08">
        <w:rPr>
          <w:lang w:val="en-US"/>
        </w:rPr>
        <w:t xml:space="preserve"> dated </w:t>
      </w:r>
      <w:r w:rsidR="00EE1FEA" w:rsidRPr="00602F08">
        <w:rPr>
          <w:lang w:val="en-US"/>
        </w:rPr>
        <w:t>10 December 2020</w:t>
      </w:r>
      <w:r w:rsidR="00FC5748" w:rsidRPr="00602F08">
        <w:rPr>
          <w:lang w:val="en-US"/>
        </w:rPr>
        <w:t xml:space="preserve">. </w:t>
      </w:r>
    </w:p>
    <w:p w14:paraId="4846BC35" w14:textId="77777777" w:rsidR="00FC5748" w:rsidRPr="00602F08" w:rsidRDefault="00FC5748" w:rsidP="00FC5748">
      <w:pPr>
        <w:pStyle w:val="ListParagraph"/>
        <w:rPr>
          <w:rFonts w:ascii="Times New Roman" w:hAnsi="Times New Roman"/>
        </w:rPr>
      </w:pPr>
    </w:p>
    <w:p w14:paraId="21161869" w14:textId="48FF9826" w:rsidR="00BB35BA" w:rsidRPr="00602F08" w:rsidRDefault="003159F2" w:rsidP="0003567E">
      <w:pPr>
        <w:numPr>
          <w:ilvl w:val="0"/>
          <w:numId w:val="10"/>
        </w:numPr>
        <w:jc w:val="both"/>
        <w:rPr>
          <w:lang w:val="en-US"/>
        </w:rPr>
      </w:pPr>
      <w:r w:rsidRPr="00602F08">
        <w:t>Mr Mill apologis</w:t>
      </w:r>
      <w:r w:rsidR="004361C1" w:rsidRPr="00602F08">
        <w:t>ed</w:t>
      </w:r>
      <w:r w:rsidRPr="00602F08">
        <w:t xml:space="preserve"> t</w:t>
      </w:r>
      <w:r w:rsidR="00DC3DD2" w:rsidRPr="00602F08">
        <w:t>h</w:t>
      </w:r>
      <w:r w:rsidRPr="00602F08">
        <w:t>at incorrect information was provided to the Court on 22 May 2020,</w:t>
      </w:r>
      <w:r w:rsidR="00DC3DD2" w:rsidRPr="00602F08">
        <w:t xml:space="preserve"> and </w:t>
      </w:r>
      <w:r w:rsidR="000A10F5" w:rsidRPr="00602F08">
        <w:t xml:space="preserve">Mr Mark Akiwumi </w:t>
      </w:r>
      <w:r w:rsidR="00783F49" w:rsidRPr="00602F08">
        <w:t xml:space="preserve">of the Government Legal Department </w:t>
      </w:r>
      <w:r w:rsidR="000A10F5" w:rsidRPr="00602F08">
        <w:t>apologises that the explanation was not provided at an earlier point. I accept</w:t>
      </w:r>
      <w:r w:rsidR="00C0499F" w:rsidRPr="00602F08">
        <w:t xml:space="preserve">, </w:t>
      </w:r>
      <w:r w:rsidR="00F95EB3" w:rsidRPr="00602F08">
        <w:t xml:space="preserve">without reservation, </w:t>
      </w:r>
      <w:r w:rsidR="00C0499F" w:rsidRPr="00602F08">
        <w:t xml:space="preserve">their apologies </w:t>
      </w:r>
      <w:r w:rsidR="002F2F3F" w:rsidRPr="00602F08">
        <w:t>and commend them for their</w:t>
      </w:r>
      <w:r w:rsidR="00F95EB3" w:rsidRPr="00602F08">
        <w:t xml:space="preserve"> frank</w:t>
      </w:r>
      <w:r w:rsidR="002F2F3F" w:rsidRPr="00602F08">
        <w:t xml:space="preserve"> acceptance of responsibility. </w:t>
      </w:r>
      <w:r w:rsidR="00783F49" w:rsidRPr="00602F08">
        <w:t xml:space="preserve">Mr </w:t>
      </w:r>
      <w:r w:rsidR="008552EC" w:rsidRPr="00602F08">
        <w:t xml:space="preserve">Mill’s evidence </w:t>
      </w:r>
      <w:r w:rsidR="00D54BFD" w:rsidRPr="00602F08">
        <w:t xml:space="preserve">on 10 December 2020 </w:t>
      </w:r>
      <w:r w:rsidR="00AD5424" w:rsidRPr="00602F08">
        <w:t xml:space="preserve">however </w:t>
      </w:r>
      <w:r w:rsidR="009C65DF" w:rsidRPr="00602F08">
        <w:t xml:space="preserve">includes </w:t>
      </w:r>
      <w:r w:rsidR="00F87A71" w:rsidRPr="00602F08">
        <w:t>three</w:t>
      </w:r>
      <w:r w:rsidR="00C14B36" w:rsidRPr="00602F08">
        <w:t xml:space="preserve"> matters</w:t>
      </w:r>
      <w:r w:rsidR="00BB35BA" w:rsidRPr="00602F08">
        <w:t xml:space="preserve"> </w:t>
      </w:r>
      <w:r w:rsidR="009C65DF" w:rsidRPr="00602F08">
        <w:t>that it is material to mention</w:t>
      </w:r>
      <w:r w:rsidR="00C14B36" w:rsidRPr="00602F08">
        <w:t xml:space="preserve"> because they bear on the substantive aspects of this judicial review</w:t>
      </w:r>
      <w:r w:rsidR="00BB35BA" w:rsidRPr="00602F08">
        <w:t>.</w:t>
      </w:r>
    </w:p>
    <w:p w14:paraId="67B3407F" w14:textId="77777777" w:rsidR="00BB35BA" w:rsidRPr="00602F08" w:rsidRDefault="00BB35BA" w:rsidP="00BB35BA">
      <w:pPr>
        <w:pStyle w:val="ListParagraph"/>
        <w:rPr>
          <w:rFonts w:ascii="Times New Roman" w:hAnsi="Times New Roman"/>
        </w:rPr>
      </w:pPr>
    </w:p>
    <w:p w14:paraId="2CA36643" w14:textId="26D33A92" w:rsidR="00585748" w:rsidRPr="00602F08" w:rsidRDefault="00BB35BA" w:rsidP="00BB35BA">
      <w:pPr>
        <w:numPr>
          <w:ilvl w:val="0"/>
          <w:numId w:val="10"/>
        </w:numPr>
        <w:jc w:val="both"/>
        <w:rPr>
          <w:lang w:val="en-US"/>
        </w:rPr>
      </w:pPr>
      <w:r w:rsidRPr="00602F08">
        <w:t>First, Mr Mill sa</w:t>
      </w:r>
      <w:r w:rsidR="004361C1" w:rsidRPr="00602F08">
        <w:t>id</w:t>
      </w:r>
      <w:r w:rsidRPr="00602F08">
        <w:t xml:space="preserve"> </w:t>
      </w:r>
      <w:r w:rsidR="005D2AFC" w:rsidRPr="00602F08">
        <w:t xml:space="preserve">that </w:t>
      </w:r>
      <w:r w:rsidRPr="00602F08">
        <w:t>a</w:t>
      </w:r>
      <w:r w:rsidR="00261C3A" w:rsidRPr="00602F08">
        <w:t xml:space="preserve">n </w:t>
      </w:r>
      <w:r w:rsidR="009A3BDD" w:rsidRPr="00602F08">
        <w:t>o</w:t>
      </w:r>
      <w:r w:rsidR="00261C3A" w:rsidRPr="00602F08">
        <w:t>perational team</w:t>
      </w:r>
      <w:r w:rsidR="009C65DF" w:rsidRPr="00602F08">
        <w:t xml:space="preserve"> “</w:t>
      </w:r>
      <w:r w:rsidR="00261C3A" w:rsidRPr="00602F08">
        <w:t>has at all times had ready access to information about the contractors’ performance, including information that is used to measure the Key Performance Indicators (KPI) specified by the contract</w:t>
      </w:r>
      <w:r w:rsidR="009C65DF" w:rsidRPr="00602F08">
        <w:t>”</w:t>
      </w:r>
      <w:r w:rsidR="00261C3A" w:rsidRPr="00602F08">
        <w:t xml:space="preserve">. </w:t>
      </w:r>
      <w:r w:rsidR="00950539" w:rsidRPr="00602F08">
        <w:t>He sa</w:t>
      </w:r>
      <w:r w:rsidR="00F0180D" w:rsidRPr="00602F08">
        <w:t>id</w:t>
      </w:r>
      <w:r w:rsidR="00950539" w:rsidRPr="00602F08">
        <w:t xml:space="preserve"> that t</w:t>
      </w:r>
      <w:r w:rsidR="00261C3A" w:rsidRPr="00602F08">
        <w:t xml:space="preserve">he </w:t>
      </w:r>
      <w:r w:rsidR="009A3BDD" w:rsidRPr="00602F08">
        <w:t>o</w:t>
      </w:r>
      <w:r w:rsidR="00261C3A" w:rsidRPr="00602F08">
        <w:t>perational team</w:t>
      </w:r>
      <w:r w:rsidR="00127D2C" w:rsidRPr="00602F08">
        <w:t xml:space="preserve"> were</w:t>
      </w:r>
      <w:r w:rsidR="00261C3A" w:rsidRPr="00602F08">
        <w:t xml:space="preserve"> </w:t>
      </w:r>
      <w:r w:rsidR="00127D2C" w:rsidRPr="00602F08">
        <w:t>“</w:t>
      </w:r>
      <w:r w:rsidR="00261C3A" w:rsidRPr="00602F08">
        <w:t>extremely stretched</w:t>
      </w:r>
      <w:r w:rsidR="00127D2C" w:rsidRPr="00602F08">
        <w:t>” in May 2020</w:t>
      </w:r>
      <w:r w:rsidR="00261C3A" w:rsidRPr="00602F08">
        <w:t xml:space="preserve"> </w:t>
      </w:r>
      <w:r w:rsidR="00127D2C" w:rsidRPr="00602F08">
        <w:t>“</w:t>
      </w:r>
      <w:r w:rsidR="00261C3A" w:rsidRPr="00602F08">
        <w:t>to ensure that eligible asylum seekers are provided with accommodation and support during the pandemic</w:t>
      </w:r>
      <w:r w:rsidR="00127D2C" w:rsidRPr="00602F08">
        <w:t>”</w:t>
      </w:r>
      <w:r w:rsidR="00261C3A" w:rsidRPr="00602F08">
        <w:t xml:space="preserve">. </w:t>
      </w:r>
      <w:r w:rsidR="00950539" w:rsidRPr="00602F08">
        <w:t>He add</w:t>
      </w:r>
      <w:r w:rsidR="00F0180D" w:rsidRPr="00602F08">
        <w:t>ed</w:t>
      </w:r>
      <w:r w:rsidR="00950539" w:rsidRPr="00602F08">
        <w:t xml:space="preserve"> that </w:t>
      </w:r>
      <w:r w:rsidR="007A2C32" w:rsidRPr="00602F08">
        <w:t>“</w:t>
      </w:r>
      <w:r w:rsidR="00397852" w:rsidRPr="00602F08">
        <w:t>[</w:t>
      </w:r>
      <w:r w:rsidR="003879A0" w:rsidRPr="00602F08">
        <w:t>a</w:t>
      </w:r>
      <w:r w:rsidR="00397852" w:rsidRPr="00602F08">
        <w:t>]</w:t>
      </w:r>
      <w:r w:rsidR="00261C3A" w:rsidRPr="00602F08">
        <w:t xml:space="preserve">t this particular point in time both the </w:t>
      </w:r>
      <w:r w:rsidR="00F0180D" w:rsidRPr="00602F08">
        <w:t>[o]</w:t>
      </w:r>
      <w:r w:rsidR="00261C3A" w:rsidRPr="00602F08">
        <w:t>perational team and my own commercial team were working on providing contingency solutions to ensure asylum seekers were not left destitute during the lockdown period.</w:t>
      </w:r>
      <w:r w:rsidR="007A2C32" w:rsidRPr="00602F08">
        <w:t>”</w:t>
      </w:r>
      <w:r w:rsidR="00261C3A" w:rsidRPr="00602F08">
        <w:t xml:space="preserve"> </w:t>
      </w:r>
      <w:r w:rsidR="00AD5424" w:rsidRPr="00602F08">
        <w:t>Colleagues who would have been better placed to provide advice and data were working on providing essential services for asylum seekers, often whilst trying to balance caring responsibilities.</w:t>
      </w:r>
    </w:p>
    <w:p w14:paraId="17139C21" w14:textId="77777777" w:rsidR="00BB35BA" w:rsidRPr="00602F08" w:rsidRDefault="00BB35BA" w:rsidP="00BB35BA">
      <w:pPr>
        <w:pStyle w:val="ListParagraph"/>
        <w:rPr>
          <w:rFonts w:ascii="Times New Roman" w:hAnsi="Times New Roman"/>
          <w:lang w:val="en-US"/>
        </w:rPr>
      </w:pPr>
    </w:p>
    <w:p w14:paraId="135DCCE7" w14:textId="6A65E0D5" w:rsidR="003565ED" w:rsidRPr="00602F08" w:rsidRDefault="001250A6" w:rsidP="00900D09">
      <w:pPr>
        <w:pStyle w:val="ListParagraph"/>
        <w:numPr>
          <w:ilvl w:val="0"/>
          <w:numId w:val="10"/>
        </w:numPr>
        <w:jc w:val="both"/>
        <w:rPr>
          <w:rFonts w:ascii="Times New Roman" w:hAnsi="Times New Roman"/>
          <w:lang w:val="en-US"/>
        </w:rPr>
      </w:pPr>
      <w:r w:rsidRPr="00602F08">
        <w:rPr>
          <w:rFonts w:ascii="Times New Roman" w:hAnsi="Times New Roman"/>
          <w:noProof/>
          <w:lang w:eastAsia="en-GB"/>
        </w:rPr>
        <mc:AlternateContent>
          <mc:Choice Requires="wpi">
            <w:drawing>
              <wp:anchor distT="0" distB="0" distL="114300" distR="114300" simplePos="0" relativeHeight="251662848" behindDoc="0" locked="0" layoutInCell="1" allowOverlap="1" wp14:anchorId="5A4CAB5A" wp14:editId="421168EA">
                <wp:simplePos x="0" y="0"/>
                <wp:positionH relativeFrom="column">
                  <wp:posOffset>7984246</wp:posOffset>
                </wp:positionH>
                <wp:positionV relativeFrom="paragraph">
                  <wp:posOffset>717501</wp:posOffset>
                </wp:positionV>
                <wp:extent cx="17280" cy="151920"/>
                <wp:effectExtent l="57150" t="38100" r="40005" b="57785"/>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17280" cy="151920"/>
                      </w14:xfrm>
                    </w14:contentPart>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9E16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28pt;margin-top:55.8pt;width:2.7pt;height:13.3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">
                <v:imagedata r:id="rId13" o:title=""/>
              </v:shape>
            </w:pict>
          </mc:Fallback>
        </mc:AlternateContent>
      </w:r>
      <w:r w:rsidR="00BB35BA" w:rsidRPr="00602F08">
        <w:rPr>
          <w:rStyle w:val="eop"/>
          <w:rFonts w:ascii="Times New Roman" w:hAnsi="Times New Roman"/>
          <w:lang w:val="en-US"/>
        </w:rPr>
        <w:t>As to this, whilst I full</w:t>
      </w:r>
      <w:r w:rsidR="00121EE0" w:rsidRPr="00602F08">
        <w:rPr>
          <w:rStyle w:val="eop"/>
          <w:rFonts w:ascii="Times New Roman" w:hAnsi="Times New Roman"/>
          <w:lang w:val="en-US"/>
        </w:rPr>
        <w:t>y</w:t>
      </w:r>
      <w:r w:rsidR="00BB35BA" w:rsidRPr="00602F08">
        <w:rPr>
          <w:rStyle w:val="eop"/>
          <w:rFonts w:ascii="Times New Roman" w:hAnsi="Times New Roman"/>
          <w:lang w:val="en-US"/>
        </w:rPr>
        <w:t xml:space="preserve"> understand the </w:t>
      </w:r>
      <w:r w:rsidR="00106FBC" w:rsidRPr="00602F08">
        <w:rPr>
          <w:rStyle w:val="eop"/>
          <w:rFonts w:ascii="Times New Roman" w:hAnsi="Times New Roman"/>
          <w:lang w:val="en-US"/>
        </w:rPr>
        <w:t xml:space="preserve">significant </w:t>
      </w:r>
      <w:r w:rsidR="00BB35BA" w:rsidRPr="00602F08">
        <w:rPr>
          <w:rStyle w:val="eop"/>
          <w:rFonts w:ascii="Times New Roman" w:hAnsi="Times New Roman"/>
          <w:lang w:val="en-US"/>
        </w:rPr>
        <w:t xml:space="preserve">pressures of the </w:t>
      </w:r>
      <w:r w:rsidR="00121EE0" w:rsidRPr="00602F08">
        <w:rPr>
          <w:rStyle w:val="eop"/>
          <w:rFonts w:ascii="Times New Roman" w:hAnsi="Times New Roman"/>
          <w:lang w:val="en-US"/>
        </w:rPr>
        <w:t>p</w:t>
      </w:r>
      <w:r w:rsidR="00BB35BA" w:rsidRPr="00602F08">
        <w:rPr>
          <w:rStyle w:val="eop"/>
          <w:rFonts w:ascii="Times New Roman" w:hAnsi="Times New Roman"/>
          <w:lang w:val="en-US"/>
        </w:rPr>
        <w:t>andemic</w:t>
      </w:r>
      <w:r w:rsidR="001635E1" w:rsidRPr="00602F08">
        <w:rPr>
          <w:rStyle w:val="eop"/>
          <w:rFonts w:ascii="Times New Roman" w:hAnsi="Times New Roman"/>
          <w:lang w:val="en-US"/>
        </w:rPr>
        <w:t xml:space="preserve"> and the intense work required</w:t>
      </w:r>
      <w:r w:rsidR="00D81685" w:rsidRPr="00602F08">
        <w:rPr>
          <w:rStyle w:val="eop"/>
          <w:rFonts w:ascii="Times New Roman" w:hAnsi="Times New Roman"/>
          <w:lang w:val="en-US"/>
        </w:rPr>
        <w:t xml:space="preserve"> as a result of it</w:t>
      </w:r>
      <w:r w:rsidR="00BB35BA" w:rsidRPr="00602F08">
        <w:rPr>
          <w:rStyle w:val="eop"/>
          <w:rFonts w:ascii="Times New Roman" w:hAnsi="Times New Roman"/>
          <w:lang w:val="en-US"/>
        </w:rPr>
        <w:t xml:space="preserve">, </w:t>
      </w:r>
      <w:r w:rsidR="00C20108" w:rsidRPr="00602F08">
        <w:rPr>
          <w:rStyle w:val="eop"/>
          <w:rFonts w:ascii="Times New Roman" w:hAnsi="Times New Roman"/>
          <w:lang w:val="en-US"/>
        </w:rPr>
        <w:t>what Mr Mill terms “</w:t>
      </w:r>
      <w:r w:rsidR="00BB35BA" w:rsidRPr="00602F08">
        <w:rPr>
          <w:rFonts w:ascii="Times New Roman" w:hAnsi="Times New Roman"/>
        </w:rPr>
        <w:t>ready access to information about the contractors’ performance, including information that is used to measure the Key Performance Indicators (KPI) specified by the contract”</w:t>
      </w:r>
      <w:r w:rsidR="00C20108" w:rsidRPr="00602F08">
        <w:rPr>
          <w:rFonts w:ascii="Times New Roman" w:hAnsi="Times New Roman"/>
        </w:rPr>
        <w:t xml:space="preserve"> w</w:t>
      </w:r>
      <w:r w:rsidR="00F12A09" w:rsidRPr="00602F08">
        <w:rPr>
          <w:rFonts w:ascii="Times New Roman" w:hAnsi="Times New Roman"/>
        </w:rPr>
        <w:t>as not sufficiently ready to</w:t>
      </w:r>
      <w:r w:rsidR="00BB35BA" w:rsidRPr="00602F08">
        <w:rPr>
          <w:rFonts w:ascii="Times New Roman" w:hAnsi="Times New Roman"/>
        </w:rPr>
        <w:t xml:space="preserve"> </w:t>
      </w:r>
      <w:r w:rsidR="00900D09" w:rsidRPr="00602F08">
        <w:rPr>
          <w:rFonts w:ascii="Times New Roman" w:hAnsi="Times New Roman"/>
        </w:rPr>
        <w:t xml:space="preserve">allow access without </w:t>
      </w:r>
      <w:r w:rsidR="00BB35BA" w:rsidRPr="00602F08">
        <w:rPr>
          <w:rFonts w:ascii="Times New Roman" w:hAnsi="Times New Roman"/>
        </w:rPr>
        <w:t xml:space="preserve">distraction from the intense </w:t>
      </w:r>
      <w:r w:rsidR="002F2217" w:rsidRPr="00602F08">
        <w:rPr>
          <w:rFonts w:ascii="Times New Roman" w:hAnsi="Times New Roman"/>
        </w:rPr>
        <w:t>wor</w:t>
      </w:r>
      <w:r w:rsidR="004F1F45" w:rsidRPr="00602F08">
        <w:rPr>
          <w:rFonts w:ascii="Times New Roman" w:hAnsi="Times New Roman"/>
        </w:rPr>
        <w:t>k</w:t>
      </w:r>
      <w:r w:rsidR="00BB35BA" w:rsidRPr="00602F08">
        <w:rPr>
          <w:rFonts w:ascii="Times New Roman" w:hAnsi="Times New Roman"/>
        </w:rPr>
        <w:t xml:space="preserve"> required by the pandemic. </w:t>
      </w:r>
      <w:r w:rsidR="00900D09" w:rsidRPr="00602F08">
        <w:rPr>
          <w:rFonts w:ascii="Times New Roman" w:hAnsi="Times New Roman"/>
        </w:rPr>
        <w:t xml:space="preserve"> But m</w:t>
      </w:r>
      <w:r w:rsidR="006602D8" w:rsidRPr="00602F08">
        <w:rPr>
          <w:rFonts w:ascii="Times New Roman" w:hAnsi="Times New Roman"/>
        </w:rPr>
        <w:t>ore crucial stil</w:t>
      </w:r>
      <w:r w:rsidR="00900D09" w:rsidRPr="00602F08">
        <w:rPr>
          <w:rFonts w:ascii="Times New Roman" w:hAnsi="Times New Roman"/>
        </w:rPr>
        <w:t xml:space="preserve">l is </w:t>
      </w:r>
      <w:r w:rsidR="00D1392D" w:rsidRPr="00602F08">
        <w:rPr>
          <w:rFonts w:ascii="Times New Roman" w:hAnsi="Times New Roman"/>
        </w:rPr>
        <w:t>the</w:t>
      </w:r>
      <w:r w:rsidR="001D0151" w:rsidRPr="00602F08">
        <w:rPr>
          <w:rFonts w:ascii="Times New Roman" w:hAnsi="Times New Roman"/>
        </w:rPr>
        <w:t xml:space="preserve"> </w:t>
      </w:r>
      <w:r w:rsidR="003752E6" w:rsidRPr="00602F08">
        <w:rPr>
          <w:rFonts w:ascii="Times New Roman" w:hAnsi="Times New Roman"/>
        </w:rPr>
        <w:t>point</w:t>
      </w:r>
      <w:r w:rsidR="001D0151" w:rsidRPr="00602F08">
        <w:rPr>
          <w:rFonts w:ascii="Times New Roman" w:hAnsi="Times New Roman"/>
        </w:rPr>
        <w:t xml:space="preserve"> </w:t>
      </w:r>
      <w:r w:rsidR="00F525D0" w:rsidRPr="00602F08">
        <w:rPr>
          <w:rFonts w:ascii="Times New Roman" w:hAnsi="Times New Roman"/>
        </w:rPr>
        <w:t xml:space="preserve">that “advice and data” that colleagues “would have been better placed to provide” </w:t>
      </w:r>
      <w:r w:rsidR="00CA7DBC" w:rsidRPr="00602F08">
        <w:rPr>
          <w:rFonts w:ascii="Times New Roman" w:hAnsi="Times New Roman"/>
        </w:rPr>
        <w:t>is seen as</w:t>
      </w:r>
      <w:r w:rsidR="006C0B52" w:rsidRPr="00602F08">
        <w:rPr>
          <w:rFonts w:ascii="Times New Roman" w:hAnsi="Times New Roman"/>
        </w:rPr>
        <w:t xml:space="preserve"> something other than</w:t>
      </w:r>
      <w:r w:rsidR="00827B10" w:rsidRPr="00602F08">
        <w:rPr>
          <w:rFonts w:ascii="Times New Roman" w:hAnsi="Times New Roman"/>
        </w:rPr>
        <w:t xml:space="preserve"> </w:t>
      </w:r>
      <w:r w:rsidR="00F525D0" w:rsidRPr="00602F08">
        <w:rPr>
          <w:rFonts w:ascii="Times New Roman" w:hAnsi="Times New Roman"/>
        </w:rPr>
        <w:t xml:space="preserve">essential to the successful provision of services, </w:t>
      </w:r>
      <w:r w:rsidR="00FF10CD" w:rsidRPr="00602F08">
        <w:rPr>
          <w:rFonts w:ascii="Times New Roman" w:hAnsi="Times New Roman"/>
        </w:rPr>
        <w:t>including (and perhaps especially) in the pandemic</w:t>
      </w:r>
      <w:r w:rsidR="00F525D0" w:rsidRPr="00602F08">
        <w:rPr>
          <w:rFonts w:ascii="Times New Roman" w:hAnsi="Times New Roman"/>
        </w:rPr>
        <w:t>.</w:t>
      </w:r>
    </w:p>
    <w:p w14:paraId="108A6F1F" w14:textId="77777777" w:rsidR="003565ED" w:rsidRPr="00602F08" w:rsidRDefault="003565ED" w:rsidP="003565ED">
      <w:pPr>
        <w:pStyle w:val="ListParagraph"/>
        <w:rPr>
          <w:rFonts w:ascii="Times New Roman" w:hAnsi="Times New Roman"/>
        </w:rPr>
      </w:pPr>
    </w:p>
    <w:p w14:paraId="012C8AC0" w14:textId="4027057A" w:rsidR="001B3AD8" w:rsidRPr="00602F08" w:rsidRDefault="003565ED" w:rsidP="001B3AD8">
      <w:pPr>
        <w:pStyle w:val="ListParagraph"/>
        <w:numPr>
          <w:ilvl w:val="0"/>
          <w:numId w:val="10"/>
        </w:numPr>
        <w:jc w:val="both"/>
        <w:rPr>
          <w:rFonts w:ascii="Times New Roman" w:hAnsi="Times New Roman"/>
          <w:lang w:val="en-US"/>
        </w:rPr>
      </w:pPr>
      <w:r w:rsidRPr="00602F08">
        <w:rPr>
          <w:rFonts w:ascii="Times New Roman" w:hAnsi="Times New Roman"/>
        </w:rPr>
        <w:t>Second, Mr Mill</w:t>
      </w:r>
      <w:r w:rsidR="00F13B9F" w:rsidRPr="00602F08">
        <w:rPr>
          <w:rFonts w:ascii="Times New Roman" w:hAnsi="Times New Roman"/>
        </w:rPr>
        <w:t xml:space="preserve"> sa</w:t>
      </w:r>
      <w:r w:rsidR="007D740D" w:rsidRPr="00602F08">
        <w:rPr>
          <w:rFonts w:ascii="Times New Roman" w:hAnsi="Times New Roman"/>
        </w:rPr>
        <w:t>id</w:t>
      </w:r>
      <w:r w:rsidR="00F13B9F" w:rsidRPr="00602F08">
        <w:rPr>
          <w:rFonts w:ascii="Times New Roman" w:hAnsi="Times New Roman"/>
        </w:rPr>
        <w:t>: “KPI performance should also be reported to my team, but the reporting systems to allow this were not in place in May 2020.”</w:t>
      </w:r>
      <w:r w:rsidR="00CE60DF" w:rsidRPr="00602F08">
        <w:rPr>
          <w:rFonts w:ascii="Times New Roman" w:hAnsi="Times New Roman"/>
        </w:rPr>
        <w:t xml:space="preserve"> </w:t>
      </w:r>
      <w:r w:rsidR="00B15EAB" w:rsidRPr="00602F08">
        <w:rPr>
          <w:rFonts w:ascii="Times New Roman" w:hAnsi="Times New Roman"/>
        </w:rPr>
        <w:t xml:space="preserve">He </w:t>
      </w:r>
      <w:r w:rsidR="00AD53CC" w:rsidRPr="00602F08">
        <w:rPr>
          <w:rFonts w:ascii="Times New Roman" w:hAnsi="Times New Roman"/>
        </w:rPr>
        <w:t>sa</w:t>
      </w:r>
      <w:r w:rsidR="007D740D" w:rsidRPr="00602F08">
        <w:rPr>
          <w:rFonts w:ascii="Times New Roman" w:hAnsi="Times New Roman"/>
        </w:rPr>
        <w:t>id</w:t>
      </w:r>
      <w:r w:rsidR="00AD53CC" w:rsidRPr="00602F08">
        <w:rPr>
          <w:rFonts w:ascii="Times New Roman" w:hAnsi="Times New Roman"/>
        </w:rPr>
        <w:t xml:space="preserve"> t</w:t>
      </w:r>
      <w:r w:rsidR="00F13B9F" w:rsidRPr="00602F08">
        <w:rPr>
          <w:rFonts w:ascii="Times New Roman" w:hAnsi="Times New Roman"/>
        </w:rPr>
        <w:t xml:space="preserve">he information required </w:t>
      </w:r>
      <w:r w:rsidR="00AD53CC" w:rsidRPr="00602F08">
        <w:rPr>
          <w:rFonts w:ascii="Times New Roman" w:hAnsi="Times New Roman"/>
        </w:rPr>
        <w:t xml:space="preserve">to comply with the Court’s order </w:t>
      </w:r>
      <w:r w:rsidR="00F13B9F" w:rsidRPr="00602F08">
        <w:rPr>
          <w:rFonts w:ascii="Times New Roman" w:hAnsi="Times New Roman"/>
        </w:rPr>
        <w:t>was not readily available to him and he did not have “ready access to the underlying data”</w:t>
      </w:r>
      <w:r w:rsidR="00AD53CC" w:rsidRPr="00602F08">
        <w:rPr>
          <w:rFonts w:ascii="Times New Roman" w:hAnsi="Times New Roman"/>
        </w:rPr>
        <w:t>.</w:t>
      </w:r>
      <w:r w:rsidR="00FF0808" w:rsidRPr="00602F08">
        <w:rPr>
          <w:rFonts w:ascii="Times New Roman" w:hAnsi="Times New Roman"/>
        </w:rPr>
        <w:t xml:space="preserve"> </w:t>
      </w:r>
      <w:r w:rsidR="00053768" w:rsidRPr="00602F08">
        <w:rPr>
          <w:rFonts w:ascii="Times New Roman" w:hAnsi="Times New Roman"/>
        </w:rPr>
        <w:t xml:space="preserve">He </w:t>
      </w:r>
      <w:r w:rsidR="009747D3" w:rsidRPr="00602F08">
        <w:rPr>
          <w:rFonts w:ascii="Times New Roman" w:hAnsi="Times New Roman"/>
        </w:rPr>
        <w:t>indicated that</w:t>
      </w:r>
      <w:r w:rsidRPr="00602F08">
        <w:rPr>
          <w:rFonts w:ascii="Times New Roman" w:hAnsi="Times New Roman"/>
        </w:rPr>
        <w:t xml:space="preserve"> information relevant to KPI 2 </w:t>
      </w:r>
      <w:r w:rsidR="00CE60DF" w:rsidRPr="00602F08">
        <w:rPr>
          <w:rFonts w:ascii="Times New Roman" w:hAnsi="Times New Roman"/>
        </w:rPr>
        <w:t>is r</w:t>
      </w:r>
      <w:r w:rsidRPr="00602F08">
        <w:rPr>
          <w:rFonts w:ascii="Times New Roman" w:hAnsi="Times New Roman"/>
        </w:rPr>
        <w:t xml:space="preserve">eported </w:t>
      </w:r>
      <w:r w:rsidR="0007230D" w:rsidRPr="00602F08">
        <w:rPr>
          <w:rFonts w:ascii="Times New Roman" w:hAnsi="Times New Roman"/>
        </w:rPr>
        <w:t>(</w:t>
      </w:r>
      <w:r w:rsidR="00771ED4" w:rsidRPr="00602F08">
        <w:rPr>
          <w:rFonts w:ascii="Times New Roman" w:hAnsi="Times New Roman"/>
        </w:rPr>
        <w:t>elsewhere</w:t>
      </w:r>
      <w:r w:rsidR="0007230D" w:rsidRPr="00602F08">
        <w:rPr>
          <w:rFonts w:ascii="Times New Roman" w:hAnsi="Times New Roman"/>
        </w:rPr>
        <w:t>)</w:t>
      </w:r>
      <w:r w:rsidR="00771ED4" w:rsidRPr="00602F08">
        <w:rPr>
          <w:rFonts w:ascii="Times New Roman" w:hAnsi="Times New Roman"/>
        </w:rPr>
        <w:t xml:space="preserve"> in the </w:t>
      </w:r>
      <w:r w:rsidRPr="00602F08">
        <w:rPr>
          <w:rFonts w:ascii="Times New Roman" w:hAnsi="Times New Roman"/>
        </w:rPr>
        <w:t>Home Offic</w:t>
      </w:r>
      <w:r w:rsidR="009747D3" w:rsidRPr="00602F08">
        <w:rPr>
          <w:rFonts w:ascii="Times New Roman" w:hAnsi="Times New Roman"/>
        </w:rPr>
        <w:t xml:space="preserve">e, </w:t>
      </w:r>
      <w:r w:rsidR="00771ED4" w:rsidRPr="00602F08">
        <w:rPr>
          <w:rFonts w:ascii="Times New Roman" w:hAnsi="Times New Roman"/>
        </w:rPr>
        <w:t>but</w:t>
      </w:r>
      <w:r w:rsidRPr="00602F08">
        <w:rPr>
          <w:rFonts w:ascii="Times New Roman" w:hAnsi="Times New Roman"/>
        </w:rPr>
        <w:t xml:space="preserve"> it was not practicable to disclose relevant documents containing this information even if redacted for confidentiality and sensitivity, because </w:t>
      </w:r>
      <w:r w:rsidR="00C556FF" w:rsidRPr="00602F08">
        <w:rPr>
          <w:rFonts w:ascii="Times New Roman" w:hAnsi="Times New Roman"/>
        </w:rPr>
        <w:t>“</w:t>
      </w:r>
      <w:r w:rsidRPr="00602F08">
        <w:rPr>
          <w:rFonts w:ascii="Times New Roman" w:hAnsi="Times New Roman"/>
        </w:rPr>
        <w:t>it would have been incomprehensible and indigestible</w:t>
      </w:r>
      <w:r w:rsidR="00C556FF" w:rsidRPr="00602F08">
        <w:rPr>
          <w:rFonts w:ascii="Times New Roman" w:hAnsi="Times New Roman"/>
        </w:rPr>
        <w:t>”</w:t>
      </w:r>
      <w:r w:rsidRPr="00602F08">
        <w:rPr>
          <w:rFonts w:ascii="Times New Roman" w:hAnsi="Times New Roman"/>
        </w:rPr>
        <w:t>.</w:t>
      </w:r>
      <w:r w:rsidR="001B3AD8" w:rsidRPr="00602F08">
        <w:rPr>
          <w:rFonts w:ascii="Times New Roman" w:hAnsi="Times New Roman"/>
        </w:rPr>
        <w:t xml:space="preserve"> Mr Mill sa</w:t>
      </w:r>
      <w:r w:rsidR="00C556FF" w:rsidRPr="00602F08">
        <w:rPr>
          <w:rFonts w:ascii="Times New Roman" w:hAnsi="Times New Roman"/>
        </w:rPr>
        <w:t xml:space="preserve">id </w:t>
      </w:r>
      <w:r w:rsidR="001B3AD8" w:rsidRPr="00602F08">
        <w:rPr>
          <w:rFonts w:ascii="Times New Roman" w:hAnsi="Times New Roman"/>
        </w:rPr>
        <w:t xml:space="preserve">he “had access to the initial draft of a National Audit Office (“NAO”) Report following a review they had undertaken into the performance of the AASC.” </w:t>
      </w:r>
      <w:r w:rsidR="00E040A8" w:rsidRPr="00602F08">
        <w:rPr>
          <w:rFonts w:ascii="Times New Roman" w:hAnsi="Times New Roman"/>
        </w:rPr>
        <w:t xml:space="preserve">This was used </w:t>
      </w:r>
      <w:r w:rsidR="00510FB3" w:rsidRPr="00602F08">
        <w:rPr>
          <w:rFonts w:ascii="Times New Roman" w:hAnsi="Times New Roman"/>
        </w:rPr>
        <w:t>to provide the information on 22 May 2020. Mr Mill</w:t>
      </w:r>
      <w:r w:rsidR="001B3AD8" w:rsidRPr="00602F08">
        <w:rPr>
          <w:rFonts w:ascii="Times New Roman" w:hAnsi="Times New Roman"/>
        </w:rPr>
        <w:t xml:space="preserve"> acknowledged that the NAO’s information source was the Home Office itself. He sa</w:t>
      </w:r>
      <w:r w:rsidR="0038340C" w:rsidRPr="00602F08">
        <w:rPr>
          <w:rFonts w:ascii="Times New Roman" w:hAnsi="Times New Roman"/>
        </w:rPr>
        <w:t>id</w:t>
      </w:r>
      <w:r w:rsidR="001B3AD8" w:rsidRPr="00602F08">
        <w:rPr>
          <w:rFonts w:ascii="Times New Roman" w:hAnsi="Times New Roman"/>
        </w:rPr>
        <w:t xml:space="preserve"> “that the NAO had misinterpreted the data made available to them, and that the Home Office pointed this out to the NAO.”.</w:t>
      </w:r>
    </w:p>
    <w:p w14:paraId="48A5CC70" w14:textId="77777777" w:rsidR="00FF0808" w:rsidRPr="00602F08" w:rsidRDefault="00FF0808" w:rsidP="00F23449">
      <w:pPr>
        <w:pStyle w:val="ListParagraph"/>
        <w:ind w:left="687"/>
        <w:jc w:val="both"/>
        <w:rPr>
          <w:rFonts w:ascii="Times New Roman" w:hAnsi="Times New Roman"/>
          <w:lang w:val="en-US"/>
        </w:rPr>
      </w:pPr>
    </w:p>
    <w:p w14:paraId="310F47E9" w14:textId="0743080C" w:rsidR="002B2020" w:rsidRPr="00602F08" w:rsidRDefault="00F23449" w:rsidP="001250A6">
      <w:pPr>
        <w:pStyle w:val="ListParagraph"/>
        <w:widowControl w:val="0"/>
        <w:numPr>
          <w:ilvl w:val="0"/>
          <w:numId w:val="10"/>
        </w:numPr>
        <w:tabs>
          <w:tab w:val="left" w:pos="688"/>
        </w:tabs>
        <w:autoSpaceDE w:val="0"/>
        <w:autoSpaceDN w:val="0"/>
        <w:spacing w:before="11"/>
        <w:jc w:val="both"/>
        <w:rPr>
          <w:rFonts w:ascii="Times New Roman" w:hAnsi="Times New Roman"/>
          <w:lang w:val="en-US"/>
        </w:rPr>
      </w:pPr>
      <w:r w:rsidRPr="00602F08">
        <w:rPr>
          <w:rFonts w:ascii="Times New Roman" w:hAnsi="Times New Roman"/>
        </w:rPr>
        <w:t>As to this</w:t>
      </w:r>
      <w:r w:rsidR="001D0151" w:rsidRPr="00602F08">
        <w:rPr>
          <w:rFonts w:ascii="Times New Roman" w:hAnsi="Times New Roman"/>
        </w:rPr>
        <w:t>,</w:t>
      </w:r>
      <w:r w:rsidRPr="00602F08">
        <w:rPr>
          <w:rFonts w:ascii="Times New Roman" w:hAnsi="Times New Roman"/>
        </w:rPr>
        <w:t xml:space="preserve"> </w:t>
      </w:r>
      <w:r w:rsidR="004F7CA1" w:rsidRPr="00602F08">
        <w:rPr>
          <w:rFonts w:ascii="Times New Roman" w:hAnsi="Times New Roman"/>
        </w:rPr>
        <w:t>it</w:t>
      </w:r>
      <w:r w:rsidR="004F7CA1" w:rsidRPr="00602F08">
        <w:rPr>
          <w:rFonts w:ascii="Times New Roman" w:hAnsi="Times New Roman"/>
          <w:lang w:val="en-US"/>
        </w:rPr>
        <w:t xml:space="preserve"> is to be kept in mind that Mr Mill and his team</w:t>
      </w:r>
      <w:r w:rsidR="006A74DC" w:rsidRPr="00602F08">
        <w:rPr>
          <w:rFonts w:ascii="Times New Roman" w:hAnsi="Times New Roman"/>
          <w:lang w:val="en-US"/>
        </w:rPr>
        <w:t xml:space="preserve"> </w:t>
      </w:r>
      <w:r w:rsidR="004F7CA1" w:rsidRPr="00602F08">
        <w:rPr>
          <w:rFonts w:ascii="Times New Roman" w:hAnsi="Times New Roman"/>
          <w:lang w:val="en-US"/>
        </w:rPr>
        <w:t xml:space="preserve">had </w:t>
      </w:r>
      <w:r w:rsidR="006A74DC" w:rsidRPr="00602F08">
        <w:rPr>
          <w:rFonts w:ascii="Times New Roman" w:hAnsi="Times New Roman"/>
        </w:rPr>
        <w:t>“responsibility for the commercial management of the UKVI asylum portfolio including management of the AASC contracts” (Mr Mill’s statement of 24 June 2020)</w:t>
      </w:r>
      <w:r w:rsidR="004F7CA1" w:rsidRPr="00602F08">
        <w:rPr>
          <w:rFonts w:ascii="Times New Roman" w:hAnsi="Times New Roman"/>
        </w:rPr>
        <w:t>” T</w:t>
      </w:r>
      <w:r w:rsidR="006F6DE7" w:rsidRPr="00602F08">
        <w:rPr>
          <w:rFonts w:ascii="Times New Roman" w:hAnsi="Times New Roman"/>
        </w:rPr>
        <w:t>he Court</w:t>
      </w:r>
      <w:r w:rsidR="001D0151" w:rsidRPr="00602F08">
        <w:rPr>
          <w:rFonts w:ascii="Times New Roman" w:hAnsi="Times New Roman"/>
        </w:rPr>
        <w:t>’s</w:t>
      </w:r>
      <w:r w:rsidR="006F6DE7" w:rsidRPr="00602F08">
        <w:rPr>
          <w:rFonts w:ascii="Times New Roman" w:hAnsi="Times New Roman"/>
        </w:rPr>
        <w:t xml:space="preserve"> order was </w:t>
      </w:r>
      <w:r w:rsidR="00240BBC" w:rsidRPr="00602F08">
        <w:rPr>
          <w:rFonts w:ascii="Times New Roman" w:hAnsi="Times New Roman"/>
        </w:rPr>
        <w:t>simply for “t</w:t>
      </w:r>
      <w:r w:rsidR="00FF0808" w:rsidRPr="00602F08">
        <w:rPr>
          <w:rFonts w:ascii="Times New Roman" w:hAnsi="Times New Roman"/>
        </w:rPr>
        <w:t>he s.4 accommodation provider's contractual reporting on its performance on dispersal within the timeframes set by [the Secretary of State] since inception of its contract with [the Secretary of State] ["the Contract"]</w:t>
      </w:r>
      <w:r w:rsidR="00240BBC" w:rsidRPr="00602F08">
        <w:rPr>
          <w:rFonts w:ascii="Times New Roman" w:hAnsi="Times New Roman"/>
        </w:rPr>
        <w:t>.</w:t>
      </w:r>
      <w:r w:rsidR="00240BBC" w:rsidRPr="00602F08">
        <w:rPr>
          <w:rFonts w:ascii="Times New Roman" w:hAnsi="Times New Roman"/>
          <w:lang w:val="en-US"/>
        </w:rPr>
        <w:t xml:space="preserve"> </w:t>
      </w:r>
      <w:r w:rsidR="00B34676" w:rsidRPr="00602F08">
        <w:rPr>
          <w:rFonts w:ascii="Times New Roman" w:hAnsi="Times New Roman"/>
        </w:rPr>
        <w:t>Mr Mill’s</w:t>
      </w:r>
      <w:r w:rsidR="008E32FC" w:rsidRPr="00602F08">
        <w:rPr>
          <w:rFonts w:ascii="Times New Roman" w:hAnsi="Times New Roman"/>
          <w:lang w:val="en-US"/>
        </w:rPr>
        <w:t xml:space="preserve"> evidence</w:t>
      </w:r>
      <w:r w:rsidR="00240BBC" w:rsidRPr="00602F08">
        <w:rPr>
          <w:rFonts w:ascii="Times New Roman" w:hAnsi="Times New Roman"/>
          <w:lang w:val="en-US"/>
        </w:rPr>
        <w:t xml:space="preserve"> gives rise to the concern that </w:t>
      </w:r>
      <w:r w:rsidR="008E32FC" w:rsidRPr="00602F08">
        <w:rPr>
          <w:rFonts w:ascii="Times New Roman" w:hAnsi="Times New Roman"/>
          <w:lang w:val="en-US"/>
        </w:rPr>
        <w:t xml:space="preserve">even </w:t>
      </w:r>
      <w:r w:rsidR="00240BBC" w:rsidRPr="00602F08">
        <w:rPr>
          <w:rFonts w:ascii="Times New Roman" w:hAnsi="Times New Roman"/>
          <w:lang w:val="en-US"/>
        </w:rPr>
        <w:t xml:space="preserve">where data is </w:t>
      </w:r>
      <w:r w:rsidR="00FE759A" w:rsidRPr="00602F08">
        <w:rPr>
          <w:rFonts w:ascii="Times New Roman" w:hAnsi="Times New Roman"/>
          <w:lang w:val="en-US"/>
        </w:rPr>
        <w:t xml:space="preserve">being </w:t>
      </w:r>
      <w:r w:rsidR="00240BBC" w:rsidRPr="00602F08">
        <w:rPr>
          <w:rFonts w:ascii="Times New Roman" w:hAnsi="Times New Roman"/>
          <w:lang w:val="en-US"/>
        </w:rPr>
        <w:t>gathered on behalf of the Secretary of State it is not readily accessible in a form usable for monitoring</w:t>
      </w:r>
      <w:r w:rsidR="001250A6" w:rsidRPr="00602F08">
        <w:rPr>
          <w:rFonts w:ascii="Times New Roman" w:hAnsi="Times New Roman"/>
          <w:lang w:val="en-US"/>
        </w:rPr>
        <w:t xml:space="preserve"> or (as discovered by the NAO) i</w:t>
      </w:r>
      <w:r w:rsidR="002B2020" w:rsidRPr="00602F08">
        <w:rPr>
          <w:rFonts w:ascii="Times New Roman" w:hAnsi="Times New Roman"/>
          <w:lang w:val="en-US"/>
        </w:rPr>
        <w:t>s capable of being misinterpreted.</w:t>
      </w:r>
    </w:p>
    <w:p w14:paraId="32467ACE" w14:textId="77777777" w:rsidR="002B2020" w:rsidRPr="00602F08" w:rsidRDefault="002B2020" w:rsidP="002B2020">
      <w:pPr>
        <w:pStyle w:val="ListParagraph"/>
        <w:rPr>
          <w:rFonts w:ascii="Times New Roman" w:hAnsi="Times New Roman"/>
        </w:rPr>
      </w:pPr>
    </w:p>
    <w:p w14:paraId="723BBA9D" w14:textId="77777777" w:rsidR="00B34676" w:rsidRPr="00602F08" w:rsidRDefault="001250A6" w:rsidP="00C14B36">
      <w:pPr>
        <w:pStyle w:val="ListParagraph"/>
        <w:numPr>
          <w:ilvl w:val="0"/>
          <w:numId w:val="10"/>
        </w:numPr>
        <w:jc w:val="both"/>
        <w:rPr>
          <w:rFonts w:ascii="Times New Roman" w:hAnsi="Times New Roman"/>
          <w:lang w:val="en-US"/>
        </w:rPr>
      </w:pPr>
      <w:r w:rsidRPr="00602F08">
        <w:rPr>
          <w:rFonts w:ascii="Times New Roman" w:hAnsi="Times New Roman"/>
        </w:rPr>
        <w:t>Third</w:t>
      </w:r>
      <w:r w:rsidR="002B2020" w:rsidRPr="00602F08">
        <w:rPr>
          <w:rFonts w:ascii="Times New Roman" w:hAnsi="Times New Roman"/>
        </w:rPr>
        <w:t xml:space="preserve">, </w:t>
      </w:r>
      <w:r w:rsidR="00E25190" w:rsidRPr="00602F08">
        <w:rPr>
          <w:rFonts w:ascii="Times New Roman" w:hAnsi="Times New Roman"/>
        </w:rPr>
        <w:t>Mr Mill add</w:t>
      </w:r>
      <w:r w:rsidR="00B34676" w:rsidRPr="00602F08">
        <w:rPr>
          <w:rFonts w:ascii="Times New Roman" w:hAnsi="Times New Roman"/>
        </w:rPr>
        <w:t>ed</w:t>
      </w:r>
      <w:r w:rsidR="00E25190" w:rsidRPr="00602F08">
        <w:rPr>
          <w:rFonts w:ascii="Times New Roman" w:hAnsi="Times New Roman"/>
        </w:rPr>
        <w:t xml:space="preserve"> this: </w:t>
      </w:r>
    </w:p>
    <w:p w14:paraId="787318DC" w14:textId="77777777" w:rsidR="00B34676" w:rsidRPr="00602F08" w:rsidRDefault="00B34676" w:rsidP="00B34676">
      <w:pPr>
        <w:pStyle w:val="ListParagraph"/>
        <w:rPr>
          <w:rFonts w:ascii="Times New Roman" w:hAnsi="Times New Roman"/>
        </w:rPr>
      </w:pPr>
    </w:p>
    <w:p w14:paraId="1AAA1387" w14:textId="44D9CA89" w:rsidR="00C14B36" w:rsidRPr="00602F08" w:rsidRDefault="0087538C" w:rsidP="00B34676">
      <w:pPr>
        <w:pStyle w:val="ListParagraph"/>
        <w:ind w:left="1440"/>
        <w:jc w:val="both"/>
        <w:rPr>
          <w:rFonts w:ascii="Times New Roman" w:hAnsi="Times New Roman"/>
          <w:lang w:val="en-US"/>
        </w:rPr>
      </w:pPr>
      <w:r w:rsidRPr="00602F08">
        <w:rPr>
          <w:rFonts w:ascii="Times New Roman" w:hAnsi="Times New Roman"/>
        </w:rPr>
        <w:t>“</w:t>
      </w:r>
      <w:r w:rsidR="00261C3A" w:rsidRPr="00602F08">
        <w:rPr>
          <w:rFonts w:ascii="Times New Roman" w:hAnsi="Times New Roman"/>
        </w:rPr>
        <w:t>At that time, I had heard anecdotal evidence to the effect that during 2020, Serco’s performance in the Midlands and East of England region had improved by leaps and bounds when compared to the first few months of them providing services in that region, and I therefore believed that Serco’s performance in the Midlands and East of England Region had indeed improved significantly in the first quarter of 2020 when compared to the latter part of 2019.</w:t>
      </w:r>
      <w:r w:rsidRPr="00602F08">
        <w:rPr>
          <w:rFonts w:ascii="Times New Roman" w:hAnsi="Times New Roman"/>
        </w:rPr>
        <w:t>”</w:t>
      </w:r>
      <w:r w:rsidR="00FA38C3" w:rsidRPr="00602F08">
        <w:rPr>
          <w:rFonts w:ascii="Times New Roman" w:hAnsi="Times New Roman"/>
        </w:rPr>
        <w:t xml:space="preserve"> </w:t>
      </w:r>
    </w:p>
    <w:p w14:paraId="09BBD573" w14:textId="77777777" w:rsidR="00C14B36" w:rsidRPr="00602F08" w:rsidRDefault="00C14B36" w:rsidP="00C14B36">
      <w:pPr>
        <w:pStyle w:val="ListParagraph"/>
        <w:rPr>
          <w:rFonts w:ascii="Times New Roman" w:hAnsi="Times New Roman"/>
        </w:rPr>
      </w:pPr>
    </w:p>
    <w:p w14:paraId="23239CB6" w14:textId="3842DCC0" w:rsidR="00F05D42" w:rsidRPr="00602F08" w:rsidRDefault="00FA38C3" w:rsidP="00C14B36">
      <w:pPr>
        <w:pStyle w:val="ListParagraph"/>
        <w:numPr>
          <w:ilvl w:val="0"/>
          <w:numId w:val="10"/>
        </w:numPr>
        <w:jc w:val="both"/>
        <w:rPr>
          <w:rStyle w:val="eop"/>
          <w:rFonts w:ascii="Times New Roman" w:hAnsi="Times New Roman"/>
          <w:lang w:val="en-US"/>
        </w:rPr>
      </w:pPr>
      <w:r w:rsidRPr="00602F08">
        <w:rPr>
          <w:rFonts w:ascii="Times New Roman" w:hAnsi="Times New Roman"/>
        </w:rPr>
        <w:t xml:space="preserve">As to this, one of the reasons why data </w:t>
      </w:r>
      <w:r w:rsidR="00CC1663">
        <w:rPr>
          <w:rFonts w:ascii="Times New Roman" w:hAnsi="Times New Roman"/>
        </w:rPr>
        <w:t xml:space="preserve">capture </w:t>
      </w:r>
      <w:r w:rsidRPr="00602F08">
        <w:rPr>
          <w:rFonts w:ascii="Times New Roman" w:hAnsi="Times New Roman"/>
        </w:rPr>
        <w:t xml:space="preserve">and monitoring </w:t>
      </w:r>
      <w:r w:rsidR="00BF4C35">
        <w:rPr>
          <w:rFonts w:ascii="Times New Roman" w:hAnsi="Times New Roman"/>
        </w:rPr>
        <w:t>are</w:t>
      </w:r>
      <w:r w:rsidRPr="00602F08">
        <w:rPr>
          <w:rFonts w:ascii="Times New Roman" w:hAnsi="Times New Roman"/>
        </w:rPr>
        <w:t xml:space="preserve"> so important is to avoid the </w:t>
      </w:r>
      <w:r w:rsidR="00B92822" w:rsidRPr="00602F08">
        <w:rPr>
          <w:rFonts w:ascii="Times New Roman" w:hAnsi="Times New Roman"/>
        </w:rPr>
        <w:t>risks where anecdotal evidence alone informs belief. It seems clear that at May 2020</w:t>
      </w:r>
      <w:r w:rsidR="00312805" w:rsidRPr="00602F08">
        <w:rPr>
          <w:rFonts w:ascii="Times New Roman" w:hAnsi="Times New Roman"/>
        </w:rPr>
        <w:t>,</w:t>
      </w:r>
      <w:r w:rsidR="00B92822" w:rsidRPr="00602F08">
        <w:rPr>
          <w:rFonts w:ascii="Times New Roman" w:hAnsi="Times New Roman"/>
        </w:rPr>
        <w:t xml:space="preserve"> </w:t>
      </w:r>
      <w:r w:rsidR="00EC1166" w:rsidRPr="00602F08">
        <w:rPr>
          <w:rFonts w:ascii="Times New Roman" w:hAnsi="Times New Roman"/>
        </w:rPr>
        <w:t xml:space="preserve">the arrangements described by Mr Bilbao </w:t>
      </w:r>
      <w:r w:rsidR="008C0F33" w:rsidRPr="00602F08">
        <w:rPr>
          <w:rFonts w:ascii="Times New Roman" w:hAnsi="Times New Roman"/>
        </w:rPr>
        <w:t xml:space="preserve">in his witness statement of 17 August 2020 </w:t>
      </w:r>
      <w:r w:rsidR="00EC1166" w:rsidRPr="00602F08">
        <w:rPr>
          <w:rFonts w:ascii="Times New Roman" w:hAnsi="Times New Roman"/>
        </w:rPr>
        <w:t xml:space="preserve">were not </w:t>
      </w:r>
      <w:r w:rsidR="00312805" w:rsidRPr="00602F08">
        <w:rPr>
          <w:rFonts w:ascii="Times New Roman" w:hAnsi="Times New Roman"/>
        </w:rPr>
        <w:t>reaching</w:t>
      </w:r>
      <w:r w:rsidR="00D45FF6" w:rsidRPr="00602F08">
        <w:rPr>
          <w:rFonts w:ascii="Times New Roman" w:hAnsi="Times New Roman"/>
        </w:rPr>
        <w:t xml:space="preserve"> </w:t>
      </w:r>
      <w:r w:rsidR="00C33B8B" w:rsidRPr="00602F08">
        <w:rPr>
          <w:rFonts w:ascii="Times New Roman" w:hAnsi="Times New Roman"/>
        </w:rPr>
        <w:t xml:space="preserve">those </w:t>
      </w:r>
      <w:r w:rsidR="00D45FF6" w:rsidRPr="00602F08">
        <w:rPr>
          <w:rFonts w:ascii="Times New Roman" w:hAnsi="Times New Roman"/>
        </w:rPr>
        <w:t xml:space="preserve">with </w:t>
      </w:r>
      <w:r w:rsidR="007575A7" w:rsidRPr="00602F08">
        <w:rPr>
          <w:rFonts w:ascii="Times New Roman" w:hAnsi="Times New Roman"/>
        </w:rPr>
        <w:t xml:space="preserve">“responsibility for the </w:t>
      </w:r>
      <w:r w:rsidR="00967F02" w:rsidRPr="00602F08">
        <w:rPr>
          <w:rFonts w:ascii="Times New Roman" w:hAnsi="Times New Roman"/>
        </w:rPr>
        <w:t xml:space="preserve">commercial management of the UKVI asylum portfolio including management of the AASC contracts” (Mr Mill’s statement of </w:t>
      </w:r>
      <w:r w:rsidR="00C14B36" w:rsidRPr="00602F08">
        <w:rPr>
          <w:rFonts w:ascii="Times New Roman" w:hAnsi="Times New Roman"/>
        </w:rPr>
        <w:t>24 June 2020)</w:t>
      </w:r>
      <w:r w:rsidR="00BF465F" w:rsidRPr="00602F08">
        <w:rPr>
          <w:rFonts w:ascii="Times New Roman" w:hAnsi="Times New Roman"/>
        </w:rPr>
        <w:t xml:space="preserve">, who were prepared </w:t>
      </w:r>
      <w:r w:rsidR="00FF51BD" w:rsidRPr="00602F08">
        <w:rPr>
          <w:rFonts w:ascii="Times New Roman" w:hAnsi="Times New Roman"/>
        </w:rPr>
        <w:t xml:space="preserve">instead to accept anecdotal evidence </w:t>
      </w:r>
      <w:r w:rsidR="00D72665" w:rsidRPr="00602F08">
        <w:rPr>
          <w:rFonts w:ascii="Times New Roman" w:hAnsi="Times New Roman"/>
        </w:rPr>
        <w:t xml:space="preserve">that Mr Mill “had heard” </w:t>
      </w:r>
      <w:r w:rsidR="00FF51BD" w:rsidRPr="00602F08">
        <w:rPr>
          <w:rFonts w:ascii="Times New Roman" w:hAnsi="Times New Roman"/>
        </w:rPr>
        <w:t xml:space="preserve">to support a belief that performance in </w:t>
      </w:r>
      <w:r w:rsidR="00FB6404" w:rsidRPr="00602F08">
        <w:rPr>
          <w:rFonts w:ascii="Times New Roman" w:hAnsi="Times New Roman"/>
        </w:rPr>
        <w:t xml:space="preserve">the Midlands and East of England </w:t>
      </w:r>
      <w:r w:rsidR="001B42FD" w:rsidRPr="00602F08">
        <w:rPr>
          <w:rFonts w:ascii="Times New Roman" w:hAnsi="Times New Roman"/>
        </w:rPr>
        <w:t xml:space="preserve">against KPI 2 </w:t>
      </w:r>
      <w:r w:rsidR="00FB6404" w:rsidRPr="00602F08">
        <w:rPr>
          <w:rFonts w:ascii="Times New Roman" w:hAnsi="Times New Roman"/>
        </w:rPr>
        <w:t xml:space="preserve">had improved from </w:t>
      </w:r>
      <w:r w:rsidR="00E979F3" w:rsidRPr="00602F08">
        <w:rPr>
          <w:rFonts w:ascii="Times New Roman" w:hAnsi="Times New Roman"/>
        </w:rPr>
        <w:t xml:space="preserve">61% </w:t>
      </w:r>
      <w:r w:rsidR="00FF317E" w:rsidRPr="00602F08">
        <w:rPr>
          <w:rFonts w:ascii="Times New Roman" w:hAnsi="Times New Roman"/>
        </w:rPr>
        <w:t xml:space="preserve">in one quarter to </w:t>
      </w:r>
      <w:r w:rsidR="00E979F3" w:rsidRPr="00602F08">
        <w:rPr>
          <w:rFonts w:ascii="Times New Roman" w:hAnsi="Times New Roman"/>
        </w:rPr>
        <w:t>96%</w:t>
      </w:r>
      <w:r w:rsidR="00FF317E" w:rsidRPr="00602F08">
        <w:rPr>
          <w:rFonts w:ascii="Times New Roman" w:hAnsi="Times New Roman"/>
        </w:rPr>
        <w:t xml:space="preserve"> in the next</w:t>
      </w:r>
      <w:r w:rsidR="00C14B36" w:rsidRPr="00602F08">
        <w:rPr>
          <w:rFonts w:ascii="Times New Roman" w:hAnsi="Times New Roman"/>
        </w:rPr>
        <w:t>.</w:t>
      </w:r>
    </w:p>
    <w:p w14:paraId="551A6408" w14:textId="6633FEAD" w:rsidR="00734AD5" w:rsidRPr="00602F08" w:rsidRDefault="00734AD5" w:rsidP="00C14B36">
      <w:pPr>
        <w:jc w:val="both"/>
        <w:rPr>
          <w:rStyle w:val="eop"/>
          <w:lang w:val="en-US"/>
        </w:rPr>
      </w:pPr>
    </w:p>
    <w:p w14:paraId="2B990A67" w14:textId="3206E4BC" w:rsidR="00CA20F7" w:rsidRPr="00602F08" w:rsidRDefault="009E5B2F" w:rsidP="00734AD5">
      <w:pPr>
        <w:pStyle w:val="ListParagraph"/>
        <w:numPr>
          <w:ilvl w:val="0"/>
          <w:numId w:val="10"/>
        </w:numPr>
        <w:jc w:val="both"/>
        <w:rPr>
          <w:rStyle w:val="normaltextrun"/>
          <w:rFonts w:ascii="Times New Roman" w:hAnsi="Times New Roman"/>
          <w:lang w:val="en-US"/>
        </w:rPr>
      </w:pPr>
      <w:r w:rsidRPr="00602F08">
        <w:rPr>
          <w:rStyle w:val="eop"/>
          <w:rFonts w:ascii="Times New Roman" w:hAnsi="Times New Roman"/>
        </w:rPr>
        <w:t>It is now known that the relevant KPI was largely not being met.</w:t>
      </w:r>
      <w:r w:rsidR="00DC45A6" w:rsidRPr="00602F08">
        <w:rPr>
          <w:rStyle w:val="normaltextrun"/>
          <w:rFonts w:ascii="Times New Roman" w:hAnsi="Times New Roman"/>
          <w:lang w:val="en-US"/>
        </w:rPr>
        <w:t xml:space="preserve"> </w:t>
      </w:r>
      <w:r w:rsidR="00D80874" w:rsidRPr="00602F08">
        <w:rPr>
          <w:rStyle w:val="normaltextrun"/>
          <w:rFonts w:ascii="Times New Roman" w:hAnsi="Times New Roman"/>
          <w:lang w:val="en-US"/>
        </w:rPr>
        <w:t>Through her officials</w:t>
      </w:r>
      <w:r w:rsidR="009F17B3" w:rsidRPr="00602F08">
        <w:rPr>
          <w:rStyle w:val="normaltextrun"/>
          <w:rFonts w:ascii="Times New Roman" w:hAnsi="Times New Roman"/>
          <w:lang w:val="en-US"/>
        </w:rPr>
        <w:t>,</w:t>
      </w:r>
      <w:r w:rsidR="00D80874" w:rsidRPr="00602F08">
        <w:rPr>
          <w:rStyle w:val="normaltextrun"/>
          <w:rFonts w:ascii="Times New Roman" w:hAnsi="Times New Roman"/>
          <w:lang w:val="en-US"/>
        </w:rPr>
        <w:t xml:space="preserve"> the Secretary of State did n</w:t>
      </w:r>
      <w:r w:rsidR="00422828" w:rsidRPr="00602F08">
        <w:rPr>
          <w:rStyle w:val="normaltextrun"/>
          <w:rFonts w:ascii="Times New Roman" w:hAnsi="Times New Roman"/>
          <w:lang w:val="en-US"/>
        </w:rPr>
        <w:t xml:space="preserve">ot </w:t>
      </w:r>
      <w:r w:rsidR="00CB7A50" w:rsidRPr="00602F08">
        <w:rPr>
          <w:rStyle w:val="normaltextrun"/>
          <w:rFonts w:ascii="Times New Roman" w:hAnsi="Times New Roman"/>
          <w:lang w:val="en-US"/>
        </w:rPr>
        <w:t xml:space="preserve">in practice </w:t>
      </w:r>
      <w:r w:rsidR="00422828" w:rsidRPr="00602F08">
        <w:rPr>
          <w:rStyle w:val="normaltextrun"/>
          <w:rFonts w:ascii="Times New Roman" w:hAnsi="Times New Roman"/>
          <w:lang w:val="en-US"/>
        </w:rPr>
        <w:t xml:space="preserve">have </w:t>
      </w:r>
      <w:r w:rsidR="00CB7A50" w:rsidRPr="00602F08">
        <w:rPr>
          <w:rStyle w:val="normaltextrun"/>
          <w:rFonts w:ascii="Times New Roman" w:hAnsi="Times New Roman"/>
          <w:lang w:val="en-US"/>
        </w:rPr>
        <w:t>the means</w:t>
      </w:r>
      <w:r w:rsidR="00D80874" w:rsidRPr="00602F08">
        <w:rPr>
          <w:rStyle w:val="normaltextrun"/>
          <w:rFonts w:ascii="Times New Roman" w:hAnsi="Times New Roman"/>
          <w:lang w:val="en-US"/>
        </w:rPr>
        <w:t xml:space="preserve"> </w:t>
      </w:r>
      <w:r w:rsidR="00422828" w:rsidRPr="00602F08">
        <w:rPr>
          <w:rStyle w:val="normaltextrun"/>
          <w:rFonts w:ascii="Times New Roman" w:hAnsi="Times New Roman"/>
          <w:lang w:val="en-US"/>
        </w:rPr>
        <w:t xml:space="preserve">to </w:t>
      </w:r>
      <w:r w:rsidR="00D80874" w:rsidRPr="00602F08">
        <w:rPr>
          <w:rStyle w:val="normaltextrun"/>
          <w:rFonts w:ascii="Times New Roman" w:hAnsi="Times New Roman"/>
          <w:lang w:val="en-US"/>
        </w:rPr>
        <w:t>the true position.</w:t>
      </w:r>
      <w:r w:rsidR="00E10585" w:rsidRPr="00602F08">
        <w:rPr>
          <w:rStyle w:val="normaltextrun"/>
          <w:rFonts w:ascii="Times New Roman" w:hAnsi="Times New Roman"/>
          <w:lang w:val="en-US"/>
        </w:rPr>
        <w:t xml:space="preserve"> </w:t>
      </w:r>
      <w:r w:rsidR="00CE1803" w:rsidRPr="00602F08">
        <w:rPr>
          <w:rStyle w:val="normaltextrun"/>
          <w:rFonts w:ascii="Times New Roman" w:hAnsi="Times New Roman"/>
          <w:lang w:val="en-US"/>
        </w:rPr>
        <w:t>Th</w:t>
      </w:r>
      <w:r w:rsidR="00867132" w:rsidRPr="00602F08">
        <w:rPr>
          <w:rStyle w:val="normaltextrun"/>
          <w:rFonts w:ascii="Times New Roman" w:hAnsi="Times New Roman"/>
          <w:lang w:val="en-US"/>
        </w:rPr>
        <w:t>is is because th</w:t>
      </w:r>
      <w:r w:rsidR="00CE1803" w:rsidRPr="00602F08">
        <w:rPr>
          <w:rStyle w:val="normaltextrun"/>
          <w:rFonts w:ascii="Times New Roman" w:hAnsi="Times New Roman"/>
          <w:lang w:val="en-US"/>
        </w:rPr>
        <w:t>e</w:t>
      </w:r>
      <w:r w:rsidR="005001A7" w:rsidRPr="00602F08">
        <w:rPr>
          <w:rStyle w:val="normaltextrun"/>
          <w:rFonts w:ascii="Times New Roman" w:hAnsi="Times New Roman"/>
          <w:lang w:val="en-US"/>
        </w:rPr>
        <w:t>re</w:t>
      </w:r>
      <w:r w:rsidR="00F21115" w:rsidRPr="00602F08">
        <w:rPr>
          <w:rStyle w:val="normaltextrun"/>
          <w:rFonts w:ascii="Times New Roman" w:hAnsi="Times New Roman"/>
          <w:lang w:val="en-US"/>
        </w:rPr>
        <w:t xml:space="preserve"> w</w:t>
      </w:r>
      <w:r w:rsidR="00CB7A50" w:rsidRPr="00602F08">
        <w:rPr>
          <w:rStyle w:val="normaltextrun"/>
          <w:rFonts w:ascii="Times New Roman" w:hAnsi="Times New Roman"/>
          <w:lang w:val="en-US"/>
        </w:rPr>
        <w:t>ere</w:t>
      </w:r>
      <w:r w:rsidR="00F21115" w:rsidRPr="00602F08">
        <w:rPr>
          <w:rStyle w:val="normaltextrun"/>
          <w:rFonts w:ascii="Times New Roman" w:hAnsi="Times New Roman"/>
          <w:lang w:val="en-US"/>
        </w:rPr>
        <w:t xml:space="preserve"> no</w:t>
      </w:r>
      <w:r w:rsidR="005001A7" w:rsidRPr="00602F08">
        <w:rPr>
          <w:rStyle w:val="normaltextrun"/>
          <w:rFonts w:ascii="Times New Roman" w:hAnsi="Times New Roman"/>
          <w:lang w:val="en-US"/>
        </w:rPr>
        <w:t xml:space="preserve"> proper </w:t>
      </w:r>
      <w:r w:rsidR="00B72799" w:rsidRPr="00602F08">
        <w:rPr>
          <w:rStyle w:val="normaltextrun"/>
          <w:rFonts w:ascii="Times New Roman" w:hAnsi="Times New Roman"/>
          <w:lang w:val="en-US"/>
        </w:rPr>
        <w:t xml:space="preserve">arrangements for </w:t>
      </w:r>
      <w:r w:rsidR="00536920" w:rsidRPr="00602F08">
        <w:rPr>
          <w:rStyle w:val="normaltextrun"/>
          <w:rFonts w:ascii="Times New Roman" w:hAnsi="Times New Roman"/>
          <w:lang w:val="en-US"/>
        </w:rPr>
        <w:t xml:space="preserve">data capture </w:t>
      </w:r>
      <w:r w:rsidR="00B72799" w:rsidRPr="00602F08">
        <w:rPr>
          <w:rStyle w:val="normaltextrun"/>
          <w:rFonts w:ascii="Times New Roman" w:hAnsi="Times New Roman"/>
          <w:lang w:val="en-US"/>
        </w:rPr>
        <w:t xml:space="preserve">and </w:t>
      </w:r>
      <w:r w:rsidR="005001A7" w:rsidRPr="00602F08">
        <w:rPr>
          <w:rStyle w:val="normaltextrun"/>
          <w:rFonts w:ascii="Times New Roman" w:hAnsi="Times New Roman"/>
          <w:lang w:val="en-US"/>
        </w:rPr>
        <w:t>monitoring.</w:t>
      </w:r>
    </w:p>
    <w:p w14:paraId="5606F035" w14:textId="4C7C949C" w:rsidR="00EE7C0D" w:rsidRPr="00602F08" w:rsidRDefault="00EE7C0D" w:rsidP="00B6212D">
      <w:pPr>
        <w:jc w:val="both"/>
        <w:rPr>
          <w:rStyle w:val="normaltextrun"/>
          <w:lang w:val="en-US"/>
        </w:rPr>
      </w:pPr>
    </w:p>
    <w:p w14:paraId="625E00C2" w14:textId="53D45896" w:rsidR="00C1685E" w:rsidRPr="00602F08" w:rsidRDefault="00C1685E" w:rsidP="00B6212D">
      <w:pPr>
        <w:jc w:val="both"/>
        <w:rPr>
          <w:rStyle w:val="normaltextrun"/>
          <w:lang w:val="en-US"/>
        </w:rPr>
      </w:pPr>
    </w:p>
    <w:p w14:paraId="14575C5E" w14:textId="77777777" w:rsidR="004A6BB0" w:rsidRPr="00602F08" w:rsidRDefault="004A6BB0" w:rsidP="00B6212D">
      <w:pPr>
        <w:jc w:val="both"/>
        <w:rPr>
          <w:rStyle w:val="normaltextrun"/>
          <w:lang w:val="en-US"/>
        </w:rPr>
      </w:pPr>
    </w:p>
    <w:p w14:paraId="482EACD6" w14:textId="517C9396" w:rsidR="00AB2D62" w:rsidRPr="00602F08" w:rsidRDefault="00FB1F0A" w:rsidP="00B6212D">
      <w:pPr>
        <w:pStyle w:val="ListParagraph"/>
        <w:widowControl w:val="0"/>
        <w:tabs>
          <w:tab w:val="left" w:pos="687"/>
          <w:tab w:val="left" w:pos="688"/>
        </w:tabs>
        <w:autoSpaceDE w:val="0"/>
        <w:autoSpaceDN w:val="0"/>
        <w:spacing w:before="1"/>
        <w:ind w:left="0"/>
        <w:contextualSpacing w:val="0"/>
        <w:jc w:val="both"/>
        <w:rPr>
          <w:rFonts w:ascii="Times New Roman" w:hAnsi="Times New Roman"/>
          <w:b/>
          <w:bCs/>
          <w:u w:val="single"/>
        </w:rPr>
      </w:pPr>
      <w:r w:rsidRPr="00602F08">
        <w:rPr>
          <w:rFonts w:ascii="Times New Roman" w:hAnsi="Times New Roman"/>
          <w:b/>
          <w:bCs/>
          <w:u w:val="single"/>
        </w:rPr>
        <w:t>T</w:t>
      </w:r>
      <w:r w:rsidR="00B16D52" w:rsidRPr="00602F08">
        <w:rPr>
          <w:rFonts w:ascii="Times New Roman" w:hAnsi="Times New Roman"/>
          <w:b/>
          <w:bCs/>
          <w:u w:val="single"/>
        </w:rPr>
        <w:t>ime</w:t>
      </w:r>
      <w:r w:rsidR="00FB7954" w:rsidRPr="00602F08">
        <w:rPr>
          <w:rFonts w:ascii="Times New Roman" w:hAnsi="Times New Roman"/>
          <w:b/>
          <w:bCs/>
          <w:u w:val="single"/>
        </w:rPr>
        <w:t xml:space="preserve"> for p</w:t>
      </w:r>
      <w:r w:rsidR="004C728F" w:rsidRPr="00602F08">
        <w:rPr>
          <w:rFonts w:ascii="Times New Roman" w:hAnsi="Times New Roman"/>
          <w:b/>
          <w:bCs/>
          <w:u w:val="single"/>
        </w:rPr>
        <w:t>erformance of</w:t>
      </w:r>
      <w:r w:rsidR="0068251A" w:rsidRPr="00602F08">
        <w:rPr>
          <w:rFonts w:ascii="Times New Roman" w:hAnsi="Times New Roman"/>
          <w:b/>
          <w:bCs/>
          <w:u w:val="single"/>
        </w:rPr>
        <w:t xml:space="preserve"> the</w:t>
      </w:r>
      <w:r w:rsidR="004C728F" w:rsidRPr="00602F08">
        <w:rPr>
          <w:rFonts w:ascii="Times New Roman" w:hAnsi="Times New Roman"/>
          <w:b/>
          <w:bCs/>
          <w:u w:val="single"/>
        </w:rPr>
        <w:t xml:space="preserve"> duty</w:t>
      </w:r>
    </w:p>
    <w:p w14:paraId="6FC8DBF5" w14:textId="4F21F68C" w:rsidR="00534A17" w:rsidRPr="00602F08" w:rsidRDefault="00534A17" w:rsidP="00B6212D">
      <w:pPr>
        <w:pStyle w:val="ListParagraph"/>
        <w:widowControl w:val="0"/>
        <w:tabs>
          <w:tab w:val="left" w:pos="687"/>
          <w:tab w:val="left" w:pos="688"/>
        </w:tabs>
        <w:autoSpaceDE w:val="0"/>
        <w:autoSpaceDN w:val="0"/>
        <w:spacing w:before="1"/>
        <w:ind w:left="0"/>
        <w:contextualSpacing w:val="0"/>
        <w:jc w:val="both"/>
        <w:rPr>
          <w:rFonts w:ascii="Times New Roman" w:hAnsi="Times New Roman"/>
        </w:rPr>
      </w:pPr>
    </w:p>
    <w:p w14:paraId="60342B37" w14:textId="6A740E69" w:rsidR="004C728F" w:rsidRPr="00602F08" w:rsidRDefault="002611EC" w:rsidP="00B6212D">
      <w:pPr>
        <w:pStyle w:val="ListParagraph"/>
        <w:widowControl w:val="0"/>
        <w:tabs>
          <w:tab w:val="left" w:pos="687"/>
          <w:tab w:val="left" w:pos="688"/>
        </w:tabs>
        <w:autoSpaceDE w:val="0"/>
        <w:autoSpaceDN w:val="0"/>
        <w:spacing w:before="1"/>
        <w:ind w:left="0"/>
        <w:contextualSpacing w:val="0"/>
        <w:jc w:val="both"/>
        <w:rPr>
          <w:rFonts w:ascii="Times New Roman" w:hAnsi="Times New Roman"/>
          <w:u w:val="single"/>
        </w:rPr>
      </w:pPr>
      <w:r w:rsidRPr="00602F08">
        <w:rPr>
          <w:rFonts w:ascii="Times New Roman" w:hAnsi="Times New Roman"/>
        </w:rPr>
        <w:tab/>
      </w:r>
      <w:r w:rsidRPr="00602F08">
        <w:rPr>
          <w:rFonts w:ascii="Times New Roman" w:hAnsi="Times New Roman"/>
          <w:u w:val="single"/>
        </w:rPr>
        <w:t>Grounds advanced</w:t>
      </w:r>
    </w:p>
    <w:p w14:paraId="0159CC22" w14:textId="77777777" w:rsidR="002611EC" w:rsidRPr="00602F08" w:rsidRDefault="002611EC" w:rsidP="00B6212D">
      <w:pPr>
        <w:pStyle w:val="ListParagraph"/>
        <w:widowControl w:val="0"/>
        <w:tabs>
          <w:tab w:val="left" w:pos="687"/>
          <w:tab w:val="left" w:pos="688"/>
        </w:tabs>
        <w:autoSpaceDE w:val="0"/>
        <w:autoSpaceDN w:val="0"/>
        <w:spacing w:before="1"/>
        <w:ind w:left="0"/>
        <w:contextualSpacing w:val="0"/>
        <w:jc w:val="both"/>
        <w:rPr>
          <w:rFonts w:ascii="Times New Roman" w:hAnsi="Times New Roman"/>
          <w:u w:val="single"/>
        </w:rPr>
      </w:pPr>
    </w:p>
    <w:p w14:paraId="41A95885" w14:textId="685DF345" w:rsidR="00AB2D62" w:rsidRPr="00602F08" w:rsidRDefault="00AB2D62" w:rsidP="00B6212D">
      <w:pPr>
        <w:pStyle w:val="ListParagraph"/>
        <w:widowControl w:val="0"/>
        <w:numPr>
          <w:ilvl w:val="0"/>
          <w:numId w:val="10"/>
        </w:numPr>
        <w:tabs>
          <w:tab w:val="left" w:pos="687"/>
          <w:tab w:val="left" w:pos="688"/>
        </w:tabs>
        <w:autoSpaceDE w:val="0"/>
        <w:autoSpaceDN w:val="0"/>
        <w:spacing w:before="1"/>
        <w:contextualSpacing w:val="0"/>
        <w:jc w:val="both"/>
        <w:rPr>
          <w:rStyle w:val="normaltextrun"/>
          <w:rFonts w:ascii="Times New Roman" w:hAnsi="Times New Roman"/>
        </w:rPr>
      </w:pPr>
      <w:r w:rsidRPr="00602F08">
        <w:rPr>
          <w:rStyle w:val="normaltextrun"/>
          <w:rFonts w:ascii="Times New Roman" w:hAnsi="Times New Roman"/>
          <w:lang w:val="en-US"/>
        </w:rPr>
        <w:t xml:space="preserve">The first three grounds advanced by </w:t>
      </w:r>
      <w:r w:rsidRPr="00602F08">
        <w:rPr>
          <w:rFonts w:ascii="Times New Roman" w:hAnsi="Times New Roman"/>
        </w:rPr>
        <w:t xml:space="preserve">DMA, AHK, BK and ELN </w:t>
      </w:r>
      <w:r w:rsidRPr="00602F08">
        <w:rPr>
          <w:rStyle w:val="normaltextrun"/>
          <w:rFonts w:ascii="Times New Roman" w:hAnsi="Times New Roman"/>
          <w:lang w:val="en-US"/>
        </w:rPr>
        <w:t xml:space="preserve"> contend, respectively, </w:t>
      </w:r>
      <w:r w:rsidR="0079413F" w:rsidRPr="00602F08">
        <w:rPr>
          <w:rStyle w:val="normaltextrun"/>
          <w:rFonts w:ascii="Times New Roman" w:hAnsi="Times New Roman"/>
          <w:lang w:val="en-US"/>
        </w:rPr>
        <w:t>that the law requires</w:t>
      </w:r>
      <w:r w:rsidRPr="00602F08">
        <w:rPr>
          <w:rStyle w:val="normaltextrun"/>
          <w:rFonts w:ascii="Times New Roman" w:hAnsi="Times New Roman"/>
          <w:lang w:val="en-US"/>
        </w:rPr>
        <w:t xml:space="preserve"> the provision </w:t>
      </w:r>
      <w:r w:rsidR="002A6A0E" w:rsidRPr="00602F08">
        <w:rPr>
          <w:rStyle w:val="normaltextrun"/>
          <w:rFonts w:ascii="Times New Roman" w:hAnsi="Times New Roman"/>
          <w:lang w:val="en-US"/>
        </w:rPr>
        <w:t xml:space="preserve">of accommodation </w:t>
      </w:r>
      <w:r w:rsidRPr="00602F08">
        <w:rPr>
          <w:rStyle w:val="normaltextrun"/>
          <w:rFonts w:ascii="Times New Roman" w:hAnsi="Times New Roman"/>
          <w:lang w:val="en-US"/>
        </w:rPr>
        <w:t xml:space="preserve">to be “upon” the decision on </w:t>
      </w:r>
      <w:r w:rsidR="00DB24D0" w:rsidRPr="00602F08">
        <w:rPr>
          <w:rStyle w:val="normaltextrun"/>
          <w:rFonts w:ascii="Times New Roman" w:hAnsi="Times New Roman"/>
          <w:lang w:val="en-US"/>
        </w:rPr>
        <w:t>an</w:t>
      </w:r>
      <w:r w:rsidRPr="00602F08">
        <w:rPr>
          <w:rStyle w:val="normaltextrun"/>
          <w:rFonts w:ascii="Times New Roman" w:hAnsi="Times New Roman"/>
          <w:lang w:val="en-US"/>
        </w:rPr>
        <w:t xml:space="preserve"> application for section 4</w:t>
      </w:r>
      <w:r w:rsidR="00984898" w:rsidRPr="00602F08">
        <w:rPr>
          <w:rStyle w:val="normaltextrun"/>
          <w:rFonts w:ascii="Times New Roman" w:hAnsi="Times New Roman"/>
          <w:lang w:val="en-US"/>
        </w:rPr>
        <w:t>(2)</w:t>
      </w:r>
      <w:r w:rsidRPr="00602F08">
        <w:rPr>
          <w:rStyle w:val="normaltextrun"/>
          <w:rFonts w:ascii="Times New Roman" w:hAnsi="Times New Roman"/>
          <w:lang w:val="en-US"/>
        </w:rPr>
        <w:t xml:space="preserve"> accommodation, </w:t>
      </w:r>
      <w:r w:rsidR="00880C00" w:rsidRPr="00602F08">
        <w:rPr>
          <w:rStyle w:val="normaltextrun"/>
          <w:rFonts w:ascii="Times New Roman" w:hAnsi="Times New Roman"/>
          <w:lang w:val="en-US"/>
        </w:rPr>
        <w:t xml:space="preserve">or </w:t>
      </w:r>
      <w:r w:rsidRPr="00602F08">
        <w:rPr>
          <w:rStyle w:val="normaltextrun"/>
          <w:rFonts w:ascii="Times New Roman" w:hAnsi="Times New Roman"/>
          <w:lang w:val="en-US"/>
        </w:rPr>
        <w:t>within a reasonable period of that decision</w:t>
      </w:r>
      <w:r w:rsidR="0079413F" w:rsidRPr="00602F08">
        <w:rPr>
          <w:rStyle w:val="normaltextrun"/>
          <w:rFonts w:ascii="Times New Roman" w:hAnsi="Times New Roman"/>
          <w:lang w:val="en-US"/>
        </w:rPr>
        <w:t>,</w:t>
      </w:r>
      <w:r w:rsidRPr="00602F08">
        <w:rPr>
          <w:rStyle w:val="normaltextrun"/>
          <w:rFonts w:ascii="Times New Roman" w:hAnsi="Times New Roman"/>
          <w:lang w:val="en-US"/>
        </w:rPr>
        <w:t xml:space="preserve"> or “expeditiously”.</w:t>
      </w:r>
    </w:p>
    <w:p w14:paraId="18B5CACC" w14:textId="77777777" w:rsidR="00AB2D62" w:rsidRPr="00602F08" w:rsidRDefault="00AB2D62" w:rsidP="00B6212D">
      <w:pPr>
        <w:widowControl w:val="0"/>
        <w:tabs>
          <w:tab w:val="left" w:pos="687"/>
          <w:tab w:val="left" w:pos="688"/>
        </w:tabs>
        <w:autoSpaceDE w:val="0"/>
        <w:autoSpaceDN w:val="0"/>
        <w:spacing w:before="1"/>
        <w:ind w:left="119"/>
        <w:jc w:val="both"/>
      </w:pPr>
      <w:r w:rsidRPr="00602F08">
        <w:rPr>
          <w:noProof/>
          <w:lang w:eastAsia="en-GB"/>
        </w:rPr>
        <mc:AlternateContent>
          <mc:Choice Requires="wpi">
            <w:drawing>
              <wp:anchor distT="0" distB="0" distL="114300" distR="114300" simplePos="0" relativeHeight="251656704" behindDoc="0" locked="0" layoutInCell="1" allowOverlap="1" wp14:anchorId="72D0721D" wp14:editId="41B6AC2F">
                <wp:simplePos x="0" y="0"/>
                <wp:positionH relativeFrom="column">
                  <wp:posOffset>6886875</wp:posOffset>
                </wp:positionH>
                <wp:positionV relativeFrom="paragraph">
                  <wp:posOffset>175259</wp:posOffset>
                </wp:positionV>
                <wp:extent cx="225124" cy="45719"/>
                <wp:effectExtent l="38100" t="57150" r="41910" b="50165"/>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flipH="1" flipV="1">
                        <a:off x="0" y="0"/>
                        <a:ext cx="225124" cy="45719"/>
                      </w14:xfrm>
                    </w14:contentPart>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D1002" id="Ink 2" o:spid="_x0000_s1026" type="#_x0000_t75" style="position:absolute;margin-left:541.55pt;margin-top:13.1pt;width:19.15pt;height: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">
                <v:imagedata r:id="rId15" o:title=""/>
              </v:shape>
            </w:pict>
          </mc:Fallback>
        </mc:AlternateContent>
      </w:r>
    </w:p>
    <w:p w14:paraId="18F99CC9" w14:textId="77777777" w:rsidR="00AB6C21" w:rsidRPr="00602F08" w:rsidRDefault="003D39D7" w:rsidP="00B6212D">
      <w:pPr>
        <w:pStyle w:val="ListParagraph"/>
        <w:widowControl w:val="0"/>
        <w:numPr>
          <w:ilvl w:val="0"/>
          <w:numId w:val="10"/>
        </w:numPr>
        <w:tabs>
          <w:tab w:val="left" w:pos="687"/>
          <w:tab w:val="left" w:pos="688"/>
        </w:tabs>
        <w:autoSpaceDE w:val="0"/>
        <w:autoSpaceDN w:val="0"/>
        <w:spacing w:before="1"/>
        <w:contextualSpacing w:val="0"/>
        <w:jc w:val="both"/>
        <w:rPr>
          <w:rFonts w:ascii="Times New Roman" w:hAnsi="Times New Roman"/>
        </w:rPr>
      </w:pPr>
      <w:r w:rsidRPr="00602F08">
        <w:rPr>
          <w:rFonts w:ascii="Times New Roman" w:hAnsi="Times New Roman"/>
        </w:rPr>
        <w:t xml:space="preserve">For DMA, </w:t>
      </w:r>
      <w:r w:rsidR="00AB6C21" w:rsidRPr="00602F08">
        <w:rPr>
          <w:rFonts w:ascii="Times New Roman" w:hAnsi="Times New Roman"/>
        </w:rPr>
        <w:t xml:space="preserve">AHK, BK and ELN, </w:t>
      </w:r>
      <w:r w:rsidR="00AB2D62" w:rsidRPr="00602F08">
        <w:rPr>
          <w:rFonts w:ascii="Times New Roman" w:hAnsi="Times New Roman"/>
        </w:rPr>
        <w:t>Ground 1 contends that the Secretary of State failed to provide section 4</w:t>
      </w:r>
      <w:r w:rsidR="00984898" w:rsidRPr="00602F08">
        <w:rPr>
          <w:rFonts w:ascii="Times New Roman" w:hAnsi="Times New Roman"/>
        </w:rPr>
        <w:t>(2)</w:t>
      </w:r>
      <w:r w:rsidR="00AB2D62" w:rsidRPr="00602F08">
        <w:rPr>
          <w:rFonts w:ascii="Times New Roman" w:hAnsi="Times New Roman"/>
        </w:rPr>
        <w:t xml:space="preserve"> accommodation (and ancillary payments) so as to alleviate destitution and that this frustrated</w:t>
      </w:r>
      <w:r w:rsidR="00AB2D62" w:rsidRPr="00602F08">
        <w:rPr>
          <w:rFonts w:ascii="Times New Roman" w:hAnsi="Times New Roman"/>
          <w:spacing w:val="-12"/>
        </w:rPr>
        <w:t xml:space="preserve"> </w:t>
      </w:r>
      <w:r w:rsidR="00AB2D62" w:rsidRPr="00602F08">
        <w:rPr>
          <w:rFonts w:ascii="Times New Roman" w:hAnsi="Times New Roman"/>
        </w:rPr>
        <w:t>the</w:t>
      </w:r>
      <w:r w:rsidR="00AB2D62" w:rsidRPr="00602F08">
        <w:rPr>
          <w:rFonts w:ascii="Times New Roman" w:hAnsi="Times New Roman"/>
          <w:spacing w:val="-12"/>
        </w:rPr>
        <w:t xml:space="preserve"> </w:t>
      </w:r>
      <w:r w:rsidR="00AB2D62" w:rsidRPr="00602F08">
        <w:rPr>
          <w:rFonts w:ascii="Times New Roman" w:hAnsi="Times New Roman"/>
        </w:rPr>
        <w:t>legislative</w:t>
      </w:r>
      <w:r w:rsidR="00AB2D62" w:rsidRPr="00602F08">
        <w:rPr>
          <w:rFonts w:ascii="Times New Roman" w:hAnsi="Times New Roman"/>
          <w:spacing w:val="-12"/>
        </w:rPr>
        <w:t xml:space="preserve"> </w:t>
      </w:r>
      <w:r w:rsidR="00AB2D62" w:rsidRPr="00602F08">
        <w:rPr>
          <w:rFonts w:ascii="Times New Roman" w:hAnsi="Times New Roman"/>
        </w:rPr>
        <w:t>objects</w:t>
      </w:r>
      <w:r w:rsidR="00AB2D62" w:rsidRPr="00602F08">
        <w:rPr>
          <w:rFonts w:ascii="Times New Roman" w:hAnsi="Times New Roman"/>
          <w:spacing w:val="-12"/>
        </w:rPr>
        <w:t xml:space="preserve"> </w:t>
      </w:r>
      <w:r w:rsidR="00AB2D62" w:rsidRPr="00602F08">
        <w:rPr>
          <w:rFonts w:ascii="Times New Roman" w:hAnsi="Times New Roman"/>
        </w:rPr>
        <w:t>of</w:t>
      </w:r>
      <w:r w:rsidR="00AB2D62" w:rsidRPr="00602F08">
        <w:rPr>
          <w:rFonts w:ascii="Times New Roman" w:hAnsi="Times New Roman"/>
          <w:spacing w:val="-12"/>
        </w:rPr>
        <w:t xml:space="preserve"> </w:t>
      </w:r>
      <w:r w:rsidR="00AB2D62" w:rsidRPr="00602F08">
        <w:rPr>
          <w:rFonts w:ascii="Times New Roman" w:hAnsi="Times New Roman"/>
        </w:rPr>
        <w:t>section 4(2)</w:t>
      </w:r>
      <w:r w:rsidR="00AB2D62" w:rsidRPr="00602F08">
        <w:rPr>
          <w:rFonts w:ascii="Times New Roman" w:hAnsi="Times New Roman"/>
          <w:spacing w:val="-12"/>
        </w:rPr>
        <w:t xml:space="preserve"> </w:t>
      </w:r>
      <w:r w:rsidR="00AB2D62" w:rsidRPr="00602F08">
        <w:rPr>
          <w:rFonts w:ascii="Times New Roman" w:hAnsi="Times New Roman"/>
        </w:rPr>
        <w:t>read</w:t>
      </w:r>
      <w:r w:rsidR="00AB2D62" w:rsidRPr="00602F08">
        <w:rPr>
          <w:rFonts w:ascii="Times New Roman" w:hAnsi="Times New Roman"/>
          <w:spacing w:val="-12"/>
        </w:rPr>
        <w:t xml:space="preserve"> </w:t>
      </w:r>
      <w:r w:rsidR="00AB2D62" w:rsidRPr="00602F08">
        <w:rPr>
          <w:rFonts w:ascii="Times New Roman" w:hAnsi="Times New Roman"/>
        </w:rPr>
        <w:t>with</w:t>
      </w:r>
      <w:r w:rsidR="00AB2D62" w:rsidRPr="00602F08">
        <w:rPr>
          <w:rFonts w:ascii="Times New Roman" w:hAnsi="Times New Roman"/>
          <w:spacing w:val="-12"/>
        </w:rPr>
        <w:t xml:space="preserve"> </w:t>
      </w:r>
      <w:r w:rsidR="00AB2D62" w:rsidRPr="00602F08">
        <w:rPr>
          <w:rFonts w:ascii="Times New Roman" w:hAnsi="Times New Roman"/>
        </w:rPr>
        <w:t>the 2005 Regulations (and</w:t>
      </w:r>
      <w:r w:rsidR="00880C00" w:rsidRPr="00602F08">
        <w:rPr>
          <w:rFonts w:ascii="Times New Roman" w:hAnsi="Times New Roman"/>
        </w:rPr>
        <w:t>,</w:t>
      </w:r>
      <w:r w:rsidR="00AB2D62" w:rsidRPr="00602F08">
        <w:rPr>
          <w:rFonts w:ascii="Times New Roman" w:hAnsi="Times New Roman"/>
        </w:rPr>
        <w:t xml:space="preserve"> to the extent necessary</w:t>
      </w:r>
      <w:r w:rsidR="00880C00" w:rsidRPr="00602F08">
        <w:rPr>
          <w:rFonts w:ascii="Times New Roman" w:hAnsi="Times New Roman"/>
        </w:rPr>
        <w:t>,</w:t>
      </w:r>
      <w:r w:rsidR="00AB2D62" w:rsidRPr="00602F08">
        <w:rPr>
          <w:rFonts w:ascii="Times New Roman" w:hAnsi="Times New Roman"/>
        </w:rPr>
        <w:t xml:space="preserve"> the</w:t>
      </w:r>
      <w:r w:rsidR="00E80BD7" w:rsidRPr="00602F08">
        <w:rPr>
          <w:rFonts w:ascii="Times New Roman" w:hAnsi="Times New Roman"/>
        </w:rPr>
        <w:t xml:space="preserve"> </w:t>
      </w:r>
      <w:r w:rsidR="00AB2D62" w:rsidRPr="00602F08">
        <w:rPr>
          <w:rFonts w:ascii="Times New Roman" w:hAnsi="Times New Roman"/>
        </w:rPr>
        <w:t>1998</w:t>
      </w:r>
      <w:r w:rsidR="00E80BD7" w:rsidRPr="00602F08">
        <w:rPr>
          <w:rFonts w:ascii="Times New Roman" w:hAnsi="Times New Roman"/>
        </w:rPr>
        <w:t xml:space="preserve"> Act</w:t>
      </w:r>
      <w:r w:rsidR="00AB2D62" w:rsidRPr="00602F08">
        <w:rPr>
          <w:rFonts w:ascii="Times New Roman" w:hAnsi="Times New Roman"/>
        </w:rPr>
        <w:t>), and was unlawful. Ground 2 contends that the Secretary of State failed to provide section 4</w:t>
      </w:r>
      <w:r w:rsidR="00984898" w:rsidRPr="00602F08">
        <w:rPr>
          <w:rFonts w:ascii="Times New Roman" w:hAnsi="Times New Roman"/>
        </w:rPr>
        <w:t>(2)</w:t>
      </w:r>
      <w:r w:rsidR="00AB2D62" w:rsidRPr="00602F08">
        <w:rPr>
          <w:rFonts w:ascii="Times New Roman" w:hAnsi="Times New Roman"/>
        </w:rPr>
        <w:t xml:space="preserve"> accommodation within a period that was reasonable; the contention is that around two days at most was reasonable. Ground 3 contends that the Secretary of State failed to exercise the power to provide section 4</w:t>
      </w:r>
      <w:r w:rsidR="00984898" w:rsidRPr="00602F08">
        <w:rPr>
          <w:rFonts w:ascii="Times New Roman" w:hAnsi="Times New Roman"/>
        </w:rPr>
        <w:t>(2)</w:t>
      </w:r>
      <w:r w:rsidR="00AB2D62" w:rsidRPr="00602F08">
        <w:rPr>
          <w:rFonts w:ascii="Times New Roman" w:hAnsi="Times New Roman"/>
        </w:rPr>
        <w:t xml:space="preserve"> accommodation expeditiously</w:t>
      </w:r>
      <w:r w:rsidRPr="00602F08">
        <w:rPr>
          <w:rFonts w:ascii="Times New Roman" w:hAnsi="Times New Roman"/>
        </w:rPr>
        <w:t xml:space="preserve"> and that </w:t>
      </w:r>
      <w:r w:rsidR="00AB2D62" w:rsidRPr="00602F08">
        <w:rPr>
          <w:rFonts w:ascii="Times New Roman" w:hAnsi="Times New Roman"/>
        </w:rPr>
        <w:t xml:space="preserve">this was an unlawful failure to perform her duty. </w:t>
      </w:r>
    </w:p>
    <w:p w14:paraId="3B009D37" w14:textId="77777777" w:rsidR="00AB6C21" w:rsidRPr="00602F08" w:rsidRDefault="00AB6C21" w:rsidP="00B6212D">
      <w:pPr>
        <w:pStyle w:val="ListParagraph"/>
        <w:rPr>
          <w:rFonts w:ascii="Times New Roman" w:hAnsi="Times New Roman"/>
        </w:rPr>
      </w:pPr>
    </w:p>
    <w:p w14:paraId="3B61F0A2" w14:textId="2AB91223" w:rsidR="00AC5073" w:rsidRPr="00602F08" w:rsidRDefault="00AB2D62" w:rsidP="00B6212D">
      <w:pPr>
        <w:pStyle w:val="ListParagraph"/>
        <w:widowControl w:val="0"/>
        <w:numPr>
          <w:ilvl w:val="0"/>
          <w:numId w:val="10"/>
        </w:numPr>
        <w:tabs>
          <w:tab w:val="left" w:pos="687"/>
          <w:tab w:val="left" w:pos="688"/>
        </w:tabs>
        <w:autoSpaceDE w:val="0"/>
        <w:autoSpaceDN w:val="0"/>
        <w:spacing w:before="1"/>
        <w:contextualSpacing w:val="0"/>
        <w:jc w:val="both"/>
        <w:rPr>
          <w:rFonts w:ascii="Times New Roman" w:hAnsi="Times New Roman"/>
        </w:rPr>
      </w:pPr>
      <w:r w:rsidRPr="00602F08">
        <w:rPr>
          <w:rFonts w:ascii="Times New Roman" w:hAnsi="Times New Roman"/>
        </w:rPr>
        <w:t>Ground 2 of the grounds advanced by AA contends that there are unlawful delays on the part of the Secretary of State and in the system.</w:t>
      </w:r>
      <w:r w:rsidR="00B6540B" w:rsidRPr="00602F08">
        <w:rPr>
          <w:rFonts w:ascii="Times New Roman" w:hAnsi="Times New Roman"/>
        </w:rPr>
        <w:t xml:space="preserve"> </w:t>
      </w:r>
    </w:p>
    <w:p w14:paraId="37593F75" w14:textId="77777777" w:rsidR="00AC5073" w:rsidRPr="00602F08" w:rsidRDefault="00AC5073" w:rsidP="00B6212D">
      <w:pPr>
        <w:pStyle w:val="ListParagraph"/>
        <w:jc w:val="both"/>
        <w:rPr>
          <w:rStyle w:val="normaltextrun"/>
          <w:rFonts w:ascii="Times New Roman" w:hAnsi="Times New Roman"/>
          <w:lang w:val="en-US"/>
        </w:rPr>
      </w:pPr>
    </w:p>
    <w:p w14:paraId="0EB2C1F7" w14:textId="2C3751B4" w:rsidR="00032987" w:rsidRPr="00602F08" w:rsidRDefault="00CA20F7" w:rsidP="00B6212D">
      <w:pPr>
        <w:pStyle w:val="ListParagraph"/>
        <w:widowControl w:val="0"/>
        <w:numPr>
          <w:ilvl w:val="0"/>
          <w:numId w:val="10"/>
        </w:numPr>
        <w:tabs>
          <w:tab w:val="left" w:pos="687"/>
          <w:tab w:val="left" w:pos="688"/>
        </w:tabs>
        <w:autoSpaceDE w:val="0"/>
        <w:autoSpaceDN w:val="0"/>
        <w:spacing w:before="1"/>
        <w:contextualSpacing w:val="0"/>
        <w:jc w:val="both"/>
        <w:rPr>
          <w:rStyle w:val="normaltextrun"/>
          <w:rFonts w:ascii="Times New Roman" w:hAnsi="Times New Roman"/>
        </w:rPr>
      </w:pPr>
      <w:r w:rsidRPr="00602F08">
        <w:rPr>
          <w:rStyle w:val="normaltextrun"/>
          <w:rFonts w:ascii="Times New Roman" w:hAnsi="Times New Roman"/>
          <w:lang w:val="en-US"/>
        </w:rPr>
        <w:t xml:space="preserve">As revised on the second day of the hearing, the declaratory relief sought by DMA, SHK, BK and ELN was </w:t>
      </w:r>
      <w:r w:rsidR="00AB6C21" w:rsidRPr="00602F08">
        <w:rPr>
          <w:rStyle w:val="normaltextrun"/>
          <w:rFonts w:ascii="Times New Roman" w:hAnsi="Times New Roman"/>
          <w:lang w:val="en-US"/>
        </w:rPr>
        <w:t>re</w:t>
      </w:r>
      <w:r w:rsidRPr="00602F08">
        <w:rPr>
          <w:rStyle w:val="normaltextrun"/>
          <w:rFonts w:ascii="Times New Roman" w:hAnsi="Times New Roman"/>
          <w:lang w:val="en-US"/>
        </w:rPr>
        <w:t>framed in these terms</w:t>
      </w:r>
      <w:r w:rsidR="00C17AEC" w:rsidRPr="00602F08">
        <w:rPr>
          <w:rStyle w:val="normaltextrun"/>
          <w:rFonts w:ascii="Times New Roman" w:hAnsi="Times New Roman"/>
          <w:lang w:val="en-US"/>
        </w:rPr>
        <w:t>. The</w:t>
      </w:r>
      <w:r w:rsidR="009D1415" w:rsidRPr="00602F08">
        <w:rPr>
          <w:rStyle w:val="normaltextrun"/>
          <w:rFonts w:ascii="Times New Roman" w:hAnsi="Times New Roman"/>
          <w:lang w:val="en-US"/>
        </w:rPr>
        <w:t>se</w:t>
      </w:r>
      <w:r w:rsidR="00C17AEC" w:rsidRPr="00602F08">
        <w:rPr>
          <w:rStyle w:val="normaltextrun"/>
          <w:rFonts w:ascii="Times New Roman" w:hAnsi="Times New Roman"/>
          <w:lang w:val="en-US"/>
        </w:rPr>
        <w:t xml:space="preserve"> terms</w:t>
      </w:r>
      <w:r w:rsidRPr="00602F08">
        <w:rPr>
          <w:rStyle w:val="normaltextrun"/>
          <w:rFonts w:ascii="Times New Roman" w:hAnsi="Times New Roman"/>
          <w:lang w:val="en-US"/>
        </w:rPr>
        <w:t xml:space="preserve"> centre on “a reasonable period of time”</w:t>
      </w:r>
      <w:r w:rsidR="00A533DA" w:rsidRPr="00602F08">
        <w:rPr>
          <w:rStyle w:val="normaltextrun"/>
          <w:rFonts w:ascii="Times New Roman" w:hAnsi="Times New Roman"/>
          <w:lang w:val="en-US"/>
        </w:rPr>
        <w:t xml:space="preserve">: </w:t>
      </w:r>
    </w:p>
    <w:p w14:paraId="7AC7EAC2" w14:textId="77777777" w:rsidR="00032987" w:rsidRPr="00602F08" w:rsidRDefault="00032987" w:rsidP="00B6212D">
      <w:pPr>
        <w:pStyle w:val="ListParagraph"/>
        <w:jc w:val="both"/>
        <w:rPr>
          <w:rStyle w:val="normaltextrun"/>
          <w:rFonts w:ascii="Times New Roman" w:hAnsi="Times New Roman"/>
          <w:lang w:val="en-US"/>
        </w:rPr>
      </w:pPr>
    </w:p>
    <w:p w14:paraId="5421024F" w14:textId="61463224" w:rsidR="00CA20F7" w:rsidRPr="00602F08" w:rsidRDefault="00032987" w:rsidP="00B6212D">
      <w:pPr>
        <w:pStyle w:val="ListParagraph"/>
        <w:widowControl w:val="0"/>
        <w:tabs>
          <w:tab w:val="left" w:pos="687"/>
          <w:tab w:val="left" w:pos="688"/>
        </w:tabs>
        <w:autoSpaceDE w:val="0"/>
        <w:autoSpaceDN w:val="0"/>
        <w:spacing w:before="1"/>
        <w:ind w:left="1440" w:hanging="753"/>
        <w:contextualSpacing w:val="0"/>
        <w:jc w:val="both"/>
        <w:rPr>
          <w:rStyle w:val="normaltextrun"/>
          <w:rFonts w:ascii="Times New Roman" w:hAnsi="Times New Roman"/>
          <w:lang w:val="en-US"/>
        </w:rPr>
      </w:pPr>
      <w:r w:rsidRPr="00602F08">
        <w:rPr>
          <w:rStyle w:val="normaltextrun"/>
          <w:rFonts w:ascii="Times New Roman" w:hAnsi="Times New Roman"/>
          <w:lang w:val="en-US"/>
        </w:rPr>
        <w:tab/>
      </w:r>
      <w:r w:rsidRPr="00602F08">
        <w:rPr>
          <w:rStyle w:val="normaltextrun"/>
          <w:rFonts w:ascii="Times New Roman" w:hAnsi="Times New Roman"/>
          <w:lang w:val="en-US"/>
        </w:rPr>
        <w:tab/>
      </w:r>
      <w:r w:rsidR="00CA20F7" w:rsidRPr="00602F08">
        <w:rPr>
          <w:rStyle w:val="normaltextrun"/>
          <w:rFonts w:ascii="Times New Roman" w:hAnsi="Times New Roman"/>
          <w:lang w:val="en-US"/>
        </w:rPr>
        <w:t>“Declarations that [the Secretary of State’s] failure to operate a system capable of securing, and which in fact secured, accommodation within a reasonable period of time:</w:t>
      </w:r>
    </w:p>
    <w:p w14:paraId="5CFE816B" w14:textId="77777777" w:rsidR="00AB6C21" w:rsidRPr="00602F08" w:rsidRDefault="00AB6C21" w:rsidP="00B6212D">
      <w:pPr>
        <w:pStyle w:val="ListParagraph"/>
        <w:widowControl w:val="0"/>
        <w:tabs>
          <w:tab w:val="left" w:pos="687"/>
          <w:tab w:val="left" w:pos="688"/>
        </w:tabs>
        <w:autoSpaceDE w:val="0"/>
        <w:autoSpaceDN w:val="0"/>
        <w:spacing w:before="1"/>
        <w:ind w:left="1440" w:hanging="753"/>
        <w:contextualSpacing w:val="0"/>
        <w:jc w:val="both"/>
        <w:rPr>
          <w:rStyle w:val="normaltextrun"/>
          <w:rFonts w:ascii="Times New Roman" w:hAnsi="Times New Roman"/>
        </w:rPr>
      </w:pPr>
    </w:p>
    <w:p w14:paraId="116266CC" w14:textId="77777777" w:rsidR="00CA20F7" w:rsidRPr="00602F08" w:rsidRDefault="00CA20F7" w:rsidP="00B6212D">
      <w:pPr>
        <w:ind w:left="1531"/>
        <w:jc w:val="both"/>
        <w:rPr>
          <w:rStyle w:val="normaltextrun"/>
          <w:lang w:val="en-US"/>
        </w:rPr>
      </w:pPr>
      <w:r w:rsidRPr="00602F08">
        <w:rPr>
          <w:rStyle w:val="normaltextrun"/>
          <w:lang w:val="en-US"/>
        </w:rPr>
        <w:t>(i) frustrates the purposes of the legislative and policy scheme to alleviate destitution and to anticipate and obviate human rights breaches that flow from destitution; and /or</w:t>
      </w:r>
    </w:p>
    <w:p w14:paraId="070E4846" w14:textId="5F8E0A1C" w:rsidR="00CA20F7" w:rsidRPr="00602F08" w:rsidRDefault="00CA20F7" w:rsidP="00B6212D">
      <w:pPr>
        <w:ind w:left="1531"/>
        <w:jc w:val="both"/>
        <w:rPr>
          <w:rStyle w:val="normaltextrun"/>
          <w:lang w:val="en-US"/>
        </w:rPr>
      </w:pPr>
      <w:r w:rsidRPr="00602F08">
        <w:rPr>
          <w:rStyle w:val="normaltextrun"/>
          <w:lang w:val="en-US"/>
        </w:rPr>
        <w:t>(ii)</w:t>
      </w:r>
      <w:r w:rsidR="00B67846" w:rsidRPr="00602F08">
        <w:rPr>
          <w:rStyle w:val="normaltextrun"/>
          <w:lang w:val="en-US"/>
        </w:rPr>
        <w:t xml:space="preserve"> </w:t>
      </w:r>
      <w:r w:rsidRPr="00602F08">
        <w:rPr>
          <w:rStyle w:val="normaltextrun"/>
          <w:lang w:val="en-US"/>
        </w:rPr>
        <w:t>was and is Wednesbury unreasonable and unfair</w:t>
      </w:r>
    </w:p>
    <w:p w14:paraId="17F62E84" w14:textId="36359D76" w:rsidR="00DE5A56" w:rsidRPr="00602F08" w:rsidRDefault="00CA20F7" w:rsidP="00B6212D">
      <w:pPr>
        <w:ind w:left="1531"/>
        <w:jc w:val="both"/>
        <w:rPr>
          <w:rStyle w:val="normaltextrun"/>
          <w:lang w:val="en-US"/>
        </w:rPr>
      </w:pPr>
      <w:r w:rsidRPr="00602F08">
        <w:rPr>
          <w:rStyle w:val="normaltextrun"/>
          <w:lang w:val="en-US"/>
        </w:rPr>
        <w:t>(iii)</w:t>
      </w:r>
      <w:r w:rsidR="00B67846" w:rsidRPr="00602F08">
        <w:rPr>
          <w:rStyle w:val="normaltextrun"/>
          <w:lang w:val="en-US"/>
        </w:rPr>
        <w:t xml:space="preserve"> </w:t>
      </w:r>
      <w:r w:rsidRPr="00602F08">
        <w:rPr>
          <w:rStyle w:val="normaltextrun"/>
          <w:lang w:val="en-US"/>
        </w:rPr>
        <w:t>is in breach of Articles 3 and 8 ECHR and ultra vires section 6 of the Human Rights Act 1998</w:t>
      </w:r>
      <w:r w:rsidR="00B67846" w:rsidRPr="00602F08">
        <w:rPr>
          <w:rStyle w:val="normaltextrun"/>
          <w:lang w:val="en-US"/>
        </w:rPr>
        <w:t>”</w:t>
      </w:r>
      <w:r w:rsidR="00A533DA" w:rsidRPr="00602F08">
        <w:rPr>
          <w:rStyle w:val="normaltextrun"/>
          <w:lang w:val="en-US"/>
        </w:rPr>
        <w:t>.</w:t>
      </w:r>
    </w:p>
    <w:p w14:paraId="26AF074B" w14:textId="77777777" w:rsidR="004831A2" w:rsidRPr="00602F08" w:rsidRDefault="004831A2" w:rsidP="00B6212D">
      <w:pPr>
        <w:ind w:left="1531"/>
        <w:jc w:val="both"/>
        <w:rPr>
          <w:rStyle w:val="normaltextrun"/>
          <w:lang w:val="en-US"/>
        </w:rPr>
      </w:pPr>
    </w:p>
    <w:p w14:paraId="56D71102" w14:textId="77777777" w:rsidR="004979AC" w:rsidRPr="00602F08" w:rsidRDefault="004979AC" w:rsidP="00B6212D">
      <w:pPr>
        <w:jc w:val="both"/>
        <w:rPr>
          <w:rStyle w:val="normaltextrun"/>
          <w:lang w:val="en-US"/>
        </w:rPr>
      </w:pPr>
    </w:p>
    <w:p w14:paraId="7EEB855E" w14:textId="094C7FFF" w:rsidR="00466980" w:rsidRPr="00602F08" w:rsidRDefault="00466980" w:rsidP="00B6212D">
      <w:pPr>
        <w:jc w:val="both"/>
        <w:rPr>
          <w:rStyle w:val="normaltextrun"/>
          <w:lang w:val="en-US"/>
        </w:rPr>
      </w:pPr>
      <w:r w:rsidRPr="00602F08">
        <w:rPr>
          <w:rStyle w:val="normaltextrun"/>
          <w:lang w:val="en-US"/>
        </w:rPr>
        <w:tab/>
      </w:r>
      <w:r w:rsidRPr="00602F08">
        <w:rPr>
          <w:rStyle w:val="normaltextrun"/>
          <w:u w:val="single"/>
          <w:lang w:val="en-US"/>
        </w:rPr>
        <w:t>A reasonable period of time</w:t>
      </w:r>
    </w:p>
    <w:p w14:paraId="35FDC06F" w14:textId="77777777" w:rsidR="00466980" w:rsidRPr="00602F08" w:rsidRDefault="00466980" w:rsidP="00B6212D">
      <w:pPr>
        <w:jc w:val="both"/>
        <w:rPr>
          <w:rStyle w:val="normaltextrun"/>
          <w:u w:val="single"/>
          <w:lang w:val="en-US"/>
        </w:rPr>
      </w:pPr>
    </w:p>
    <w:p w14:paraId="0443820D" w14:textId="14CD1BD2" w:rsidR="007B16AC" w:rsidRPr="00602F08" w:rsidRDefault="00893D4D" w:rsidP="00B6212D">
      <w:pPr>
        <w:pStyle w:val="ListParagraph"/>
        <w:widowControl w:val="0"/>
        <w:numPr>
          <w:ilvl w:val="0"/>
          <w:numId w:val="10"/>
        </w:numPr>
        <w:tabs>
          <w:tab w:val="left" w:pos="688"/>
        </w:tabs>
        <w:autoSpaceDE w:val="0"/>
        <w:autoSpaceDN w:val="0"/>
        <w:contextualSpacing w:val="0"/>
        <w:jc w:val="both"/>
        <w:rPr>
          <w:rStyle w:val="normaltextrun"/>
          <w:rFonts w:ascii="Times New Roman" w:hAnsi="Times New Roman"/>
        </w:rPr>
      </w:pPr>
      <w:r w:rsidRPr="00602F08">
        <w:rPr>
          <w:rStyle w:val="normaltextrun"/>
          <w:rFonts w:ascii="Times New Roman" w:hAnsi="Times New Roman"/>
        </w:rPr>
        <w:t xml:space="preserve">The </w:t>
      </w:r>
      <w:r w:rsidR="00D95460" w:rsidRPr="00602F08">
        <w:rPr>
          <w:rStyle w:val="normaltextrun"/>
          <w:rFonts w:ascii="Times New Roman" w:hAnsi="Times New Roman"/>
        </w:rPr>
        <w:t xml:space="preserve">first point to make is that the </w:t>
      </w:r>
      <w:r w:rsidRPr="00602F08">
        <w:rPr>
          <w:rStyle w:val="normaltextrun"/>
          <w:rFonts w:ascii="Times New Roman" w:hAnsi="Times New Roman"/>
        </w:rPr>
        <w:t xml:space="preserve">Secretary of State </w:t>
      </w:r>
      <w:r w:rsidR="00D95460" w:rsidRPr="00602F08">
        <w:rPr>
          <w:rStyle w:val="normaltextrun"/>
          <w:rFonts w:ascii="Times New Roman" w:hAnsi="Times New Roman"/>
        </w:rPr>
        <w:t xml:space="preserve">in fact </w:t>
      </w:r>
      <w:r w:rsidRPr="00602F08">
        <w:rPr>
          <w:rStyle w:val="normaltextrun"/>
          <w:rFonts w:ascii="Times New Roman" w:hAnsi="Times New Roman"/>
        </w:rPr>
        <w:t xml:space="preserve">accepts </w:t>
      </w:r>
      <w:r w:rsidR="00D17560" w:rsidRPr="00602F08">
        <w:rPr>
          <w:rStyle w:val="normaltextrun"/>
          <w:rFonts w:ascii="Times New Roman" w:hAnsi="Times New Roman"/>
        </w:rPr>
        <w:t xml:space="preserve">that the </w:t>
      </w:r>
      <w:r w:rsidR="00E85111" w:rsidRPr="00602F08">
        <w:rPr>
          <w:rStyle w:val="normaltextrun"/>
          <w:rFonts w:ascii="Times New Roman" w:hAnsi="Times New Roman"/>
        </w:rPr>
        <w:t xml:space="preserve">legal </w:t>
      </w:r>
      <w:r w:rsidR="00D17560" w:rsidRPr="00602F08">
        <w:rPr>
          <w:rStyle w:val="normaltextrun"/>
          <w:rFonts w:ascii="Times New Roman" w:hAnsi="Times New Roman"/>
        </w:rPr>
        <w:t xml:space="preserve">requirement is for </w:t>
      </w:r>
      <w:r w:rsidR="00E85111" w:rsidRPr="00602F08">
        <w:rPr>
          <w:rStyle w:val="normaltextrun"/>
          <w:rFonts w:ascii="Times New Roman" w:hAnsi="Times New Roman"/>
        </w:rPr>
        <w:t xml:space="preserve">the </w:t>
      </w:r>
      <w:r w:rsidR="00D17560" w:rsidRPr="00602F08">
        <w:rPr>
          <w:rStyle w:val="normaltextrun"/>
          <w:rFonts w:ascii="Times New Roman" w:hAnsi="Times New Roman"/>
        </w:rPr>
        <w:t xml:space="preserve">provision </w:t>
      </w:r>
      <w:r w:rsidR="00E85111" w:rsidRPr="00602F08">
        <w:rPr>
          <w:rStyle w:val="normaltextrun"/>
          <w:rFonts w:ascii="Times New Roman" w:hAnsi="Times New Roman"/>
        </w:rPr>
        <w:t xml:space="preserve">of accommodation to be </w:t>
      </w:r>
      <w:r w:rsidR="00D17560" w:rsidRPr="00602F08">
        <w:rPr>
          <w:rStyle w:val="normaltextrun"/>
          <w:rFonts w:ascii="Times New Roman" w:hAnsi="Times New Roman"/>
        </w:rPr>
        <w:t>within a reasonable period of time.</w:t>
      </w:r>
      <w:r w:rsidR="00906766" w:rsidRPr="00602F08">
        <w:rPr>
          <w:rStyle w:val="normaltextrun"/>
          <w:rFonts w:ascii="Times New Roman" w:hAnsi="Times New Roman"/>
        </w:rPr>
        <w:t xml:space="preserve"> </w:t>
      </w:r>
      <w:r w:rsidR="007B16AC" w:rsidRPr="00602F08">
        <w:rPr>
          <w:rStyle w:val="normaltextrun"/>
          <w:rFonts w:ascii="Times New Roman" w:hAnsi="Times New Roman"/>
        </w:rPr>
        <w:t>The Secretary of State accepted through Mr Ta</w:t>
      </w:r>
      <w:r w:rsidR="00645A51" w:rsidRPr="00602F08">
        <w:rPr>
          <w:rStyle w:val="normaltextrun"/>
          <w:rFonts w:ascii="Times New Roman" w:hAnsi="Times New Roman"/>
        </w:rPr>
        <w:t>m</w:t>
      </w:r>
      <w:r w:rsidR="007B16AC" w:rsidRPr="00602F08">
        <w:rPr>
          <w:rStyle w:val="normaltextrun"/>
          <w:rFonts w:ascii="Times New Roman" w:hAnsi="Times New Roman"/>
        </w:rPr>
        <w:t xml:space="preserve"> QC that:</w:t>
      </w:r>
    </w:p>
    <w:p w14:paraId="2CE0DAE1" w14:textId="77777777" w:rsidR="007B16AC" w:rsidRPr="00602F08" w:rsidRDefault="007B16AC" w:rsidP="00B6212D">
      <w:pPr>
        <w:pStyle w:val="ListParagraph"/>
        <w:jc w:val="both"/>
        <w:rPr>
          <w:rStyle w:val="normaltextrun"/>
          <w:rFonts w:ascii="Times New Roman" w:hAnsi="Times New Roman"/>
        </w:rPr>
      </w:pPr>
    </w:p>
    <w:p w14:paraId="4939BF62" w14:textId="6C9CA82A" w:rsidR="007B16AC" w:rsidRPr="00602F08" w:rsidRDefault="007B16AC" w:rsidP="00B6212D">
      <w:pPr>
        <w:pStyle w:val="ListParagraph"/>
        <w:widowControl w:val="0"/>
        <w:tabs>
          <w:tab w:val="left" w:pos="688"/>
        </w:tabs>
        <w:autoSpaceDE w:val="0"/>
        <w:autoSpaceDN w:val="0"/>
        <w:ind w:left="1440" w:hanging="753"/>
        <w:contextualSpacing w:val="0"/>
        <w:jc w:val="both"/>
        <w:rPr>
          <w:rStyle w:val="normaltextrun"/>
          <w:rFonts w:ascii="Times New Roman" w:hAnsi="Times New Roman"/>
        </w:rPr>
      </w:pPr>
      <w:r w:rsidRPr="00602F08">
        <w:rPr>
          <w:rStyle w:val="normaltextrun"/>
          <w:rFonts w:ascii="Times New Roman" w:hAnsi="Times New Roman"/>
        </w:rPr>
        <w:tab/>
      </w:r>
      <w:r w:rsidRPr="00602F08">
        <w:rPr>
          <w:rStyle w:val="normaltextrun"/>
          <w:rFonts w:ascii="Times New Roman" w:hAnsi="Times New Roman"/>
        </w:rPr>
        <w:tab/>
        <w:t xml:space="preserve">“… having concluded that an applicant is entitled to s4 support, she is under a duty to provide such support. In the </w:t>
      </w:r>
      <w:r w:rsidR="00F74D44" w:rsidRPr="00602F08">
        <w:rPr>
          <w:rStyle w:val="normaltextrun"/>
          <w:rFonts w:ascii="Times New Roman" w:hAnsi="Times New Roman"/>
        </w:rPr>
        <w:t>absence</w:t>
      </w:r>
      <w:r w:rsidRPr="00602F08">
        <w:rPr>
          <w:rStyle w:val="normaltextrun"/>
          <w:rFonts w:ascii="Times New Roman" w:hAnsi="Times New Roman"/>
        </w:rPr>
        <w:t xml:space="preserve"> of an express time limi</w:t>
      </w:r>
      <w:r w:rsidR="0057045A" w:rsidRPr="00602F08">
        <w:rPr>
          <w:rStyle w:val="normaltextrun"/>
          <w:rFonts w:ascii="Times New Roman" w:hAnsi="Times New Roman"/>
        </w:rPr>
        <w:t>t</w:t>
      </w:r>
      <w:r w:rsidRPr="00602F08">
        <w:rPr>
          <w:rStyle w:val="normaltextrun"/>
          <w:rFonts w:ascii="Times New Roman" w:hAnsi="Times New Roman"/>
        </w:rPr>
        <w:t xml:space="preserve"> in the 1999 Act and Regulations, she must do so within a reasonable period but ensuring at all times that no substantive breac</w:t>
      </w:r>
      <w:r w:rsidR="0057045A" w:rsidRPr="00602F08">
        <w:rPr>
          <w:rStyle w:val="normaltextrun"/>
          <w:rFonts w:ascii="Times New Roman" w:hAnsi="Times New Roman"/>
        </w:rPr>
        <w:t>h</w:t>
      </w:r>
      <w:r w:rsidRPr="00602F08">
        <w:rPr>
          <w:rStyle w:val="normaltextrun"/>
          <w:rFonts w:ascii="Times New Roman" w:hAnsi="Times New Roman"/>
        </w:rPr>
        <w:t xml:space="preserve"> of Article 3 occurs”.</w:t>
      </w:r>
    </w:p>
    <w:p w14:paraId="2F4B12DE" w14:textId="77777777" w:rsidR="007B16AC" w:rsidRPr="00602F08" w:rsidRDefault="007B16AC" w:rsidP="00B6212D">
      <w:pPr>
        <w:pStyle w:val="ListParagraph"/>
        <w:widowControl w:val="0"/>
        <w:tabs>
          <w:tab w:val="left" w:pos="688"/>
        </w:tabs>
        <w:autoSpaceDE w:val="0"/>
        <w:autoSpaceDN w:val="0"/>
        <w:ind w:left="1440" w:hanging="753"/>
        <w:contextualSpacing w:val="0"/>
        <w:jc w:val="both"/>
        <w:rPr>
          <w:rStyle w:val="normaltextrun"/>
          <w:rFonts w:ascii="Times New Roman" w:hAnsi="Times New Roman"/>
        </w:rPr>
      </w:pPr>
    </w:p>
    <w:p w14:paraId="0C2A9FB3" w14:textId="163CEEA3" w:rsidR="00DE5A56" w:rsidRPr="00602F08" w:rsidRDefault="000615AA"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But th</w:t>
      </w:r>
      <w:r w:rsidR="002C3BCD" w:rsidRPr="00602F08">
        <w:rPr>
          <w:rStyle w:val="normaltextrun"/>
          <w:rFonts w:ascii="Times New Roman" w:hAnsi="Times New Roman"/>
        </w:rPr>
        <w:t>e present proceedings are, in substantial part,</w:t>
      </w:r>
      <w:r w:rsidRPr="00602F08">
        <w:rPr>
          <w:rStyle w:val="normaltextrun"/>
          <w:rFonts w:ascii="Times New Roman" w:hAnsi="Times New Roman"/>
        </w:rPr>
        <w:t xml:space="preserve"> really about what that means</w:t>
      </w:r>
      <w:r w:rsidR="00B556C9" w:rsidRPr="00602F08">
        <w:rPr>
          <w:rStyle w:val="normaltextrun"/>
          <w:rFonts w:ascii="Times New Roman" w:hAnsi="Times New Roman"/>
        </w:rPr>
        <w:t>.</w:t>
      </w:r>
    </w:p>
    <w:p w14:paraId="064546F4" w14:textId="77777777" w:rsidR="0047685B" w:rsidRPr="00602F08" w:rsidRDefault="0047685B" w:rsidP="00B6212D">
      <w:pPr>
        <w:jc w:val="both"/>
        <w:rPr>
          <w:rStyle w:val="normaltextrun"/>
        </w:rPr>
      </w:pPr>
    </w:p>
    <w:p w14:paraId="33CE0078" w14:textId="65F3AD08" w:rsidR="0047685B" w:rsidRPr="00602F08" w:rsidRDefault="00B516EB"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lang w:val="en-US"/>
        </w:rPr>
        <w:t>F</w:t>
      </w:r>
      <w:r w:rsidR="00DE5A56" w:rsidRPr="00602F08">
        <w:rPr>
          <w:rStyle w:val="normaltextrun"/>
          <w:rFonts w:ascii="Times New Roman" w:hAnsi="Times New Roman"/>
          <w:lang w:val="en-US"/>
        </w:rPr>
        <w:t xml:space="preserve">or the Secretary of State </w:t>
      </w:r>
      <w:r w:rsidRPr="00602F08">
        <w:rPr>
          <w:rStyle w:val="normaltextrun"/>
          <w:rFonts w:ascii="Times New Roman" w:hAnsi="Times New Roman"/>
          <w:lang w:val="en-US"/>
        </w:rPr>
        <w:t xml:space="preserve">Mr Tam QC </w:t>
      </w:r>
      <w:r w:rsidR="00DE5A56" w:rsidRPr="00602F08">
        <w:rPr>
          <w:rStyle w:val="normaltextrun"/>
          <w:rFonts w:ascii="Times New Roman" w:hAnsi="Times New Roman"/>
          <w:lang w:val="en-US"/>
        </w:rPr>
        <w:t>described section 4(2) as a mechanism to address the situation of destitution; it was a release valve and it was not the only mechanism. For my part I see no other mechanism at the point at which section 4(2) is engaged by regulation 3</w:t>
      </w:r>
      <w:r w:rsidR="00DE5A56" w:rsidRPr="00602F08">
        <w:rPr>
          <w:rFonts w:ascii="Times New Roman" w:hAnsi="Times New Roman"/>
        </w:rPr>
        <w:t>. Release valves in the form o</w:t>
      </w:r>
      <w:r w:rsidR="00AA7C7C" w:rsidRPr="00602F08">
        <w:rPr>
          <w:rFonts w:ascii="Times New Roman" w:hAnsi="Times New Roman"/>
        </w:rPr>
        <w:t>f</w:t>
      </w:r>
      <w:r w:rsidR="00DE5A56" w:rsidRPr="00602F08">
        <w:rPr>
          <w:rFonts w:ascii="Times New Roman" w:hAnsi="Times New Roman"/>
        </w:rPr>
        <w:t xml:space="preserve"> earning </w:t>
      </w:r>
      <w:r w:rsidR="009C3305" w:rsidRPr="00602F08">
        <w:rPr>
          <w:rFonts w:ascii="Times New Roman" w:hAnsi="Times New Roman"/>
        </w:rPr>
        <w:t xml:space="preserve">through work </w:t>
      </w:r>
      <w:r w:rsidR="00DE5A56" w:rsidRPr="00602F08">
        <w:rPr>
          <w:rFonts w:ascii="Times New Roman" w:hAnsi="Times New Roman"/>
        </w:rPr>
        <w:t xml:space="preserve">or recourse to public funds have been closed to the applicant. </w:t>
      </w:r>
    </w:p>
    <w:p w14:paraId="4CA700BF" w14:textId="77777777" w:rsidR="0047685B" w:rsidRPr="00602F08" w:rsidRDefault="0047685B" w:rsidP="00B6212D">
      <w:pPr>
        <w:pStyle w:val="ListParagraph"/>
        <w:ind w:left="687"/>
        <w:jc w:val="both"/>
        <w:rPr>
          <w:rStyle w:val="normaltextrun"/>
          <w:rFonts w:ascii="Times New Roman" w:hAnsi="Times New Roman"/>
        </w:rPr>
      </w:pPr>
    </w:p>
    <w:p w14:paraId="7FDE0F90" w14:textId="77777777" w:rsidR="0085665D" w:rsidRPr="00602F08" w:rsidRDefault="00D051BF" w:rsidP="00B6212D">
      <w:pPr>
        <w:pStyle w:val="ListParagraph"/>
        <w:numPr>
          <w:ilvl w:val="0"/>
          <w:numId w:val="10"/>
        </w:numPr>
        <w:jc w:val="both"/>
        <w:rPr>
          <w:rFonts w:ascii="Times New Roman" w:hAnsi="Times New Roman"/>
        </w:rPr>
      </w:pPr>
      <w:r w:rsidRPr="00602F08">
        <w:rPr>
          <w:rFonts w:ascii="Times New Roman" w:hAnsi="Times New Roman"/>
        </w:rPr>
        <w:t>Mr Tam QC points out that there is nothing in section 4 itself or in the 1999 Act generally “or in any of the secondary legislation or statutory guidance” which provides that the Secretary of State is required to provide an individual with support within a specific timefram</w:t>
      </w:r>
      <w:r w:rsidR="0085665D" w:rsidRPr="00602F08">
        <w:rPr>
          <w:rFonts w:ascii="Times New Roman" w:hAnsi="Times New Roman"/>
        </w:rPr>
        <w:t>e.</w:t>
      </w:r>
    </w:p>
    <w:p w14:paraId="0507F17D" w14:textId="77777777" w:rsidR="0085665D" w:rsidRPr="00602F08" w:rsidRDefault="0085665D" w:rsidP="00B6212D">
      <w:pPr>
        <w:pStyle w:val="ListParagraph"/>
        <w:rPr>
          <w:rStyle w:val="normaltextrun"/>
          <w:rFonts w:ascii="Times New Roman" w:hAnsi="Times New Roman"/>
        </w:rPr>
      </w:pPr>
    </w:p>
    <w:p w14:paraId="3DD488D0" w14:textId="37AFD515" w:rsidR="0047685B" w:rsidRPr="00602F08" w:rsidRDefault="0085665D"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I</w:t>
      </w:r>
      <w:r w:rsidR="00A229D3" w:rsidRPr="00602F08">
        <w:rPr>
          <w:rStyle w:val="normaltextrun"/>
          <w:rFonts w:ascii="Times New Roman" w:hAnsi="Times New Roman"/>
        </w:rPr>
        <w:t xml:space="preserve">t is emphasised on behalf of the Secretary of State that what is reasonable will depend on the circumstances. </w:t>
      </w:r>
      <w:r w:rsidR="0047685B" w:rsidRPr="00602F08">
        <w:rPr>
          <w:rStyle w:val="normaltextrun"/>
          <w:rFonts w:ascii="Times New Roman" w:hAnsi="Times New Roman"/>
        </w:rPr>
        <w:t>Mr Ta</w:t>
      </w:r>
      <w:r w:rsidR="00645A51" w:rsidRPr="00602F08">
        <w:rPr>
          <w:rStyle w:val="normaltextrun"/>
          <w:rFonts w:ascii="Times New Roman" w:hAnsi="Times New Roman"/>
        </w:rPr>
        <w:t>m</w:t>
      </w:r>
      <w:r w:rsidR="0047685B" w:rsidRPr="00602F08">
        <w:rPr>
          <w:rStyle w:val="normaltextrun"/>
          <w:rFonts w:ascii="Times New Roman" w:hAnsi="Times New Roman"/>
        </w:rPr>
        <w:t xml:space="preserve"> QC referred to </w:t>
      </w:r>
      <w:r w:rsidR="0047685B" w:rsidRPr="00602F08">
        <w:rPr>
          <w:rStyle w:val="normaltextrun"/>
          <w:rFonts w:ascii="Times New Roman" w:hAnsi="Times New Roman"/>
          <w:u w:val="single"/>
        </w:rPr>
        <w:t>National Car Parks Ltd v Baird</w:t>
      </w:r>
      <w:r w:rsidR="0047685B" w:rsidRPr="00602F08">
        <w:rPr>
          <w:rStyle w:val="normaltextrun"/>
          <w:rFonts w:ascii="Times New Roman" w:hAnsi="Times New Roman"/>
        </w:rPr>
        <w:t xml:space="preserve"> [2004] EWCA Civ 967 where Dyson LJ considered the issue of time of performance where a statute is silent as to when a duty should be performed. Dyson LJ set out a non-exhaustive list of factors including “(i) the subject-matter of the duty and the context in which it falls to be performed” and “(iv) any prejudice that is, or may be, caused by </w:t>
      </w:r>
      <w:r w:rsidR="00902EC6" w:rsidRPr="00602F08">
        <w:rPr>
          <w:rStyle w:val="normaltextrun"/>
          <w:rFonts w:ascii="Times New Roman" w:hAnsi="Times New Roman"/>
        </w:rPr>
        <w:t>the</w:t>
      </w:r>
      <w:r w:rsidR="0047685B" w:rsidRPr="00602F08">
        <w:rPr>
          <w:rStyle w:val="normaltextrun"/>
          <w:rFonts w:ascii="Times New Roman" w:hAnsi="Times New Roman"/>
        </w:rPr>
        <w:t xml:space="preserve"> delay”. </w:t>
      </w:r>
    </w:p>
    <w:p w14:paraId="1D91684F" w14:textId="77777777" w:rsidR="0047685B" w:rsidRPr="00602F08" w:rsidRDefault="0047685B" w:rsidP="00B6212D">
      <w:pPr>
        <w:pStyle w:val="ListParagraph"/>
        <w:jc w:val="both"/>
        <w:rPr>
          <w:rStyle w:val="normaltextrun"/>
          <w:rFonts w:ascii="Times New Roman" w:hAnsi="Times New Roman"/>
        </w:rPr>
      </w:pPr>
    </w:p>
    <w:p w14:paraId="6E5B62E2" w14:textId="427B33EE" w:rsidR="0047685B" w:rsidRPr="00602F08" w:rsidRDefault="0047685B"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rPr>
        <w:t xml:space="preserve">The reference to context is </w:t>
      </w:r>
      <w:r w:rsidR="00A229D3" w:rsidRPr="00602F08">
        <w:rPr>
          <w:rStyle w:val="normaltextrun"/>
          <w:rFonts w:ascii="Times New Roman" w:hAnsi="Times New Roman"/>
        </w:rPr>
        <w:t xml:space="preserve">of course </w:t>
      </w:r>
      <w:r w:rsidRPr="00602F08">
        <w:rPr>
          <w:rStyle w:val="normaltextrun"/>
          <w:rFonts w:ascii="Times New Roman" w:hAnsi="Times New Roman"/>
        </w:rPr>
        <w:t xml:space="preserve">particularly important for present purposes. The context is that a breach of Article 3 is imminent. </w:t>
      </w:r>
      <w:r w:rsidRPr="00602F08">
        <w:rPr>
          <w:rStyle w:val="normaltextrun"/>
          <w:rFonts w:ascii="Times New Roman" w:hAnsi="Times New Roman"/>
          <w:lang w:val="en-US"/>
        </w:rPr>
        <w:t xml:space="preserve">The situation is best seen as one involving the prevention of inhuman and degrading treatment rather than simply as a case involving the provision of accommodation. In a particular case before a decision is reached to accept the duty to accommodate there may be a question whether an individual is destitute or whether a breach of Article 3 is imminent. But at the point of the Secretary of State’s </w:t>
      </w:r>
      <w:r w:rsidR="00E927E6" w:rsidRPr="00602F08">
        <w:rPr>
          <w:rStyle w:val="normaltextrun"/>
          <w:rFonts w:ascii="Times New Roman" w:hAnsi="Times New Roman"/>
          <w:lang w:val="en-US"/>
        </w:rPr>
        <w:t xml:space="preserve">section 4(2) </w:t>
      </w:r>
      <w:r w:rsidRPr="00602F08">
        <w:rPr>
          <w:rStyle w:val="normaltextrun"/>
          <w:rFonts w:ascii="Times New Roman" w:hAnsi="Times New Roman"/>
          <w:lang w:val="en-US"/>
        </w:rPr>
        <w:t xml:space="preserve">decision </w:t>
      </w:r>
      <w:r w:rsidR="00410B4F" w:rsidRPr="00602F08">
        <w:rPr>
          <w:rStyle w:val="normaltextrun"/>
          <w:rFonts w:ascii="Times New Roman" w:hAnsi="Times New Roman"/>
          <w:lang w:val="en-US"/>
        </w:rPr>
        <w:t xml:space="preserve">made </w:t>
      </w:r>
      <w:r w:rsidR="00B516EB" w:rsidRPr="00602F08">
        <w:rPr>
          <w:rStyle w:val="normaltextrun"/>
          <w:rFonts w:ascii="Times New Roman" w:hAnsi="Times New Roman"/>
          <w:lang w:val="en-US"/>
        </w:rPr>
        <w:t>through he</w:t>
      </w:r>
      <w:r w:rsidR="00410B4F" w:rsidRPr="00602F08">
        <w:rPr>
          <w:rStyle w:val="normaltextrun"/>
          <w:rFonts w:ascii="Times New Roman" w:hAnsi="Times New Roman"/>
          <w:lang w:val="en-US"/>
        </w:rPr>
        <w:t>r</w:t>
      </w:r>
      <w:r w:rsidR="00B516EB" w:rsidRPr="00602F08">
        <w:rPr>
          <w:rStyle w:val="normaltextrun"/>
          <w:rFonts w:ascii="Times New Roman" w:hAnsi="Times New Roman"/>
          <w:lang w:val="en-US"/>
        </w:rPr>
        <w:t xml:space="preserve"> officials </w:t>
      </w:r>
      <w:r w:rsidRPr="00602F08">
        <w:rPr>
          <w:rStyle w:val="normaltextrun"/>
          <w:rFonts w:ascii="Times New Roman" w:hAnsi="Times New Roman"/>
          <w:lang w:val="en-US"/>
        </w:rPr>
        <w:t>that question has been answered in the affirmative.</w:t>
      </w:r>
    </w:p>
    <w:p w14:paraId="42ED5D2E" w14:textId="77777777" w:rsidR="0047685B" w:rsidRPr="00602F08" w:rsidRDefault="0047685B" w:rsidP="00B6212D">
      <w:pPr>
        <w:jc w:val="both"/>
        <w:rPr>
          <w:rStyle w:val="normaltextrun"/>
          <w:lang w:val="en-US"/>
        </w:rPr>
      </w:pPr>
    </w:p>
    <w:p w14:paraId="470DA097" w14:textId="78D3C5D5" w:rsidR="00366E74" w:rsidRPr="00602F08" w:rsidRDefault="00AA483A" w:rsidP="00B6212D">
      <w:pPr>
        <w:numPr>
          <w:ilvl w:val="0"/>
          <w:numId w:val="10"/>
        </w:numPr>
        <w:jc w:val="both"/>
        <w:rPr>
          <w:rStyle w:val="normaltextrun"/>
          <w:lang w:val="en-US"/>
        </w:rPr>
      </w:pPr>
      <w:r w:rsidRPr="00602F08">
        <w:rPr>
          <w:spacing w:val="-3"/>
        </w:rPr>
        <w:t xml:space="preserve">Mr Alex Goodman and Ms Katherine Barnes, for DMA, </w:t>
      </w:r>
      <w:r w:rsidR="00E47B5E" w:rsidRPr="00602F08">
        <w:rPr>
          <w:spacing w:val="-3"/>
        </w:rPr>
        <w:t>AHK, BK and ELN</w:t>
      </w:r>
      <w:r w:rsidRPr="00602F08">
        <w:rPr>
          <w:rStyle w:val="normaltextrun"/>
        </w:rPr>
        <w:t xml:space="preserve"> </w:t>
      </w:r>
      <w:r w:rsidR="0047685B" w:rsidRPr="00602F08">
        <w:rPr>
          <w:rStyle w:val="normaltextrun"/>
        </w:rPr>
        <w:t xml:space="preserve">emphasised the importance of understanding the obligation as one that kept time to a minimum. </w:t>
      </w:r>
      <w:r w:rsidR="0047685B" w:rsidRPr="00602F08">
        <w:rPr>
          <w:rStyle w:val="normaltextrun"/>
          <w:lang w:val="en-US"/>
        </w:rPr>
        <w:t xml:space="preserve">Time will already have passed in reaching the </w:t>
      </w:r>
      <w:r w:rsidR="00410B4F" w:rsidRPr="00602F08">
        <w:rPr>
          <w:rStyle w:val="normaltextrun"/>
          <w:lang w:val="en-US"/>
        </w:rPr>
        <w:t xml:space="preserve">section 4(2) </w:t>
      </w:r>
      <w:r w:rsidR="0047685B" w:rsidRPr="00602F08">
        <w:rPr>
          <w:rStyle w:val="normaltextrun"/>
          <w:lang w:val="en-US"/>
        </w:rPr>
        <w:t>decision. Mr Goodman points out that already in some cases, before the decision</w:t>
      </w:r>
      <w:r w:rsidR="0032147C" w:rsidRPr="00602F08">
        <w:rPr>
          <w:rStyle w:val="normaltextrun"/>
          <w:lang w:val="en-US"/>
        </w:rPr>
        <w:t>,</w:t>
      </w:r>
      <w:r w:rsidR="0047685B" w:rsidRPr="00602F08">
        <w:rPr>
          <w:rStyle w:val="normaltextrun"/>
          <w:lang w:val="en-US"/>
        </w:rPr>
        <w:t xml:space="preserve"> time will have elapsed. The policy choice of Parliament and Government has been to close “release valves” and engage the duty to accommodate at a point that leaves no room for delay. </w:t>
      </w:r>
      <w:r w:rsidR="00550173" w:rsidRPr="00602F08">
        <w:rPr>
          <w:rStyle w:val="normaltextrun"/>
          <w:lang w:val="en-US"/>
        </w:rPr>
        <w:t xml:space="preserve">It may follow from Mr Goodman’s argument that </w:t>
      </w:r>
      <w:r w:rsidR="00550173" w:rsidRPr="00602F08">
        <w:t>i</w:t>
      </w:r>
      <w:r w:rsidR="00366E74" w:rsidRPr="00602F08">
        <w:t xml:space="preserve">f </w:t>
      </w:r>
      <w:r w:rsidR="00822E0A" w:rsidRPr="00602F08">
        <w:t xml:space="preserve">the </w:t>
      </w:r>
      <w:r w:rsidR="000E4830" w:rsidRPr="00602F08">
        <w:t>policy</w:t>
      </w:r>
      <w:r w:rsidR="00117825" w:rsidRPr="00602F08">
        <w:t xml:space="preserve"> choice</w:t>
      </w:r>
      <w:r w:rsidR="00366E74" w:rsidRPr="00602F08">
        <w:t xml:space="preserve"> </w:t>
      </w:r>
      <w:r w:rsidR="000E4830" w:rsidRPr="00602F08">
        <w:t xml:space="preserve">had been </w:t>
      </w:r>
      <w:r w:rsidR="00366E74" w:rsidRPr="00602F08">
        <w:t>different</w:t>
      </w:r>
      <w:r w:rsidR="000E4830" w:rsidRPr="00602F08">
        <w:t xml:space="preserve">, and had not </w:t>
      </w:r>
      <w:r w:rsidR="00117825" w:rsidRPr="00602F08">
        <w:t xml:space="preserve">imposed </w:t>
      </w:r>
      <w:r w:rsidR="00550173" w:rsidRPr="00602F08">
        <w:t>“</w:t>
      </w:r>
      <w:r w:rsidR="00117825" w:rsidRPr="00602F08">
        <w:t>no recourse to public funds</w:t>
      </w:r>
      <w:r w:rsidR="00550173" w:rsidRPr="00602F08">
        <w:t>”</w:t>
      </w:r>
      <w:r w:rsidR="00117825" w:rsidRPr="00602F08">
        <w:t xml:space="preserve"> or had </w:t>
      </w:r>
      <w:r w:rsidR="000E4830" w:rsidRPr="00602F08">
        <w:t>chosen to</w:t>
      </w:r>
      <w:r w:rsidR="00366E74" w:rsidRPr="00602F08">
        <w:t xml:space="preserve"> </w:t>
      </w:r>
      <w:r w:rsidR="00117825" w:rsidRPr="00602F08">
        <w:t xml:space="preserve">engage at a point earlier than imminent </w:t>
      </w:r>
      <w:r w:rsidR="00896161" w:rsidRPr="00602F08">
        <w:t xml:space="preserve">risk of Article 3 breach, then more time would be possible </w:t>
      </w:r>
      <w:r w:rsidR="00F50BFB" w:rsidRPr="00602F08">
        <w:t>without unlawfulness</w:t>
      </w:r>
      <w:r w:rsidR="00410B4F" w:rsidRPr="00602F08">
        <w:t>.</w:t>
      </w:r>
      <w:r w:rsidR="00366E74" w:rsidRPr="00602F08">
        <w:t xml:space="preserve"> </w:t>
      </w:r>
    </w:p>
    <w:p w14:paraId="0CBCBB92" w14:textId="77777777" w:rsidR="0047685B" w:rsidRPr="00602F08" w:rsidRDefault="0047685B" w:rsidP="00B6212D">
      <w:pPr>
        <w:ind w:left="687"/>
        <w:jc w:val="both"/>
        <w:rPr>
          <w:rStyle w:val="normaltextrun"/>
          <w:lang w:val="en-US"/>
        </w:rPr>
      </w:pPr>
    </w:p>
    <w:p w14:paraId="43F6F504" w14:textId="77777777" w:rsidR="001E1DEF" w:rsidRPr="00602F08" w:rsidRDefault="0047685B" w:rsidP="00B6212D">
      <w:pPr>
        <w:pStyle w:val="ListParagraph"/>
        <w:widowControl w:val="0"/>
        <w:numPr>
          <w:ilvl w:val="0"/>
          <w:numId w:val="10"/>
        </w:numPr>
        <w:tabs>
          <w:tab w:val="left" w:pos="688"/>
        </w:tabs>
        <w:autoSpaceDE w:val="0"/>
        <w:autoSpaceDN w:val="0"/>
        <w:contextualSpacing w:val="0"/>
        <w:jc w:val="both"/>
        <w:rPr>
          <w:rStyle w:val="normaltextrun"/>
          <w:rFonts w:ascii="Times New Roman" w:hAnsi="Times New Roman"/>
        </w:rPr>
      </w:pPr>
      <w:r w:rsidRPr="00602F08">
        <w:rPr>
          <w:rFonts w:ascii="Times New Roman" w:hAnsi="Times New Roman"/>
        </w:rPr>
        <w:t xml:space="preserve">In </w:t>
      </w:r>
      <w:r w:rsidRPr="00602F08">
        <w:rPr>
          <w:rFonts w:ascii="Times New Roman" w:hAnsi="Times New Roman"/>
          <w:u w:val="single"/>
        </w:rPr>
        <w:t>MK</w:t>
      </w:r>
      <w:r w:rsidR="002D770E" w:rsidRPr="00602F08">
        <w:rPr>
          <w:rFonts w:ascii="Times New Roman" w:hAnsi="Times New Roman"/>
          <w:u w:val="single"/>
        </w:rPr>
        <w:t xml:space="preserve"> and AH </w:t>
      </w:r>
      <w:r w:rsidR="00CB1DFC" w:rsidRPr="00602F08">
        <w:rPr>
          <w:rFonts w:ascii="Times New Roman" w:hAnsi="Times New Roman"/>
          <w:u w:val="single"/>
        </w:rPr>
        <w:t>v The Secretary of State for the Home Department (Refugee Action intervening)</w:t>
      </w:r>
      <w:r w:rsidRPr="00602F08">
        <w:rPr>
          <w:rFonts w:ascii="Times New Roman" w:hAnsi="Times New Roman"/>
        </w:rPr>
        <w:t xml:space="preserve"> </w:t>
      </w:r>
      <w:r w:rsidR="00CB1DFC" w:rsidRPr="00602F08">
        <w:rPr>
          <w:rFonts w:ascii="Times New Roman" w:hAnsi="Times New Roman"/>
        </w:rPr>
        <w:t>[</w:t>
      </w:r>
      <w:r w:rsidR="00B03F89" w:rsidRPr="00602F08">
        <w:rPr>
          <w:rFonts w:ascii="Times New Roman" w:hAnsi="Times New Roman"/>
        </w:rPr>
        <w:t xml:space="preserve">2012] EWHC 1896 (Admin) </w:t>
      </w:r>
      <w:r w:rsidRPr="00602F08">
        <w:rPr>
          <w:rFonts w:ascii="Times New Roman" w:hAnsi="Times New Roman"/>
        </w:rPr>
        <w:t xml:space="preserve">the Court considered </w:t>
      </w:r>
      <w:r w:rsidR="00CF1F0B" w:rsidRPr="00602F08">
        <w:rPr>
          <w:rFonts w:ascii="Times New Roman" w:hAnsi="Times New Roman"/>
        </w:rPr>
        <w:t xml:space="preserve">the </w:t>
      </w:r>
      <w:r w:rsidRPr="00602F08">
        <w:rPr>
          <w:rFonts w:ascii="Times New Roman" w:hAnsi="Times New Roman"/>
        </w:rPr>
        <w:t xml:space="preserve">time </w:t>
      </w:r>
      <w:r w:rsidR="00AB2D8E" w:rsidRPr="00602F08">
        <w:rPr>
          <w:rFonts w:ascii="Times New Roman" w:hAnsi="Times New Roman"/>
        </w:rPr>
        <w:t xml:space="preserve">within which </w:t>
      </w:r>
      <w:r w:rsidRPr="00602F08">
        <w:rPr>
          <w:rFonts w:ascii="Times New Roman" w:hAnsi="Times New Roman"/>
        </w:rPr>
        <w:t xml:space="preserve">to make a </w:t>
      </w:r>
      <w:r w:rsidR="00AB2D8E" w:rsidRPr="00602F08">
        <w:rPr>
          <w:rFonts w:ascii="Times New Roman" w:hAnsi="Times New Roman"/>
        </w:rPr>
        <w:t xml:space="preserve">section 4 </w:t>
      </w:r>
      <w:r w:rsidRPr="00602F08">
        <w:rPr>
          <w:rFonts w:ascii="Times New Roman" w:hAnsi="Times New Roman"/>
        </w:rPr>
        <w:t>decision</w:t>
      </w:r>
      <w:r w:rsidR="00AB2D8E" w:rsidRPr="00602F08">
        <w:rPr>
          <w:rFonts w:ascii="Times New Roman" w:hAnsi="Times New Roman"/>
        </w:rPr>
        <w:t xml:space="preserve">, rather than </w:t>
      </w:r>
      <w:r w:rsidR="001E1DEF" w:rsidRPr="00602F08">
        <w:rPr>
          <w:rFonts w:ascii="Times New Roman" w:hAnsi="Times New Roman"/>
        </w:rPr>
        <w:t xml:space="preserve">(as here) </w:t>
      </w:r>
      <w:r w:rsidR="00AB2D8E" w:rsidRPr="00602F08">
        <w:rPr>
          <w:rFonts w:ascii="Times New Roman" w:hAnsi="Times New Roman"/>
        </w:rPr>
        <w:t>carry it out</w:t>
      </w:r>
      <w:r w:rsidRPr="00602F08">
        <w:rPr>
          <w:rFonts w:ascii="Times New Roman" w:hAnsi="Times New Roman"/>
        </w:rPr>
        <w:t>. Foskett J held that the Secretary of State’s policy that renewed claims for asylum made by failed asylum seekers who were or risked being destitute had to be considered before their applications for support</w:t>
      </w:r>
      <w:r w:rsidRPr="00602F08">
        <w:rPr>
          <w:rFonts w:ascii="Times New Roman" w:hAnsi="Times New Roman"/>
          <w:spacing w:val="-23"/>
        </w:rPr>
        <w:t xml:space="preserve"> </w:t>
      </w:r>
      <w:r w:rsidRPr="00602F08">
        <w:rPr>
          <w:rFonts w:ascii="Times New Roman" w:hAnsi="Times New Roman"/>
        </w:rPr>
        <w:t>under section 4 of the 1999 Act were considered, unless 15 working days had elapsed, was unlawful because it created an unacceptable risk of a breach of Article 3.</w:t>
      </w:r>
      <w:r w:rsidRPr="00602F08">
        <w:rPr>
          <w:rStyle w:val="normaltextrun"/>
          <w:rFonts w:ascii="Times New Roman" w:hAnsi="Times New Roman"/>
        </w:rPr>
        <w:t xml:space="preserve"> </w:t>
      </w:r>
    </w:p>
    <w:p w14:paraId="742280E1" w14:textId="77777777" w:rsidR="001E1DEF" w:rsidRPr="00602F08" w:rsidRDefault="001E1DEF" w:rsidP="00B6212D">
      <w:pPr>
        <w:pStyle w:val="ListParagraph"/>
        <w:rPr>
          <w:rStyle w:val="normaltextrun"/>
          <w:rFonts w:ascii="Times New Roman" w:hAnsi="Times New Roman"/>
        </w:rPr>
      </w:pPr>
    </w:p>
    <w:p w14:paraId="3F74859D" w14:textId="699AD028" w:rsidR="0047685B" w:rsidRPr="00602F08" w:rsidRDefault="0047685B" w:rsidP="00B6212D">
      <w:pPr>
        <w:pStyle w:val="ListParagraph"/>
        <w:widowControl w:val="0"/>
        <w:numPr>
          <w:ilvl w:val="0"/>
          <w:numId w:val="10"/>
        </w:numPr>
        <w:tabs>
          <w:tab w:val="left" w:pos="688"/>
        </w:tabs>
        <w:autoSpaceDE w:val="0"/>
        <w:autoSpaceDN w:val="0"/>
        <w:contextualSpacing w:val="0"/>
        <w:jc w:val="both"/>
        <w:rPr>
          <w:rStyle w:val="normaltextrun"/>
          <w:rFonts w:ascii="Times New Roman" w:hAnsi="Times New Roman"/>
        </w:rPr>
      </w:pPr>
      <w:r w:rsidRPr="00602F08">
        <w:rPr>
          <w:rStyle w:val="normaltextrun"/>
          <w:rFonts w:ascii="Times New Roman" w:hAnsi="Times New Roman"/>
        </w:rPr>
        <w:t xml:space="preserve">Mr Goodman noted that a period from </w:t>
      </w:r>
      <w:r w:rsidR="00E51957" w:rsidRPr="00602F08">
        <w:rPr>
          <w:rStyle w:val="normaltextrun"/>
          <w:rFonts w:ascii="Times New Roman" w:hAnsi="Times New Roman"/>
        </w:rPr>
        <w:t xml:space="preserve">section 4(2) </w:t>
      </w:r>
      <w:r w:rsidRPr="00602F08">
        <w:rPr>
          <w:rStyle w:val="normaltextrun"/>
          <w:rFonts w:ascii="Times New Roman" w:hAnsi="Times New Roman"/>
        </w:rPr>
        <w:t xml:space="preserve">decision </w:t>
      </w:r>
      <w:r w:rsidR="00E51957" w:rsidRPr="00602F08">
        <w:rPr>
          <w:rStyle w:val="normaltextrun"/>
          <w:rFonts w:ascii="Times New Roman" w:hAnsi="Times New Roman"/>
        </w:rPr>
        <w:t xml:space="preserve">to provision </w:t>
      </w:r>
      <w:r w:rsidR="001E1DEF" w:rsidRPr="00602F08">
        <w:rPr>
          <w:rStyle w:val="normaltextrun"/>
          <w:rFonts w:ascii="Times New Roman" w:hAnsi="Times New Roman"/>
        </w:rPr>
        <w:t>(of up t</w:t>
      </w:r>
      <w:r w:rsidR="0085665D" w:rsidRPr="00602F08">
        <w:rPr>
          <w:rStyle w:val="normaltextrun"/>
          <w:rFonts w:ascii="Times New Roman" w:hAnsi="Times New Roman"/>
        </w:rPr>
        <w:t>o</w:t>
      </w:r>
      <w:r w:rsidR="001E1DEF" w:rsidRPr="00602F08">
        <w:rPr>
          <w:rStyle w:val="normaltextrun"/>
          <w:rFonts w:ascii="Times New Roman" w:hAnsi="Times New Roman"/>
        </w:rPr>
        <w:t xml:space="preserve"> 14 days) </w:t>
      </w:r>
      <w:r w:rsidR="00CE3B5B" w:rsidRPr="00602F08">
        <w:rPr>
          <w:rStyle w:val="normaltextrun"/>
          <w:rFonts w:ascii="Times New Roman" w:hAnsi="Times New Roman"/>
        </w:rPr>
        <w:t xml:space="preserve">now </w:t>
      </w:r>
      <w:r w:rsidRPr="00602F08">
        <w:rPr>
          <w:rStyle w:val="normaltextrun"/>
          <w:rFonts w:ascii="Times New Roman" w:hAnsi="Times New Roman"/>
        </w:rPr>
        <w:t>appears to have been, as he put it, “baked in contractually”. This</w:t>
      </w:r>
      <w:r w:rsidR="002654D5" w:rsidRPr="00602F08">
        <w:rPr>
          <w:rStyle w:val="normaltextrun"/>
          <w:rFonts w:ascii="Times New Roman" w:hAnsi="Times New Roman"/>
        </w:rPr>
        <w:t>, he argued,</w:t>
      </w:r>
      <w:r w:rsidRPr="00602F08">
        <w:rPr>
          <w:rStyle w:val="normaltextrun"/>
          <w:rFonts w:ascii="Times New Roman" w:hAnsi="Times New Roman"/>
        </w:rPr>
        <w:t xml:space="preserve"> was not appropriate in the context, and even then it was not being met in a material proportion of cases.</w:t>
      </w:r>
    </w:p>
    <w:p w14:paraId="747ADE8D" w14:textId="77777777" w:rsidR="0047685B" w:rsidRPr="00602F08" w:rsidRDefault="0047685B" w:rsidP="00B6212D">
      <w:pPr>
        <w:jc w:val="both"/>
      </w:pPr>
    </w:p>
    <w:p w14:paraId="7B51A980" w14:textId="1B870D7D" w:rsidR="00DE5A56" w:rsidRPr="00602F08" w:rsidRDefault="005318EF" w:rsidP="00B6212D">
      <w:pPr>
        <w:pStyle w:val="ListParagraph"/>
        <w:widowControl w:val="0"/>
        <w:numPr>
          <w:ilvl w:val="0"/>
          <w:numId w:val="10"/>
        </w:numPr>
        <w:tabs>
          <w:tab w:val="left" w:pos="688"/>
        </w:tabs>
        <w:autoSpaceDE w:val="0"/>
        <w:autoSpaceDN w:val="0"/>
        <w:contextualSpacing w:val="0"/>
        <w:jc w:val="both"/>
        <w:rPr>
          <w:rStyle w:val="normaltextrun"/>
          <w:rFonts w:ascii="Times New Roman" w:hAnsi="Times New Roman"/>
        </w:rPr>
      </w:pPr>
      <w:r w:rsidRPr="00602F08">
        <w:rPr>
          <w:rFonts w:ascii="Times New Roman" w:hAnsi="Times New Roman"/>
        </w:rPr>
        <w:t>It is also the case that t</w:t>
      </w:r>
      <w:r w:rsidR="0085665D" w:rsidRPr="00602F08">
        <w:rPr>
          <w:rFonts w:ascii="Times New Roman" w:hAnsi="Times New Roman"/>
        </w:rPr>
        <w:t>he Guidance does identify periods. The latter may as often be too short as adequate. These proceedings show instances of those periods being vastly exceeded and the Secretary of State acting by her officials cannot say by how long (other than longer than her Guidance) in large percentages of other cases.</w:t>
      </w:r>
    </w:p>
    <w:p w14:paraId="197CC266" w14:textId="77777777" w:rsidR="00DE5A56" w:rsidRPr="00602F08" w:rsidRDefault="00DE5A56" w:rsidP="00B6212D">
      <w:pPr>
        <w:jc w:val="both"/>
        <w:rPr>
          <w:rStyle w:val="normaltextrun"/>
        </w:rPr>
      </w:pPr>
    </w:p>
    <w:p w14:paraId="2A418A76" w14:textId="315B33E8" w:rsidR="002C3BCD" w:rsidRPr="00602F08" w:rsidRDefault="00701D65"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Mr Ta</w:t>
      </w:r>
      <w:r w:rsidR="00645A51" w:rsidRPr="00602F08">
        <w:rPr>
          <w:rStyle w:val="normaltextrun"/>
          <w:rFonts w:ascii="Times New Roman" w:hAnsi="Times New Roman"/>
        </w:rPr>
        <w:t>m</w:t>
      </w:r>
      <w:r w:rsidRPr="00602F08">
        <w:rPr>
          <w:rStyle w:val="normaltextrun"/>
          <w:rFonts w:ascii="Times New Roman" w:hAnsi="Times New Roman"/>
        </w:rPr>
        <w:t xml:space="preserve"> QC </w:t>
      </w:r>
      <w:r w:rsidR="005318EF" w:rsidRPr="00602F08">
        <w:rPr>
          <w:rStyle w:val="normaltextrun"/>
          <w:rFonts w:ascii="Times New Roman" w:hAnsi="Times New Roman"/>
        </w:rPr>
        <w:t xml:space="preserve">offered an example </w:t>
      </w:r>
      <w:r w:rsidRPr="00602F08">
        <w:rPr>
          <w:rStyle w:val="normaltextrun"/>
          <w:rFonts w:ascii="Times New Roman" w:hAnsi="Times New Roman"/>
        </w:rPr>
        <w:t>that it is useful to discuss</w:t>
      </w:r>
      <w:r w:rsidR="002C3BCD" w:rsidRPr="00602F08">
        <w:rPr>
          <w:rStyle w:val="normaltextrun"/>
          <w:rFonts w:ascii="Times New Roman" w:hAnsi="Times New Roman"/>
        </w:rPr>
        <w:t>:</w:t>
      </w:r>
    </w:p>
    <w:p w14:paraId="2F699C3F" w14:textId="77777777" w:rsidR="002C3BCD" w:rsidRPr="00602F08" w:rsidRDefault="002C3BCD" w:rsidP="00B6212D">
      <w:pPr>
        <w:pStyle w:val="ListParagraph"/>
        <w:jc w:val="both"/>
        <w:rPr>
          <w:rStyle w:val="normaltextrun"/>
          <w:rFonts w:ascii="Times New Roman" w:hAnsi="Times New Roman"/>
        </w:rPr>
      </w:pPr>
    </w:p>
    <w:p w14:paraId="19EA4B47" w14:textId="31514662" w:rsidR="00DB6633" w:rsidRPr="00602F08" w:rsidRDefault="00651A15" w:rsidP="00B6212D">
      <w:pPr>
        <w:pStyle w:val="ListParagraph"/>
        <w:ind w:left="1440" w:hanging="753"/>
        <w:jc w:val="both"/>
        <w:rPr>
          <w:rStyle w:val="normaltextrun"/>
          <w:rFonts w:ascii="Times New Roman" w:hAnsi="Times New Roman"/>
        </w:rPr>
      </w:pPr>
      <w:r w:rsidRPr="00602F08">
        <w:rPr>
          <w:rStyle w:val="normaltextrun"/>
          <w:rFonts w:ascii="Times New Roman" w:hAnsi="Times New Roman"/>
        </w:rPr>
        <w:t xml:space="preserve"> </w:t>
      </w:r>
      <w:r w:rsidR="002C3BCD" w:rsidRPr="00602F08">
        <w:rPr>
          <w:rStyle w:val="normaltextrun"/>
          <w:rFonts w:ascii="Times New Roman" w:hAnsi="Times New Roman"/>
        </w:rPr>
        <w:tab/>
      </w:r>
      <w:r w:rsidR="00E2586A" w:rsidRPr="00602F08">
        <w:rPr>
          <w:rStyle w:val="normaltextrun"/>
          <w:rFonts w:ascii="Times New Roman" w:hAnsi="Times New Roman"/>
        </w:rPr>
        <w:t>“By way of example only, a delay of 48 hours may be wholly unreasonable in the case of street homeless vulnerable female with significant health issues, whereas a delay of 4 weeks, whilst not ideal, may be reasonable in the case of a healthy male who was able to access a roof over his head each night and food each day (even though his circumstances were less than ideal) and where in fact no breach of Article 3 occurred during the 4 week period.”</w:t>
      </w:r>
      <w:r w:rsidR="00B6540B" w:rsidRPr="00602F08">
        <w:rPr>
          <w:rStyle w:val="normaltextrun"/>
          <w:rFonts w:ascii="Times New Roman" w:hAnsi="Times New Roman"/>
        </w:rPr>
        <w:t xml:space="preserve"> </w:t>
      </w:r>
    </w:p>
    <w:p w14:paraId="336A88BC" w14:textId="77777777" w:rsidR="00DB6633" w:rsidRPr="00602F08" w:rsidRDefault="00DB6633" w:rsidP="00B6212D">
      <w:pPr>
        <w:jc w:val="both"/>
        <w:rPr>
          <w:rStyle w:val="normaltextrun"/>
        </w:rPr>
      </w:pPr>
    </w:p>
    <w:p w14:paraId="6E342094" w14:textId="23224363" w:rsidR="00A947B2" w:rsidRPr="00602F08" w:rsidRDefault="00651A15"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 xml:space="preserve">The </w:t>
      </w:r>
      <w:r w:rsidR="0000685D" w:rsidRPr="00602F08">
        <w:rPr>
          <w:rStyle w:val="normaltextrun"/>
          <w:rFonts w:ascii="Times New Roman" w:hAnsi="Times New Roman"/>
        </w:rPr>
        <w:t xml:space="preserve">first part of the example </w:t>
      </w:r>
      <w:r w:rsidR="0025004E" w:rsidRPr="00602F08">
        <w:rPr>
          <w:rStyle w:val="normaltextrun"/>
          <w:rFonts w:ascii="Times New Roman" w:hAnsi="Times New Roman"/>
        </w:rPr>
        <w:t xml:space="preserve">(the vulnerable female with significant health issues) </w:t>
      </w:r>
      <w:r w:rsidR="0000685D" w:rsidRPr="00602F08">
        <w:rPr>
          <w:rStyle w:val="normaltextrun"/>
          <w:rFonts w:ascii="Times New Roman" w:hAnsi="Times New Roman"/>
        </w:rPr>
        <w:t xml:space="preserve">is sound. The </w:t>
      </w:r>
      <w:r w:rsidRPr="00602F08">
        <w:rPr>
          <w:rStyle w:val="normaltextrun"/>
          <w:rFonts w:ascii="Times New Roman" w:hAnsi="Times New Roman"/>
        </w:rPr>
        <w:t>difficulty w</w:t>
      </w:r>
      <w:r w:rsidR="0000685D" w:rsidRPr="00602F08">
        <w:rPr>
          <w:rStyle w:val="normaltextrun"/>
          <w:rFonts w:ascii="Times New Roman" w:hAnsi="Times New Roman"/>
        </w:rPr>
        <w:t>ith</w:t>
      </w:r>
      <w:r w:rsidRPr="00602F08">
        <w:rPr>
          <w:rStyle w:val="normaltextrun"/>
          <w:rFonts w:ascii="Times New Roman" w:hAnsi="Times New Roman"/>
        </w:rPr>
        <w:t xml:space="preserve"> </w:t>
      </w:r>
      <w:r w:rsidR="001F37F0" w:rsidRPr="00602F08">
        <w:rPr>
          <w:rStyle w:val="normaltextrun"/>
          <w:rFonts w:ascii="Times New Roman" w:hAnsi="Times New Roman"/>
        </w:rPr>
        <w:t xml:space="preserve">the final limb of </w:t>
      </w:r>
      <w:r w:rsidR="0000685D" w:rsidRPr="00602F08">
        <w:rPr>
          <w:rStyle w:val="normaltextrun"/>
          <w:rFonts w:ascii="Times New Roman" w:hAnsi="Times New Roman"/>
        </w:rPr>
        <w:t xml:space="preserve">the second part </w:t>
      </w:r>
      <w:r w:rsidR="00B07CC6" w:rsidRPr="00602F08">
        <w:rPr>
          <w:rStyle w:val="normaltextrun"/>
          <w:rFonts w:ascii="Times New Roman" w:hAnsi="Times New Roman"/>
        </w:rPr>
        <w:t xml:space="preserve">of the example </w:t>
      </w:r>
      <w:r w:rsidR="0000685D" w:rsidRPr="00602F08">
        <w:rPr>
          <w:rStyle w:val="normaltextrun"/>
          <w:rFonts w:ascii="Times New Roman" w:hAnsi="Times New Roman"/>
        </w:rPr>
        <w:t>(the healthy male)</w:t>
      </w:r>
      <w:r w:rsidR="001F37F0" w:rsidRPr="00602F08">
        <w:rPr>
          <w:rStyle w:val="normaltextrun"/>
          <w:rFonts w:ascii="Times New Roman" w:hAnsi="Times New Roman"/>
        </w:rPr>
        <w:t xml:space="preserve"> is that it uses hindsight</w:t>
      </w:r>
      <w:r w:rsidR="0025004E" w:rsidRPr="00602F08">
        <w:rPr>
          <w:rStyle w:val="normaltextrun"/>
          <w:rFonts w:ascii="Times New Roman" w:hAnsi="Times New Roman"/>
        </w:rPr>
        <w:t xml:space="preserve"> (“where in fact no breach of Article 3 occurred”). Hindsight </w:t>
      </w:r>
      <w:r w:rsidR="001F37F0" w:rsidRPr="00602F08">
        <w:rPr>
          <w:rStyle w:val="normaltextrun"/>
          <w:rFonts w:ascii="Times New Roman" w:hAnsi="Times New Roman"/>
        </w:rPr>
        <w:t xml:space="preserve">is not available when </w:t>
      </w:r>
      <w:r w:rsidR="0025004E" w:rsidRPr="00602F08">
        <w:rPr>
          <w:rStyle w:val="normaltextrun"/>
          <w:rFonts w:ascii="Times New Roman" w:hAnsi="Times New Roman"/>
        </w:rPr>
        <w:t xml:space="preserve">the </w:t>
      </w:r>
      <w:r w:rsidR="005702A9" w:rsidRPr="00602F08">
        <w:rPr>
          <w:rStyle w:val="normaltextrun"/>
          <w:rFonts w:ascii="Times New Roman" w:hAnsi="Times New Roman"/>
        </w:rPr>
        <w:t>S</w:t>
      </w:r>
      <w:r w:rsidR="0025004E" w:rsidRPr="00602F08">
        <w:rPr>
          <w:rStyle w:val="normaltextrun"/>
          <w:rFonts w:ascii="Times New Roman" w:hAnsi="Times New Roman"/>
        </w:rPr>
        <w:t xml:space="preserve">ecretary of </w:t>
      </w:r>
      <w:r w:rsidR="005702A9" w:rsidRPr="00602F08">
        <w:rPr>
          <w:rStyle w:val="normaltextrun"/>
          <w:rFonts w:ascii="Times New Roman" w:hAnsi="Times New Roman"/>
        </w:rPr>
        <w:t>S</w:t>
      </w:r>
      <w:r w:rsidR="0025004E" w:rsidRPr="00602F08">
        <w:rPr>
          <w:rStyle w:val="normaltextrun"/>
          <w:rFonts w:ascii="Times New Roman" w:hAnsi="Times New Roman"/>
        </w:rPr>
        <w:t xml:space="preserve">tate </w:t>
      </w:r>
      <w:r w:rsidR="003C4AAA" w:rsidRPr="00602F08">
        <w:rPr>
          <w:rStyle w:val="normaltextrun"/>
          <w:rFonts w:ascii="Times New Roman" w:hAnsi="Times New Roman"/>
        </w:rPr>
        <w:t xml:space="preserve">has a duty to provide accommodation within a reasonable time. </w:t>
      </w:r>
    </w:p>
    <w:p w14:paraId="60D2CD4B" w14:textId="77777777" w:rsidR="00A947B2" w:rsidRPr="00602F08" w:rsidRDefault="00A947B2" w:rsidP="00B6212D">
      <w:pPr>
        <w:pStyle w:val="ListParagraph"/>
        <w:jc w:val="both"/>
        <w:rPr>
          <w:rStyle w:val="normaltextrun"/>
          <w:rFonts w:ascii="Times New Roman" w:hAnsi="Times New Roman"/>
        </w:rPr>
      </w:pPr>
    </w:p>
    <w:p w14:paraId="7F5544E6" w14:textId="114ED623" w:rsidR="00A533DA" w:rsidRPr="00602F08" w:rsidRDefault="00471701"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And how realistic is the second part as an example under section 4</w:t>
      </w:r>
      <w:r w:rsidR="00DB678F" w:rsidRPr="00602F08">
        <w:rPr>
          <w:rStyle w:val="normaltextrun"/>
          <w:rFonts w:ascii="Times New Roman" w:hAnsi="Times New Roman"/>
        </w:rPr>
        <w:t>(2)</w:t>
      </w:r>
      <w:r w:rsidR="00C9419C" w:rsidRPr="00602F08">
        <w:rPr>
          <w:rStyle w:val="normaltextrun"/>
          <w:rFonts w:ascii="Times New Roman" w:hAnsi="Times New Roman"/>
        </w:rPr>
        <w:t>,</w:t>
      </w:r>
      <w:r w:rsidRPr="00602F08">
        <w:rPr>
          <w:rStyle w:val="normaltextrun"/>
          <w:rFonts w:ascii="Times New Roman" w:hAnsi="Times New Roman"/>
        </w:rPr>
        <w:t xml:space="preserve"> with its reference to “access [to] a roof over his head each night and food each day (even though his circumstances </w:t>
      </w:r>
      <w:r w:rsidR="00C9419C" w:rsidRPr="00602F08">
        <w:rPr>
          <w:rStyle w:val="normaltextrun"/>
          <w:rFonts w:ascii="Times New Roman" w:hAnsi="Times New Roman"/>
        </w:rPr>
        <w:t>were less than ideal)”</w:t>
      </w:r>
      <w:r w:rsidR="00A947B2" w:rsidRPr="00602F08">
        <w:rPr>
          <w:rStyle w:val="normaltextrun"/>
          <w:rFonts w:ascii="Times New Roman" w:hAnsi="Times New Roman"/>
        </w:rPr>
        <w:t>?</w:t>
      </w:r>
      <w:r w:rsidR="00C9419C" w:rsidRPr="00602F08">
        <w:rPr>
          <w:rStyle w:val="normaltextrun"/>
          <w:rFonts w:ascii="Times New Roman" w:hAnsi="Times New Roman"/>
        </w:rPr>
        <w:t xml:space="preserve"> </w:t>
      </w:r>
      <w:r w:rsidR="0005790D" w:rsidRPr="00602F08">
        <w:rPr>
          <w:rStyle w:val="normaltextrun"/>
          <w:rFonts w:ascii="Times New Roman" w:hAnsi="Times New Roman"/>
        </w:rPr>
        <w:t>The section 4</w:t>
      </w:r>
      <w:r w:rsidR="00DB678F" w:rsidRPr="00602F08">
        <w:rPr>
          <w:rStyle w:val="normaltextrun"/>
          <w:rFonts w:ascii="Times New Roman" w:hAnsi="Times New Roman"/>
        </w:rPr>
        <w:t>(2)</w:t>
      </w:r>
      <w:r w:rsidR="0005790D" w:rsidRPr="00602F08">
        <w:rPr>
          <w:rStyle w:val="normaltextrun"/>
          <w:rFonts w:ascii="Times New Roman" w:hAnsi="Times New Roman"/>
        </w:rPr>
        <w:t xml:space="preserve"> duty will engage </w:t>
      </w:r>
      <w:r w:rsidR="008971FD" w:rsidRPr="00602F08">
        <w:rPr>
          <w:rStyle w:val="normaltextrun"/>
          <w:rFonts w:ascii="Times New Roman" w:hAnsi="Times New Roman"/>
        </w:rPr>
        <w:t xml:space="preserve">if an individual is destitute and </w:t>
      </w:r>
      <w:r w:rsidR="008B68B2" w:rsidRPr="00602F08">
        <w:rPr>
          <w:rFonts w:ascii="Times New Roman" w:hAnsi="Times New Roman"/>
        </w:rPr>
        <w:t>faces an imminent prospect of serious suffering caused or materially aggravated by denial of shelter, food or the most basic necessities of life.</w:t>
      </w:r>
      <w:r w:rsidR="00A533DA" w:rsidRPr="00602F08">
        <w:rPr>
          <w:rFonts w:ascii="Times New Roman" w:hAnsi="Times New Roman"/>
        </w:rPr>
        <w:t xml:space="preserve"> </w:t>
      </w:r>
      <w:r w:rsidR="00AF5785" w:rsidRPr="00602F08">
        <w:rPr>
          <w:rStyle w:val="normaltextrun"/>
          <w:rFonts w:ascii="Times New Roman" w:hAnsi="Times New Roman"/>
        </w:rPr>
        <w:t>I</w:t>
      </w:r>
      <w:r w:rsidR="0009617D" w:rsidRPr="00602F08">
        <w:rPr>
          <w:rStyle w:val="normaltextrun"/>
          <w:rFonts w:ascii="Times New Roman" w:hAnsi="Times New Roman"/>
        </w:rPr>
        <w:t xml:space="preserve">t is </w:t>
      </w:r>
      <w:r w:rsidR="008A1DC2" w:rsidRPr="00602F08">
        <w:rPr>
          <w:rStyle w:val="normaltextrun"/>
          <w:rFonts w:ascii="Times New Roman" w:hAnsi="Times New Roman"/>
        </w:rPr>
        <w:t xml:space="preserve">also </w:t>
      </w:r>
      <w:r w:rsidR="0009617D" w:rsidRPr="00602F08">
        <w:rPr>
          <w:rStyle w:val="normaltextrun"/>
          <w:rFonts w:ascii="Times New Roman" w:hAnsi="Times New Roman"/>
        </w:rPr>
        <w:t xml:space="preserve">interesting that </w:t>
      </w:r>
      <w:r w:rsidR="00F93391" w:rsidRPr="00602F08">
        <w:rPr>
          <w:rStyle w:val="normaltextrun"/>
          <w:rFonts w:ascii="Times New Roman" w:hAnsi="Times New Roman"/>
        </w:rPr>
        <w:t>the second part of the example, with the hea</w:t>
      </w:r>
      <w:r w:rsidR="0016631B" w:rsidRPr="00602F08">
        <w:rPr>
          <w:rStyle w:val="normaltextrun"/>
          <w:rFonts w:ascii="Times New Roman" w:hAnsi="Times New Roman"/>
        </w:rPr>
        <w:t>lthy male who has a roof over his head and food each day</w:t>
      </w:r>
      <w:r w:rsidR="008971FD" w:rsidRPr="00602F08">
        <w:rPr>
          <w:rStyle w:val="normaltextrun"/>
          <w:rFonts w:ascii="Times New Roman" w:hAnsi="Times New Roman"/>
        </w:rPr>
        <w:t>,</w:t>
      </w:r>
      <w:r w:rsidR="00F93391" w:rsidRPr="00602F08">
        <w:rPr>
          <w:rStyle w:val="normaltextrun"/>
          <w:rFonts w:ascii="Times New Roman" w:hAnsi="Times New Roman"/>
        </w:rPr>
        <w:t xml:space="preserve"> </w:t>
      </w:r>
      <w:r w:rsidR="001525A9" w:rsidRPr="00602F08">
        <w:rPr>
          <w:rStyle w:val="normaltextrun"/>
          <w:rFonts w:ascii="Times New Roman" w:hAnsi="Times New Roman"/>
        </w:rPr>
        <w:t xml:space="preserve">is used to </w:t>
      </w:r>
      <w:r w:rsidR="008971FD" w:rsidRPr="00602F08">
        <w:rPr>
          <w:rStyle w:val="normaltextrun"/>
          <w:rFonts w:ascii="Times New Roman" w:hAnsi="Times New Roman"/>
        </w:rPr>
        <w:t>illustrate</w:t>
      </w:r>
      <w:r w:rsidR="001525A9" w:rsidRPr="00602F08">
        <w:rPr>
          <w:rStyle w:val="normaltextrun"/>
          <w:rFonts w:ascii="Times New Roman" w:hAnsi="Times New Roman"/>
        </w:rPr>
        <w:t xml:space="preserve"> </w:t>
      </w:r>
      <w:r w:rsidR="008971FD" w:rsidRPr="00602F08">
        <w:rPr>
          <w:rStyle w:val="normaltextrun"/>
          <w:rFonts w:ascii="Times New Roman" w:hAnsi="Times New Roman"/>
        </w:rPr>
        <w:t xml:space="preserve">where </w:t>
      </w:r>
      <w:r w:rsidR="001525A9" w:rsidRPr="00602F08">
        <w:rPr>
          <w:rStyle w:val="normaltextrun"/>
          <w:rFonts w:ascii="Times New Roman" w:hAnsi="Times New Roman"/>
        </w:rPr>
        <w:t>28 days</w:t>
      </w:r>
      <w:r w:rsidR="008971FD" w:rsidRPr="00602F08">
        <w:rPr>
          <w:rStyle w:val="normaltextrun"/>
          <w:rFonts w:ascii="Times New Roman" w:hAnsi="Times New Roman"/>
        </w:rPr>
        <w:t xml:space="preserve"> may be reasonable</w:t>
      </w:r>
      <w:r w:rsidR="001525A9" w:rsidRPr="00602F08">
        <w:rPr>
          <w:rStyle w:val="normaltextrun"/>
          <w:rFonts w:ascii="Times New Roman" w:hAnsi="Times New Roman"/>
        </w:rPr>
        <w:t xml:space="preserve">, a period </w:t>
      </w:r>
      <w:r w:rsidR="008A1DC2" w:rsidRPr="00602F08">
        <w:rPr>
          <w:rStyle w:val="normaltextrun"/>
          <w:rFonts w:ascii="Times New Roman" w:hAnsi="Times New Roman"/>
        </w:rPr>
        <w:t xml:space="preserve">again </w:t>
      </w:r>
      <w:r w:rsidR="001525A9" w:rsidRPr="00602F08">
        <w:rPr>
          <w:rStyle w:val="normaltextrun"/>
          <w:rFonts w:ascii="Times New Roman" w:hAnsi="Times New Roman"/>
        </w:rPr>
        <w:t xml:space="preserve">substantially less than the periods </w:t>
      </w:r>
      <w:r w:rsidR="006C0C28" w:rsidRPr="00602F08">
        <w:rPr>
          <w:rStyle w:val="normaltextrun"/>
          <w:rFonts w:ascii="Times New Roman" w:hAnsi="Times New Roman"/>
        </w:rPr>
        <w:t xml:space="preserve">experienced by the claimants in these proceedings. </w:t>
      </w:r>
    </w:p>
    <w:p w14:paraId="453EE0F9" w14:textId="77777777" w:rsidR="00A533DA" w:rsidRPr="00602F08" w:rsidRDefault="00A533DA" w:rsidP="00B6212D">
      <w:pPr>
        <w:pStyle w:val="ListParagraph"/>
        <w:ind w:left="687"/>
        <w:jc w:val="both"/>
        <w:rPr>
          <w:rStyle w:val="normaltextrun"/>
          <w:rFonts w:ascii="Times New Roman" w:hAnsi="Times New Roman"/>
          <w:lang w:val="en-US"/>
        </w:rPr>
      </w:pPr>
    </w:p>
    <w:p w14:paraId="1E93CA0D" w14:textId="52264D0C" w:rsidR="008C5D9F" w:rsidRPr="00602F08" w:rsidRDefault="005702A9"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color w:val="212121"/>
          <w:shd w:val="clear" w:color="auto" w:fill="FFFFFF"/>
        </w:rPr>
        <w:t>For t</w:t>
      </w:r>
      <w:r w:rsidR="0073614A" w:rsidRPr="00602F08">
        <w:rPr>
          <w:rStyle w:val="normaltextrun"/>
          <w:rFonts w:ascii="Times New Roman" w:hAnsi="Times New Roman"/>
          <w:color w:val="212121"/>
          <w:shd w:val="clear" w:color="auto" w:fill="FFFFFF"/>
        </w:rPr>
        <w:t>he Secretary of State</w:t>
      </w:r>
      <w:r w:rsidR="008A1DC2" w:rsidRPr="00602F08">
        <w:rPr>
          <w:rStyle w:val="normaltextrun"/>
          <w:rFonts w:ascii="Times New Roman" w:hAnsi="Times New Roman"/>
          <w:color w:val="212121"/>
          <w:shd w:val="clear" w:color="auto" w:fill="FFFFFF"/>
        </w:rPr>
        <w:t>,</w:t>
      </w:r>
      <w:r w:rsidR="0073614A" w:rsidRPr="00602F08">
        <w:rPr>
          <w:rStyle w:val="normaltextrun"/>
          <w:rFonts w:ascii="Times New Roman" w:hAnsi="Times New Roman"/>
          <w:color w:val="212121"/>
          <w:shd w:val="clear" w:color="auto" w:fill="FFFFFF"/>
        </w:rPr>
        <w:t xml:space="preserve"> </w:t>
      </w:r>
      <w:r w:rsidRPr="00602F08">
        <w:rPr>
          <w:rStyle w:val="normaltextrun"/>
          <w:rFonts w:ascii="Times New Roman" w:hAnsi="Times New Roman"/>
          <w:color w:val="212121"/>
          <w:shd w:val="clear" w:color="auto" w:fill="FFFFFF"/>
        </w:rPr>
        <w:t xml:space="preserve">Mr Tam QC </w:t>
      </w:r>
      <w:r w:rsidR="0073614A" w:rsidRPr="00602F08">
        <w:rPr>
          <w:rStyle w:val="normaltextrun"/>
          <w:rFonts w:ascii="Times New Roman" w:hAnsi="Times New Roman"/>
          <w:color w:val="212121"/>
          <w:shd w:val="clear" w:color="auto" w:fill="FFFFFF"/>
        </w:rPr>
        <w:t xml:space="preserve">criticises </w:t>
      </w:r>
      <w:r w:rsidR="009F61ED" w:rsidRPr="00602F08">
        <w:rPr>
          <w:rStyle w:val="normaltextrun"/>
          <w:rFonts w:ascii="Times New Roman" w:hAnsi="Times New Roman"/>
          <w:color w:val="212121"/>
          <w:shd w:val="clear" w:color="auto" w:fill="FFFFFF"/>
        </w:rPr>
        <w:t xml:space="preserve">argument on behalf of the </w:t>
      </w:r>
      <w:r w:rsidR="00BD25F8" w:rsidRPr="00602F08">
        <w:rPr>
          <w:rStyle w:val="normaltextrun"/>
          <w:rFonts w:ascii="Times New Roman" w:hAnsi="Times New Roman"/>
          <w:color w:val="212121"/>
          <w:shd w:val="clear" w:color="auto" w:fill="FFFFFF"/>
        </w:rPr>
        <w:t>c</w:t>
      </w:r>
      <w:r w:rsidR="0073614A" w:rsidRPr="00602F08">
        <w:rPr>
          <w:rStyle w:val="normaltextrun"/>
          <w:rFonts w:ascii="Times New Roman" w:hAnsi="Times New Roman"/>
          <w:color w:val="212121"/>
          <w:shd w:val="clear" w:color="auto" w:fill="FFFFFF"/>
        </w:rPr>
        <w:t>laimants</w:t>
      </w:r>
      <w:r w:rsidR="009F61ED" w:rsidRPr="00602F08">
        <w:rPr>
          <w:rStyle w:val="normaltextrun"/>
          <w:rFonts w:ascii="Times New Roman" w:hAnsi="Times New Roman"/>
          <w:color w:val="212121"/>
          <w:shd w:val="clear" w:color="auto" w:fill="FFFFFF"/>
        </w:rPr>
        <w:t xml:space="preserve"> for ignoring the</w:t>
      </w:r>
      <w:r w:rsidR="0073614A" w:rsidRPr="00602F08">
        <w:rPr>
          <w:rStyle w:val="normaltextrun"/>
          <w:rFonts w:ascii="Times New Roman" w:hAnsi="Times New Roman"/>
          <w:color w:val="212121"/>
          <w:shd w:val="clear" w:color="auto" w:fill="FFFFFF"/>
        </w:rPr>
        <w:t xml:space="preserve"> </w:t>
      </w:r>
      <w:r w:rsidR="009F61ED" w:rsidRPr="00602F08">
        <w:rPr>
          <w:rStyle w:val="normaltextrun"/>
          <w:rFonts w:ascii="Times New Roman" w:hAnsi="Times New Roman"/>
          <w:color w:val="212121"/>
          <w:shd w:val="clear" w:color="auto" w:fill="FFFFFF"/>
        </w:rPr>
        <w:t>“</w:t>
      </w:r>
      <w:r w:rsidR="0073614A" w:rsidRPr="00602F08">
        <w:rPr>
          <w:rStyle w:val="normaltextrun"/>
          <w:rFonts w:ascii="Times New Roman" w:hAnsi="Times New Roman"/>
          <w:color w:val="212121"/>
          <w:shd w:val="clear" w:color="auto" w:fill="FFFFFF"/>
        </w:rPr>
        <w:t>practical reality</w:t>
      </w:r>
      <w:r w:rsidR="009F61ED" w:rsidRPr="00602F08">
        <w:rPr>
          <w:rStyle w:val="normaltextrun"/>
          <w:rFonts w:ascii="Times New Roman" w:hAnsi="Times New Roman"/>
          <w:color w:val="212121"/>
          <w:shd w:val="clear" w:color="auto" w:fill="FFFFFF"/>
        </w:rPr>
        <w:t>” that she</w:t>
      </w:r>
      <w:r w:rsidR="0073614A" w:rsidRPr="00602F08">
        <w:rPr>
          <w:rStyle w:val="normaltextrun"/>
          <w:rFonts w:ascii="Times New Roman" w:hAnsi="Times New Roman"/>
          <w:color w:val="212121"/>
          <w:shd w:val="clear" w:color="auto" w:fill="FFFFFF"/>
        </w:rPr>
        <w:t xml:space="preserve"> does not own or possess an endless supply of accommodation. </w:t>
      </w:r>
      <w:r w:rsidR="002666CD" w:rsidRPr="00602F08">
        <w:rPr>
          <w:rStyle w:val="normaltextrun"/>
          <w:rFonts w:ascii="Times New Roman" w:hAnsi="Times New Roman"/>
        </w:rPr>
        <w:t xml:space="preserve">As was pointed out by </w:t>
      </w:r>
      <w:r w:rsidR="00974C34" w:rsidRPr="00602F08">
        <w:rPr>
          <w:rStyle w:val="normaltextrun"/>
          <w:rFonts w:ascii="Times New Roman" w:hAnsi="Times New Roman"/>
        </w:rPr>
        <w:t xml:space="preserve">Mr </w:t>
      </w:r>
      <w:r w:rsidR="002666CD" w:rsidRPr="00602F08">
        <w:rPr>
          <w:rStyle w:val="normaltextrun"/>
          <w:rFonts w:ascii="Times New Roman" w:hAnsi="Times New Roman"/>
        </w:rPr>
        <w:t xml:space="preserve">John Cavanagh QC sitting as a Deputy High Court Judge in </w:t>
      </w:r>
      <w:r w:rsidR="002666CD" w:rsidRPr="00602F08">
        <w:rPr>
          <w:rStyle w:val="normaltextrun"/>
          <w:rFonts w:ascii="Times New Roman" w:hAnsi="Times New Roman"/>
          <w:u w:val="single"/>
        </w:rPr>
        <w:t>R (Bag) v Secretary of State for the Home Department</w:t>
      </w:r>
      <w:r w:rsidR="002666CD" w:rsidRPr="00602F08">
        <w:rPr>
          <w:rStyle w:val="normaltextrun"/>
          <w:rFonts w:ascii="Times New Roman" w:hAnsi="Times New Roman"/>
        </w:rPr>
        <w:t xml:space="preserve"> </w:t>
      </w:r>
      <w:r w:rsidR="002666CD" w:rsidRPr="00602F08">
        <w:rPr>
          <w:rStyle w:val="normaltextrun"/>
          <w:rFonts w:ascii="Times New Roman" w:hAnsi="Times New Roman"/>
          <w:color w:val="212121"/>
          <w:shd w:val="clear" w:color="auto" w:fill="FFFFFF"/>
        </w:rPr>
        <w:t>[2018] EWHC 1721 (Admin) (on the facts of that case): “The Secretary of State cannot create appropriate accommodation out of nothing for this claiman</w:t>
      </w:r>
      <w:r w:rsidR="00C1685E" w:rsidRPr="00602F08">
        <w:rPr>
          <w:rStyle w:val="normaltextrun"/>
          <w:rFonts w:ascii="Times New Roman" w:hAnsi="Times New Roman"/>
          <w:color w:val="212121"/>
          <w:shd w:val="clear" w:color="auto" w:fill="FFFFFF"/>
        </w:rPr>
        <w:t>t.”</w:t>
      </w:r>
    </w:p>
    <w:p w14:paraId="4341354D" w14:textId="77777777" w:rsidR="00C1685E" w:rsidRPr="00602F08" w:rsidRDefault="00C1685E" w:rsidP="00B6212D">
      <w:pPr>
        <w:pStyle w:val="ListParagraph"/>
        <w:jc w:val="both"/>
        <w:rPr>
          <w:rStyle w:val="normaltextrun"/>
          <w:rFonts w:ascii="Times New Roman" w:hAnsi="Times New Roman"/>
          <w:lang w:val="en-US"/>
        </w:rPr>
      </w:pPr>
    </w:p>
    <w:p w14:paraId="7D988267" w14:textId="4D1A017D" w:rsidR="00C1685E" w:rsidRPr="00602F08" w:rsidRDefault="00EA2F99"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color w:val="212121"/>
          <w:shd w:val="clear" w:color="auto" w:fill="FFFFFF"/>
        </w:rPr>
        <w:t>Through Mr Tam QC, t</w:t>
      </w:r>
      <w:r w:rsidR="00627C12" w:rsidRPr="00602F08">
        <w:rPr>
          <w:rStyle w:val="normaltextrun"/>
          <w:rFonts w:ascii="Times New Roman" w:hAnsi="Times New Roman"/>
          <w:color w:val="212121"/>
          <w:shd w:val="clear" w:color="auto" w:fill="FFFFFF"/>
        </w:rPr>
        <w:t xml:space="preserve">he argument for the Secretary of State is that </w:t>
      </w:r>
      <w:r w:rsidR="00627C12" w:rsidRPr="00602F08">
        <w:rPr>
          <w:rStyle w:val="normaltextrun"/>
          <w:rFonts w:ascii="Times New Roman" w:hAnsi="Times New Roman"/>
        </w:rPr>
        <w:t xml:space="preserve">she can only act “with reasonable diligence to secure and provide accommodation within a period which is reasonable in all the circumstances, bearing in mind any specific urgency in any individual case, whilst at all times ensuring </w:t>
      </w:r>
      <w:r w:rsidR="00627C12" w:rsidRPr="00602F08">
        <w:rPr>
          <w:rStyle w:val="normaltextrun"/>
          <w:rFonts w:ascii="Times New Roman" w:hAnsi="Times New Roman"/>
          <w:color w:val="212121"/>
          <w:shd w:val="clear" w:color="auto" w:fill="FFFFFF"/>
        </w:rPr>
        <w:t xml:space="preserve">that the </w:t>
      </w:r>
      <w:r w:rsidR="00627C12" w:rsidRPr="00602F08">
        <w:rPr>
          <w:rStyle w:val="normaltextrun"/>
          <w:rFonts w:ascii="Times New Roman" w:hAnsi="Times New Roman"/>
        </w:rPr>
        <w:t>Article 3 threshold is never crossed”.</w:t>
      </w:r>
      <w:r w:rsidR="00627C12" w:rsidRPr="00602F08">
        <w:rPr>
          <w:rStyle w:val="eop"/>
          <w:rFonts w:ascii="Times New Roman" w:hAnsi="Times New Roman"/>
        </w:rPr>
        <w:t> </w:t>
      </w:r>
      <w:r w:rsidR="00717076" w:rsidRPr="00602F08">
        <w:rPr>
          <w:rStyle w:val="normaltextrun"/>
          <w:rFonts w:ascii="Times New Roman" w:hAnsi="Times New Roman"/>
        </w:rPr>
        <w:t>Without adopting the language, in my judgment t</w:t>
      </w:r>
      <w:r w:rsidR="00985695" w:rsidRPr="00602F08">
        <w:rPr>
          <w:rStyle w:val="normaltextrun"/>
          <w:rFonts w:ascii="Times New Roman" w:hAnsi="Times New Roman"/>
        </w:rPr>
        <w:t xml:space="preserve">his is a fair position, but </w:t>
      </w:r>
      <w:r w:rsidR="00717076" w:rsidRPr="00602F08">
        <w:rPr>
          <w:rStyle w:val="normaltextrun"/>
          <w:rFonts w:ascii="Times New Roman" w:hAnsi="Times New Roman"/>
        </w:rPr>
        <w:t xml:space="preserve">that is because </w:t>
      </w:r>
      <w:r w:rsidR="00985695" w:rsidRPr="00602F08">
        <w:rPr>
          <w:rStyle w:val="normaltextrun"/>
          <w:rFonts w:ascii="Times New Roman" w:hAnsi="Times New Roman"/>
        </w:rPr>
        <w:t>it requires reasonable diligence, respects urgency, an</w:t>
      </w:r>
      <w:r w:rsidR="00ED555C" w:rsidRPr="00602F08">
        <w:rPr>
          <w:rStyle w:val="normaltextrun"/>
          <w:rFonts w:ascii="Times New Roman" w:hAnsi="Times New Roman"/>
        </w:rPr>
        <w:t xml:space="preserve">d </w:t>
      </w:r>
      <w:r w:rsidR="00717076" w:rsidRPr="00602F08">
        <w:rPr>
          <w:rStyle w:val="normaltextrun"/>
          <w:rFonts w:ascii="Times New Roman" w:hAnsi="Times New Roman"/>
        </w:rPr>
        <w:t>respects</w:t>
      </w:r>
      <w:r w:rsidR="00ED555C" w:rsidRPr="00602F08">
        <w:rPr>
          <w:rStyle w:val="normaltextrun"/>
          <w:rFonts w:ascii="Times New Roman" w:hAnsi="Times New Roman"/>
        </w:rPr>
        <w:t xml:space="preserve"> Article 3 as absolute</w:t>
      </w:r>
      <w:r w:rsidR="006970BE" w:rsidRPr="00602F08">
        <w:rPr>
          <w:rStyle w:val="normaltextrun"/>
          <w:rFonts w:ascii="Times New Roman" w:hAnsi="Times New Roman"/>
        </w:rPr>
        <w:t>.</w:t>
      </w:r>
    </w:p>
    <w:p w14:paraId="5ECFAC8A" w14:textId="77777777" w:rsidR="00C1685E" w:rsidRPr="00602F08" w:rsidRDefault="00C1685E" w:rsidP="00B6212D">
      <w:pPr>
        <w:pStyle w:val="ListParagraph"/>
        <w:jc w:val="both"/>
        <w:rPr>
          <w:rStyle w:val="normaltextrun"/>
          <w:rFonts w:ascii="Times New Roman" w:hAnsi="Times New Roman"/>
        </w:rPr>
      </w:pPr>
    </w:p>
    <w:p w14:paraId="774FEE68" w14:textId="75F30012" w:rsidR="007F1F89" w:rsidRPr="00602F08" w:rsidRDefault="00024964"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rPr>
        <w:t xml:space="preserve">It </w:t>
      </w:r>
      <w:r w:rsidR="00EA2F99" w:rsidRPr="00602F08">
        <w:rPr>
          <w:rStyle w:val="normaltextrun"/>
          <w:rFonts w:ascii="Times New Roman" w:hAnsi="Times New Roman"/>
        </w:rPr>
        <w:t xml:space="preserve">does </w:t>
      </w:r>
      <w:r w:rsidR="00B17442" w:rsidRPr="00602F08">
        <w:rPr>
          <w:rStyle w:val="normaltextrun"/>
          <w:rFonts w:ascii="Times New Roman" w:hAnsi="Times New Roman"/>
        </w:rPr>
        <w:t>meet an</w:t>
      </w:r>
      <w:r w:rsidRPr="00602F08">
        <w:rPr>
          <w:rStyle w:val="normaltextrun"/>
          <w:rFonts w:ascii="Times New Roman" w:hAnsi="Times New Roman"/>
        </w:rPr>
        <w:t xml:space="preserve"> argument of the claimants to the effect </w:t>
      </w:r>
      <w:r w:rsidR="003925E3" w:rsidRPr="00602F08">
        <w:rPr>
          <w:rStyle w:val="normaltextrun"/>
          <w:rFonts w:ascii="Times New Roman" w:hAnsi="Times New Roman"/>
        </w:rPr>
        <w:t xml:space="preserve">that </w:t>
      </w:r>
      <w:r w:rsidR="0049551D" w:rsidRPr="00602F08">
        <w:rPr>
          <w:rStyle w:val="normaltextrun"/>
          <w:rFonts w:ascii="Times New Roman" w:hAnsi="Times New Roman"/>
        </w:rPr>
        <w:t>the Secretary of State</w:t>
      </w:r>
      <w:r w:rsidR="002D4C87" w:rsidRPr="00602F08">
        <w:rPr>
          <w:rStyle w:val="normaltextrun"/>
          <w:rFonts w:ascii="Times New Roman" w:hAnsi="Times New Roman"/>
        </w:rPr>
        <w:t xml:space="preserve">’s duty includes a requirement to </w:t>
      </w:r>
      <w:r w:rsidR="0049551D" w:rsidRPr="00602F08">
        <w:rPr>
          <w:rStyle w:val="normaltextrun"/>
          <w:rFonts w:ascii="Times New Roman" w:hAnsi="Times New Roman"/>
        </w:rPr>
        <w:t>carry an</w:t>
      </w:r>
      <w:r w:rsidRPr="00602F08">
        <w:rPr>
          <w:rStyle w:val="normaltextrun"/>
          <w:rFonts w:ascii="Times New Roman" w:hAnsi="Times New Roman"/>
        </w:rPr>
        <w:t xml:space="preserve"> existing stock</w:t>
      </w:r>
      <w:r w:rsidR="002D4C87" w:rsidRPr="00602F08">
        <w:rPr>
          <w:rStyle w:val="normaltextrun"/>
          <w:rFonts w:ascii="Times New Roman" w:hAnsi="Times New Roman"/>
        </w:rPr>
        <w:t xml:space="preserve"> of accommodation</w:t>
      </w:r>
      <w:r w:rsidR="00B17442" w:rsidRPr="00602F08">
        <w:rPr>
          <w:rStyle w:val="normaltextrun"/>
          <w:rFonts w:ascii="Times New Roman" w:hAnsi="Times New Roman"/>
        </w:rPr>
        <w:t xml:space="preserve">. </w:t>
      </w:r>
      <w:r w:rsidR="000117DC" w:rsidRPr="00602F08">
        <w:rPr>
          <w:rStyle w:val="normaltextrun"/>
          <w:rFonts w:ascii="Times New Roman" w:hAnsi="Times New Roman"/>
        </w:rPr>
        <w:t>I cannot accept that that</w:t>
      </w:r>
      <w:r w:rsidR="002D4C87" w:rsidRPr="00602F08">
        <w:rPr>
          <w:rStyle w:val="normaltextrun"/>
          <w:rFonts w:ascii="Times New Roman" w:hAnsi="Times New Roman"/>
        </w:rPr>
        <w:t xml:space="preserve"> </w:t>
      </w:r>
      <w:r w:rsidR="000117DC" w:rsidRPr="00602F08">
        <w:rPr>
          <w:rStyle w:val="normaltextrun"/>
          <w:rFonts w:ascii="Times New Roman" w:hAnsi="Times New Roman"/>
        </w:rPr>
        <w:t xml:space="preserve">argument </w:t>
      </w:r>
      <w:r w:rsidR="002D4C87" w:rsidRPr="00602F08">
        <w:rPr>
          <w:rStyle w:val="normaltextrun"/>
          <w:rFonts w:ascii="Times New Roman" w:hAnsi="Times New Roman"/>
        </w:rPr>
        <w:t>is</w:t>
      </w:r>
      <w:r w:rsidR="000117DC" w:rsidRPr="00602F08">
        <w:rPr>
          <w:rStyle w:val="normaltextrun"/>
          <w:rFonts w:ascii="Times New Roman" w:hAnsi="Times New Roman"/>
        </w:rPr>
        <w:t xml:space="preserve"> </w:t>
      </w:r>
      <w:r w:rsidR="002D4C87" w:rsidRPr="00602F08">
        <w:rPr>
          <w:rStyle w:val="normaltextrun"/>
          <w:rFonts w:ascii="Times New Roman" w:hAnsi="Times New Roman"/>
        </w:rPr>
        <w:t>sound</w:t>
      </w:r>
      <w:r w:rsidR="00B17442" w:rsidRPr="00602F08">
        <w:rPr>
          <w:rStyle w:val="normaltextrun"/>
          <w:rFonts w:ascii="Times New Roman" w:hAnsi="Times New Roman"/>
        </w:rPr>
        <w:t xml:space="preserve">; </w:t>
      </w:r>
      <w:r w:rsidR="009A706F" w:rsidRPr="00602F08">
        <w:rPr>
          <w:rStyle w:val="normaltextrun"/>
          <w:rFonts w:ascii="Times New Roman" w:hAnsi="Times New Roman"/>
        </w:rPr>
        <w:t xml:space="preserve">carrying stock </w:t>
      </w:r>
      <w:r w:rsidR="00027921" w:rsidRPr="00602F08">
        <w:rPr>
          <w:rStyle w:val="normaltextrun"/>
          <w:rFonts w:ascii="Times New Roman" w:hAnsi="Times New Roman"/>
        </w:rPr>
        <w:t>is one way of carrying out her duty but it is not necessarily the only one.</w:t>
      </w:r>
      <w:r w:rsidR="0049551D" w:rsidRPr="00602F08">
        <w:rPr>
          <w:rStyle w:val="normaltextrun"/>
          <w:rFonts w:ascii="Times New Roman" w:hAnsi="Times New Roman"/>
        </w:rPr>
        <w:t xml:space="preserve"> </w:t>
      </w:r>
      <w:r w:rsidR="004914B1" w:rsidRPr="00602F08">
        <w:rPr>
          <w:rStyle w:val="normaltextrun"/>
          <w:rFonts w:ascii="Times New Roman" w:hAnsi="Times New Roman"/>
        </w:rPr>
        <w:t xml:space="preserve">To anticipate the discussion below where </w:t>
      </w:r>
      <w:r w:rsidR="00245C99" w:rsidRPr="00602F08">
        <w:rPr>
          <w:rStyle w:val="normaltextrun"/>
          <w:rFonts w:ascii="Times New Roman" w:hAnsi="Times New Roman"/>
        </w:rPr>
        <w:t>the individual is disabled,</w:t>
      </w:r>
      <w:r w:rsidR="000B4E24" w:rsidRPr="00602F08">
        <w:rPr>
          <w:rStyle w:val="normaltextrun"/>
          <w:rFonts w:ascii="Times New Roman" w:hAnsi="Times New Roman"/>
        </w:rPr>
        <w:t xml:space="preserve"> </w:t>
      </w:r>
      <w:r w:rsidR="000A6E4E" w:rsidRPr="00602F08">
        <w:rPr>
          <w:rStyle w:val="normaltextrun"/>
          <w:rFonts w:ascii="Times New Roman" w:hAnsi="Times New Roman"/>
        </w:rPr>
        <w:t>t</w:t>
      </w:r>
      <w:r w:rsidR="00245C99" w:rsidRPr="00602F08">
        <w:rPr>
          <w:rFonts w:ascii="Times New Roman" w:hAnsi="Times New Roman"/>
          <w:lang w:eastAsia="en-GB"/>
        </w:rPr>
        <w:t>here is force</w:t>
      </w:r>
      <w:r w:rsidR="000B4E24" w:rsidRPr="00602F08">
        <w:rPr>
          <w:rFonts w:ascii="Times New Roman" w:hAnsi="Times New Roman"/>
          <w:lang w:eastAsia="en-GB"/>
        </w:rPr>
        <w:t xml:space="preserve"> in </w:t>
      </w:r>
      <w:r w:rsidR="00BD25F8" w:rsidRPr="00602F08">
        <w:rPr>
          <w:rFonts w:ascii="Times New Roman" w:hAnsi="Times New Roman"/>
          <w:lang w:eastAsia="en-GB"/>
        </w:rPr>
        <w:t xml:space="preserve">the </w:t>
      </w:r>
      <w:r w:rsidR="000B4E24" w:rsidRPr="00602F08">
        <w:rPr>
          <w:rFonts w:ascii="Times New Roman" w:hAnsi="Times New Roman"/>
          <w:lang w:eastAsia="en-GB"/>
        </w:rPr>
        <w:t xml:space="preserve">point </w:t>
      </w:r>
      <w:r w:rsidR="00BD25F8" w:rsidRPr="00602F08">
        <w:rPr>
          <w:rFonts w:ascii="Times New Roman" w:hAnsi="Times New Roman"/>
          <w:lang w:eastAsia="en-GB"/>
        </w:rPr>
        <w:t>made on behalf of the Sec</w:t>
      </w:r>
      <w:r w:rsidR="00295195" w:rsidRPr="00602F08">
        <w:rPr>
          <w:rFonts w:ascii="Times New Roman" w:hAnsi="Times New Roman"/>
          <w:lang w:eastAsia="en-GB"/>
        </w:rPr>
        <w:t xml:space="preserve">retary of State </w:t>
      </w:r>
      <w:r w:rsidR="000B4E24" w:rsidRPr="00602F08">
        <w:rPr>
          <w:rFonts w:ascii="Times New Roman" w:hAnsi="Times New Roman"/>
          <w:lang w:eastAsia="en-GB"/>
        </w:rPr>
        <w:t>that</w:t>
      </w:r>
      <w:r w:rsidR="00C73CC5" w:rsidRPr="00602F08">
        <w:rPr>
          <w:rFonts w:ascii="Times New Roman" w:hAnsi="Times New Roman"/>
          <w:lang w:eastAsia="en-GB"/>
        </w:rPr>
        <w:t xml:space="preserve"> it may be</w:t>
      </w:r>
      <w:r w:rsidR="00245C99" w:rsidRPr="00602F08">
        <w:rPr>
          <w:rFonts w:ascii="Times New Roman" w:hAnsi="Times New Roman"/>
          <w:lang w:eastAsia="en-GB"/>
        </w:rPr>
        <w:t xml:space="preserve"> unrealistic, inefficient and ineffective for </w:t>
      </w:r>
      <w:r w:rsidR="00DB6174" w:rsidRPr="00602F08">
        <w:rPr>
          <w:rFonts w:ascii="Times New Roman" w:hAnsi="Times New Roman"/>
          <w:lang w:eastAsia="en-GB"/>
        </w:rPr>
        <w:t>the Secretary of State</w:t>
      </w:r>
      <w:r w:rsidR="00245C99" w:rsidRPr="00602F08">
        <w:rPr>
          <w:rFonts w:ascii="Times New Roman" w:hAnsi="Times New Roman"/>
          <w:lang w:eastAsia="en-GB"/>
        </w:rPr>
        <w:t xml:space="preserve"> to require providers to maintain a stock of suitable accommodation for such individuals, when the locations and adaptations required cannot be predicted in advance.</w:t>
      </w:r>
    </w:p>
    <w:p w14:paraId="3DC95D00" w14:textId="77777777" w:rsidR="00DB6633" w:rsidRPr="00602F08" w:rsidRDefault="00DB6633" w:rsidP="00B6212D">
      <w:pPr>
        <w:pStyle w:val="ListParagraph"/>
        <w:ind w:left="687"/>
        <w:jc w:val="both"/>
        <w:rPr>
          <w:rStyle w:val="normaltextrun"/>
          <w:rFonts w:ascii="Times New Roman" w:hAnsi="Times New Roman"/>
          <w:lang w:val="en-US"/>
        </w:rPr>
      </w:pPr>
    </w:p>
    <w:p w14:paraId="5F689C28" w14:textId="50A9FC09" w:rsidR="00587DD0" w:rsidRPr="00602F08" w:rsidRDefault="009948C1" w:rsidP="00B6212D">
      <w:pPr>
        <w:pStyle w:val="ListParagraph"/>
        <w:numPr>
          <w:ilvl w:val="0"/>
          <w:numId w:val="10"/>
        </w:numPr>
        <w:jc w:val="both"/>
        <w:rPr>
          <w:rStyle w:val="eop"/>
          <w:rFonts w:ascii="Times New Roman" w:hAnsi="Times New Roman"/>
          <w:lang w:val="en-US"/>
        </w:rPr>
      </w:pPr>
      <w:r w:rsidRPr="00602F08">
        <w:rPr>
          <w:rStyle w:val="normaltextrun"/>
          <w:rFonts w:ascii="Times New Roman" w:hAnsi="Times New Roman"/>
        </w:rPr>
        <w:t>However</w:t>
      </w:r>
      <w:r w:rsidR="009A706F" w:rsidRPr="00602F08">
        <w:rPr>
          <w:rStyle w:val="normaltextrun"/>
          <w:rFonts w:ascii="Times New Roman" w:hAnsi="Times New Roman"/>
        </w:rPr>
        <w:t>,</w:t>
      </w:r>
      <w:r w:rsidRPr="00602F08">
        <w:rPr>
          <w:rStyle w:val="normaltextrun"/>
          <w:rFonts w:ascii="Times New Roman" w:hAnsi="Times New Roman"/>
        </w:rPr>
        <w:t xml:space="preserve"> </w:t>
      </w:r>
      <w:r w:rsidR="000E201F" w:rsidRPr="00602F08">
        <w:rPr>
          <w:rStyle w:val="normaltextrun"/>
          <w:rFonts w:ascii="Times New Roman" w:hAnsi="Times New Roman"/>
        </w:rPr>
        <w:t xml:space="preserve">Mr Tam QC </w:t>
      </w:r>
      <w:r w:rsidR="00476D36" w:rsidRPr="00602F08">
        <w:rPr>
          <w:rStyle w:val="normaltextrun"/>
          <w:rFonts w:ascii="Times New Roman" w:hAnsi="Times New Roman"/>
        </w:rPr>
        <w:t xml:space="preserve">for </w:t>
      </w:r>
      <w:r w:rsidRPr="00602F08">
        <w:rPr>
          <w:rStyle w:val="normaltextrun"/>
          <w:rFonts w:ascii="Times New Roman" w:hAnsi="Times New Roman"/>
        </w:rPr>
        <w:t>t</w:t>
      </w:r>
      <w:r w:rsidR="00287A5E" w:rsidRPr="00602F08">
        <w:rPr>
          <w:rStyle w:val="normaltextrun"/>
          <w:rFonts w:ascii="Times New Roman" w:hAnsi="Times New Roman"/>
        </w:rPr>
        <w:t xml:space="preserve">he Secretary of State </w:t>
      </w:r>
      <w:r w:rsidRPr="00602F08">
        <w:rPr>
          <w:rStyle w:val="normaltextrun"/>
          <w:rFonts w:ascii="Times New Roman" w:hAnsi="Times New Roman"/>
        </w:rPr>
        <w:t xml:space="preserve">also </w:t>
      </w:r>
      <w:r w:rsidR="00287A5E" w:rsidRPr="00602F08">
        <w:rPr>
          <w:rStyle w:val="normaltextrun"/>
          <w:rFonts w:ascii="Times New Roman" w:hAnsi="Times New Roman"/>
        </w:rPr>
        <w:t>cites a decision of Mr</w:t>
      </w:r>
      <w:r w:rsidR="00D453B4" w:rsidRPr="00602F08">
        <w:rPr>
          <w:rStyle w:val="normaltextrun"/>
          <w:rFonts w:ascii="Times New Roman" w:hAnsi="Times New Roman"/>
        </w:rPr>
        <w:t xml:space="preserve"> Clive Sheldon QC sitting as a Deputy High Court Judge in </w:t>
      </w:r>
      <w:r w:rsidR="00D453B4" w:rsidRPr="00602F08">
        <w:rPr>
          <w:rStyle w:val="normaltextrun"/>
          <w:rFonts w:ascii="Times New Roman" w:hAnsi="Times New Roman"/>
          <w:u w:val="single"/>
        </w:rPr>
        <w:t>Chkharchkhalia v Secretary of State for the Home Department</w:t>
      </w:r>
      <w:r w:rsidR="00FA2CB2" w:rsidRPr="00602F08">
        <w:rPr>
          <w:rStyle w:val="normaltextrun"/>
          <w:rFonts w:ascii="Times New Roman" w:hAnsi="Times New Roman"/>
        </w:rPr>
        <w:t xml:space="preserve"> </w:t>
      </w:r>
      <w:r w:rsidR="00D453B4" w:rsidRPr="00602F08">
        <w:rPr>
          <w:rStyle w:val="normaltextrun"/>
          <w:rFonts w:ascii="Times New Roman" w:hAnsi="Times New Roman"/>
        </w:rPr>
        <w:t>[2019] EWHC 2232 (Admin)</w:t>
      </w:r>
      <w:r w:rsidR="00D72D1E" w:rsidRPr="00602F08">
        <w:rPr>
          <w:rStyle w:val="normaltextrun"/>
          <w:rFonts w:ascii="Times New Roman" w:hAnsi="Times New Roman"/>
        </w:rPr>
        <w:t xml:space="preserve">. The decision concerned </w:t>
      </w:r>
      <w:r w:rsidR="00D453B4" w:rsidRPr="00602F08">
        <w:rPr>
          <w:rStyle w:val="normaltextrun"/>
          <w:rFonts w:ascii="Times New Roman" w:hAnsi="Times New Roman"/>
        </w:rPr>
        <w:t xml:space="preserve">a challenge to a delay </w:t>
      </w:r>
      <w:r w:rsidR="00BF5333" w:rsidRPr="00602F08">
        <w:rPr>
          <w:rStyle w:val="normaltextrun"/>
          <w:rFonts w:ascii="Times New Roman" w:hAnsi="Times New Roman"/>
        </w:rPr>
        <w:t xml:space="preserve">of four months </w:t>
      </w:r>
      <w:r w:rsidR="00D453B4" w:rsidRPr="00602F08">
        <w:rPr>
          <w:rStyle w:val="normaltextrun"/>
          <w:rFonts w:ascii="Times New Roman" w:hAnsi="Times New Roman"/>
        </w:rPr>
        <w:t xml:space="preserve">in providing </w:t>
      </w:r>
      <w:r w:rsidR="00725EF9" w:rsidRPr="00602F08">
        <w:rPr>
          <w:rStyle w:val="normaltextrun"/>
          <w:rFonts w:ascii="Times New Roman" w:hAnsi="Times New Roman"/>
        </w:rPr>
        <w:t>a</w:t>
      </w:r>
      <w:r w:rsidR="00BF5333" w:rsidRPr="00602F08">
        <w:rPr>
          <w:rStyle w:val="normaltextrun"/>
          <w:rFonts w:ascii="Times New Roman" w:hAnsi="Times New Roman"/>
        </w:rPr>
        <w:t>n individual</w:t>
      </w:r>
      <w:r w:rsidR="00725EF9" w:rsidRPr="00602F08">
        <w:rPr>
          <w:rStyle w:val="normaltextrun"/>
          <w:rFonts w:ascii="Times New Roman" w:hAnsi="Times New Roman"/>
        </w:rPr>
        <w:t xml:space="preserve"> with </w:t>
      </w:r>
      <w:r w:rsidR="00D453B4" w:rsidRPr="00602F08">
        <w:rPr>
          <w:rStyle w:val="normaltextrun"/>
          <w:rFonts w:ascii="Times New Roman" w:hAnsi="Times New Roman"/>
        </w:rPr>
        <w:t>suitable accommodation</w:t>
      </w:r>
      <w:r w:rsidR="005450B7" w:rsidRPr="00602F08">
        <w:rPr>
          <w:rStyle w:val="normaltextrun"/>
          <w:rFonts w:ascii="Times New Roman" w:hAnsi="Times New Roman"/>
        </w:rPr>
        <w:t>, but it is important to note that this was</w:t>
      </w:r>
      <w:r w:rsidR="00D453B4" w:rsidRPr="00602F08">
        <w:rPr>
          <w:rStyle w:val="normaltextrun"/>
          <w:rFonts w:ascii="Times New Roman" w:hAnsi="Times New Roman"/>
        </w:rPr>
        <w:t xml:space="preserve"> under s</w:t>
      </w:r>
      <w:r w:rsidR="00725EF9" w:rsidRPr="00602F08">
        <w:rPr>
          <w:rStyle w:val="normaltextrun"/>
          <w:rFonts w:ascii="Times New Roman" w:hAnsi="Times New Roman"/>
        </w:rPr>
        <w:t xml:space="preserve">ection </w:t>
      </w:r>
      <w:r w:rsidR="00D453B4" w:rsidRPr="00602F08">
        <w:rPr>
          <w:rStyle w:val="normaltextrun"/>
          <w:rFonts w:ascii="Times New Roman" w:hAnsi="Times New Roman"/>
        </w:rPr>
        <w:t>95 of the 1999 Act</w:t>
      </w:r>
      <w:r w:rsidR="00587DD0" w:rsidRPr="00602F08">
        <w:rPr>
          <w:rStyle w:val="normaltextrun"/>
          <w:rFonts w:ascii="Times New Roman" w:hAnsi="Times New Roman"/>
        </w:rPr>
        <w:t>, not section 4</w:t>
      </w:r>
      <w:r w:rsidR="00725EF9" w:rsidRPr="00602F08">
        <w:rPr>
          <w:rStyle w:val="normaltextrun"/>
          <w:rFonts w:ascii="Times New Roman" w:hAnsi="Times New Roman"/>
        </w:rPr>
        <w:t xml:space="preserve">. </w:t>
      </w:r>
      <w:r w:rsidR="008E28A7" w:rsidRPr="00602F08">
        <w:rPr>
          <w:rStyle w:val="normaltextrun"/>
          <w:rFonts w:ascii="Times New Roman" w:hAnsi="Times New Roman"/>
        </w:rPr>
        <w:t>At [37] t</w:t>
      </w:r>
      <w:r w:rsidR="00725EF9" w:rsidRPr="00602F08">
        <w:rPr>
          <w:rStyle w:val="normaltextrun"/>
          <w:rFonts w:ascii="Times New Roman" w:hAnsi="Times New Roman"/>
        </w:rPr>
        <w:t>he Judge said of the</w:t>
      </w:r>
      <w:r w:rsidR="00D453B4" w:rsidRPr="00602F08">
        <w:rPr>
          <w:rStyle w:val="normaltextrun"/>
          <w:rFonts w:ascii="Times New Roman" w:hAnsi="Times New Roman"/>
        </w:rPr>
        <w:t xml:space="preserve"> </w:t>
      </w:r>
      <w:r w:rsidR="00587DD0" w:rsidRPr="00602F08">
        <w:rPr>
          <w:rStyle w:val="normaltextrun"/>
          <w:rFonts w:ascii="Times New Roman" w:hAnsi="Times New Roman"/>
        </w:rPr>
        <w:t>fact that</w:t>
      </w:r>
      <w:r w:rsidR="00517963" w:rsidRPr="00602F08">
        <w:rPr>
          <w:rStyle w:val="normaltextrun"/>
          <w:rFonts w:ascii="Times New Roman" w:hAnsi="Times New Roman"/>
        </w:rPr>
        <w:t xml:space="preserve"> </w:t>
      </w:r>
      <w:r w:rsidR="00D453B4" w:rsidRPr="00602F08">
        <w:rPr>
          <w:rStyle w:val="normaltextrun"/>
          <w:rFonts w:ascii="Times New Roman" w:hAnsi="Times New Roman"/>
        </w:rPr>
        <w:t xml:space="preserve">a suitable property </w:t>
      </w:r>
      <w:r w:rsidR="00587DD0" w:rsidRPr="00602F08">
        <w:rPr>
          <w:rStyle w:val="normaltextrun"/>
          <w:rFonts w:ascii="Times New Roman" w:hAnsi="Times New Roman"/>
        </w:rPr>
        <w:t>was not procured in less time that</w:t>
      </w:r>
      <w:r w:rsidR="00517963" w:rsidRPr="00602F08">
        <w:rPr>
          <w:rStyle w:val="normaltextrun"/>
          <w:rFonts w:ascii="Times New Roman" w:hAnsi="Times New Roman"/>
        </w:rPr>
        <w:t xml:space="preserve"> was “</w:t>
      </w:r>
      <w:r w:rsidR="008E28A7" w:rsidRPr="00602F08">
        <w:rPr>
          <w:rStyle w:val="normaltextrun"/>
          <w:rFonts w:ascii="Times New Roman" w:hAnsi="Times New Roman"/>
        </w:rPr>
        <w:t xml:space="preserve">… </w:t>
      </w:r>
      <w:r w:rsidR="00D453B4" w:rsidRPr="00602F08">
        <w:rPr>
          <w:rStyle w:val="normaltextrun"/>
          <w:rFonts w:ascii="Times New Roman" w:hAnsi="Times New Roman"/>
        </w:rPr>
        <w:t>not by reason of a failure to adhere to the Secretary of State’s policies. Rather it is the fact that suitable properties have not been located, in spite of the Secretary of State’s best efforts within the affordability constraints that he has applied”.</w:t>
      </w:r>
      <w:r w:rsidR="00D453B4" w:rsidRPr="00602F08">
        <w:rPr>
          <w:rStyle w:val="eop"/>
          <w:rFonts w:ascii="Times New Roman" w:hAnsi="Times New Roman"/>
        </w:rPr>
        <w:t> </w:t>
      </w:r>
    </w:p>
    <w:p w14:paraId="4B3B8A24" w14:textId="77777777" w:rsidR="00587DD0" w:rsidRPr="00602F08" w:rsidRDefault="00587DD0" w:rsidP="00B6212D">
      <w:pPr>
        <w:pStyle w:val="ListParagraph"/>
        <w:jc w:val="both"/>
        <w:rPr>
          <w:rStyle w:val="eop"/>
          <w:rFonts w:ascii="Times New Roman" w:hAnsi="Times New Roman"/>
        </w:rPr>
      </w:pPr>
    </w:p>
    <w:p w14:paraId="1B6C2997" w14:textId="742111AD" w:rsidR="00176BF9" w:rsidRPr="00602F08" w:rsidRDefault="00D453B4" w:rsidP="00B6212D">
      <w:pPr>
        <w:pStyle w:val="ListParagraph"/>
        <w:numPr>
          <w:ilvl w:val="0"/>
          <w:numId w:val="10"/>
        </w:numPr>
        <w:jc w:val="both"/>
        <w:rPr>
          <w:rStyle w:val="normaltextrun"/>
          <w:rFonts w:ascii="Times New Roman" w:hAnsi="Times New Roman"/>
          <w:lang w:val="en-US"/>
        </w:rPr>
      </w:pPr>
      <w:r w:rsidRPr="00602F08">
        <w:rPr>
          <w:rStyle w:val="eop"/>
          <w:rFonts w:ascii="Times New Roman" w:hAnsi="Times New Roman"/>
        </w:rPr>
        <w:t>Th</w:t>
      </w:r>
      <w:r w:rsidR="00753131" w:rsidRPr="00602F08">
        <w:rPr>
          <w:rStyle w:val="eop"/>
          <w:rFonts w:ascii="Times New Roman" w:hAnsi="Times New Roman"/>
        </w:rPr>
        <w:t>e decision is not, in my judgment, applicable to</w:t>
      </w:r>
      <w:r w:rsidRPr="00602F08">
        <w:rPr>
          <w:rStyle w:val="eop"/>
          <w:rFonts w:ascii="Times New Roman" w:hAnsi="Times New Roman"/>
        </w:rPr>
        <w:t xml:space="preserve"> s</w:t>
      </w:r>
      <w:r w:rsidR="00753131" w:rsidRPr="00602F08">
        <w:rPr>
          <w:rStyle w:val="eop"/>
          <w:rFonts w:ascii="Times New Roman" w:hAnsi="Times New Roman"/>
        </w:rPr>
        <w:t>ection</w:t>
      </w:r>
      <w:r w:rsidRPr="00602F08">
        <w:rPr>
          <w:rStyle w:val="eop"/>
          <w:rFonts w:ascii="Times New Roman" w:hAnsi="Times New Roman"/>
        </w:rPr>
        <w:t xml:space="preserve"> 4</w:t>
      </w:r>
      <w:r w:rsidR="0041097C" w:rsidRPr="00602F08">
        <w:rPr>
          <w:rStyle w:val="eop"/>
          <w:rFonts w:ascii="Times New Roman" w:hAnsi="Times New Roman"/>
        </w:rPr>
        <w:t>(2)</w:t>
      </w:r>
      <w:r w:rsidR="00827205" w:rsidRPr="00602F08">
        <w:rPr>
          <w:rStyle w:val="eop"/>
          <w:rFonts w:ascii="Times New Roman" w:hAnsi="Times New Roman"/>
        </w:rPr>
        <w:t xml:space="preserve">, </w:t>
      </w:r>
      <w:r w:rsidRPr="00602F08">
        <w:rPr>
          <w:rStyle w:val="eop"/>
          <w:rFonts w:ascii="Times New Roman" w:hAnsi="Times New Roman"/>
        </w:rPr>
        <w:t xml:space="preserve">when </w:t>
      </w:r>
      <w:r w:rsidR="00E42102" w:rsidRPr="00602F08">
        <w:rPr>
          <w:rStyle w:val="eop"/>
          <w:rFonts w:ascii="Times New Roman" w:hAnsi="Times New Roman"/>
        </w:rPr>
        <w:t xml:space="preserve">a breach of </w:t>
      </w:r>
      <w:r w:rsidRPr="00602F08">
        <w:rPr>
          <w:rStyle w:val="eop"/>
          <w:rFonts w:ascii="Times New Roman" w:hAnsi="Times New Roman"/>
        </w:rPr>
        <w:t>Art</w:t>
      </w:r>
      <w:r w:rsidR="00753131" w:rsidRPr="00602F08">
        <w:rPr>
          <w:rStyle w:val="eop"/>
          <w:rFonts w:ascii="Times New Roman" w:hAnsi="Times New Roman"/>
        </w:rPr>
        <w:t xml:space="preserve">icle </w:t>
      </w:r>
      <w:r w:rsidR="00E42102" w:rsidRPr="00602F08">
        <w:rPr>
          <w:rStyle w:val="eop"/>
          <w:rFonts w:ascii="Times New Roman" w:hAnsi="Times New Roman"/>
        </w:rPr>
        <w:t xml:space="preserve">3 will be imminent. </w:t>
      </w:r>
      <w:r w:rsidR="00394C1D" w:rsidRPr="00602F08">
        <w:rPr>
          <w:rStyle w:val="eop"/>
          <w:rFonts w:ascii="Times New Roman" w:hAnsi="Times New Roman"/>
        </w:rPr>
        <w:t xml:space="preserve">“Best efforts within the affordability constraints that he has applied” will not </w:t>
      </w:r>
      <w:r w:rsidR="00AB21F5" w:rsidRPr="00602F08">
        <w:rPr>
          <w:rStyle w:val="eop"/>
          <w:rFonts w:ascii="Times New Roman" w:hAnsi="Times New Roman"/>
        </w:rPr>
        <w:t xml:space="preserve">be enough to </w:t>
      </w:r>
      <w:r w:rsidR="00394C1D" w:rsidRPr="00602F08">
        <w:rPr>
          <w:rStyle w:val="eop"/>
          <w:rFonts w:ascii="Times New Roman" w:hAnsi="Times New Roman"/>
        </w:rPr>
        <w:t>avoid breach</w:t>
      </w:r>
      <w:r w:rsidR="00AB21F5" w:rsidRPr="00602F08">
        <w:rPr>
          <w:rStyle w:val="eop"/>
          <w:rFonts w:ascii="Times New Roman" w:hAnsi="Times New Roman"/>
        </w:rPr>
        <w:t>es</w:t>
      </w:r>
      <w:r w:rsidR="00394C1D" w:rsidRPr="00602F08">
        <w:rPr>
          <w:rStyle w:val="eop"/>
          <w:rFonts w:ascii="Times New Roman" w:hAnsi="Times New Roman"/>
        </w:rPr>
        <w:t xml:space="preserve"> of Article 3.</w:t>
      </w:r>
      <w:r w:rsidR="00620314" w:rsidRPr="00602F08">
        <w:rPr>
          <w:rStyle w:val="normaltextrun"/>
          <w:rFonts w:ascii="Times New Roman" w:hAnsi="Times New Roman"/>
        </w:rPr>
        <w:t xml:space="preserve"> </w:t>
      </w:r>
      <w:r w:rsidR="00AB21F5" w:rsidRPr="00602F08">
        <w:rPr>
          <w:rStyle w:val="normaltextrun"/>
          <w:rFonts w:ascii="Times New Roman" w:hAnsi="Times New Roman"/>
        </w:rPr>
        <w:t>Indeed</w:t>
      </w:r>
      <w:r w:rsidR="004C5A24" w:rsidRPr="00602F08">
        <w:rPr>
          <w:rStyle w:val="normaltextrun"/>
          <w:rFonts w:ascii="Times New Roman" w:hAnsi="Times New Roman"/>
        </w:rPr>
        <w:t>,</w:t>
      </w:r>
      <w:r w:rsidR="00AB21F5" w:rsidRPr="00602F08">
        <w:rPr>
          <w:rStyle w:val="normaltextrun"/>
          <w:rFonts w:ascii="Times New Roman" w:hAnsi="Times New Roman"/>
        </w:rPr>
        <w:t xml:space="preserve"> </w:t>
      </w:r>
      <w:r w:rsidR="0017247A" w:rsidRPr="00602F08">
        <w:rPr>
          <w:rStyle w:val="normaltextrun"/>
          <w:rFonts w:ascii="Times New Roman" w:hAnsi="Times New Roman"/>
        </w:rPr>
        <w:t xml:space="preserve">I observe that the Secretary of State has sought to emphasise </w:t>
      </w:r>
      <w:r w:rsidR="00476D36" w:rsidRPr="00602F08">
        <w:rPr>
          <w:rStyle w:val="normaltextrun"/>
          <w:rFonts w:ascii="Times New Roman" w:hAnsi="Times New Roman"/>
        </w:rPr>
        <w:t>through he</w:t>
      </w:r>
      <w:r w:rsidR="009B05E3" w:rsidRPr="00602F08">
        <w:rPr>
          <w:rStyle w:val="normaltextrun"/>
          <w:rFonts w:ascii="Times New Roman" w:hAnsi="Times New Roman"/>
        </w:rPr>
        <w:t>r</w:t>
      </w:r>
      <w:r w:rsidR="00476D36" w:rsidRPr="00602F08">
        <w:rPr>
          <w:rStyle w:val="normaltextrun"/>
          <w:rFonts w:ascii="Times New Roman" w:hAnsi="Times New Roman"/>
        </w:rPr>
        <w:t xml:space="preserve"> officials </w:t>
      </w:r>
      <w:r w:rsidR="0017247A" w:rsidRPr="00602F08">
        <w:rPr>
          <w:rStyle w:val="normaltextrun"/>
          <w:rFonts w:ascii="Times New Roman" w:hAnsi="Times New Roman"/>
        </w:rPr>
        <w:t>that</w:t>
      </w:r>
      <w:r w:rsidR="001C426E" w:rsidRPr="00602F08">
        <w:rPr>
          <w:rStyle w:val="normaltextrun"/>
          <w:rFonts w:ascii="Times New Roman" w:hAnsi="Times New Roman"/>
        </w:rPr>
        <w:t xml:space="preserve"> there are</w:t>
      </w:r>
      <w:r w:rsidR="0017247A" w:rsidRPr="00602F08">
        <w:rPr>
          <w:rStyle w:val="normaltextrun"/>
          <w:rFonts w:ascii="Times New Roman" w:hAnsi="Times New Roman"/>
        </w:rPr>
        <w:t xml:space="preserve"> no affordability constraints</w:t>
      </w:r>
      <w:r w:rsidR="006D76DB" w:rsidRPr="00602F08">
        <w:rPr>
          <w:rStyle w:val="normaltextrun"/>
          <w:rFonts w:ascii="Times New Roman" w:hAnsi="Times New Roman"/>
        </w:rPr>
        <w:t xml:space="preserve"> (see paragraph [</w:t>
      </w:r>
      <w:r w:rsidR="001C463B">
        <w:rPr>
          <w:rStyle w:val="normaltextrun"/>
          <w:rFonts w:ascii="Times New Roman" w:hAnsi="Times New Roman"/>
        </w:rPr>
        <w:t>112</w:t>
      </w:r>
      <w:r w:rsidR="006D76DB" w:rsidRPr="00602F08">
        <w:rPr>
          <w:rStyle w:val="normaltextrun"/>
          <w:rFonts w:ascii="Times New Roman" w:hAnsi="Times New Roman"/>
        </w:rPr>
        <w:t>]</w:t>
      </w:r>
      <w:r w:rsidR="001C463B">
        <w:rPr>
          <w:rStyle w:val="normaltextrun"/>
          <w:rFonts w:ascii="Times New Roman" w:hAnsi="Times New Roman"/>
        </w:rPr>
        <w:t>-[115]</w:t>
      </w:r>
      <w:r w:rsidR="006D76DB" w:rsidRPr="00602F08">
        <w:rPr>
          <w:rStyle w:val="normaltextrun"/>
          <w:rFonts w:ascii="Times New Roman" w:hAnsi="Times New Roman"/>
        </w:rPr>
        <w:t xml:space="preserve"> above)</w:t>
      </w:r>
      <w:r w:rsidR="004C5A24" w:rsidRPr="00602F08">
        <w:rPr>
          <w:rStyle w:val="normaltextrun"/>
          <w:rFonts w:ascii="Times New Roman" w:hAnsi="Times New Roman"/>
        </w:rPr>
        <w:t>. But</w:t>
      </w:r>
      <w:r w:rsidR="00EF38EF" w:rsidRPr="00602F08">
        <w:rPr>
          <w:rStyle w:val="normaltextrun"/>
          <w:rFonts w:ascii="Times New Roman" w:hAnsi="Times New Roman"/>
        </w:rPr>
        <w:t xml:space="preserve"> as I seek </w:t>
      </w:r>
      <w:r w:rsidR="001C463B">
        <w:rPr>
          <w:rStyle w:val="normaltextrun"/>
          <w:rFonts w:ascii="Times New Roman" w:hAnsi="Times New Roman"/>
        </w:rPr>
        <w:t xml:space="preserve">there </w:t>
      </w:r>
      <w:r w:rsidR="00EF38EF" w:rsidRPr="00602F08">
        <w:rPr>
          <w:rStyle w:val="normaltextrun"/>
          <w:rFonts w:ascii="Times New Roman" w:hAnsi="Times New Roman"/>
        </w:rPr>
        <w:t>to explain</w:t>
      </w:r>
      <w:r w:rsidR="00A87F76" w:rsidRPr="00602F08">
        <w:rPr>
          <w:rStyle w:val="normaltextrun"/>
          <w:rFonts w:ascii="Times New Roman" w:hAnsi="Times New Roman"/>
        </w:rPr>
        <w:t>,</w:t>
      </w:r>
      <w:r w:rsidR="00EF38EF" w:rsidRPr="00602F08">
        <w:rPr>
          <w:rStyle w:val="normaltextrun"/>
          <w:rFonts w:ascii="Times New Roman" w:hAnsi="Times New Roman"/>
        </w:rPr>
        <w:t xml:space="preserve"> </w:t>
      </w:r>
      <w:r w:rsidR="00192ED3" w:rsidRPr="00602F08">
        <w:rPr>
          <w:rStyle w:val="normaltextrun"/>
          <w:rFonts w:ascii="Times New Roman" w:hAnsi="Times New Roman"/>
        </w:rPr>
        <w:t>in practice a similar impact may not have been avoided</w:t>
      </w:r>
      <w:r w:rsidR="004C5A24" w:rsidRPr="00602F08">
        <w:rPr>
          <w:rStyle w:val="normaltextrun"/>
          <w:rFonts w:ascii="Times New Roman" w:hAnsi="Times New Roman"/>
        </w:rPr>
        <w:t xml:space="preserve"> by her contract</w:t>
      </w:r>
      <w:r w:rsidR="009E69E3" w:rsidRPr="00602F08">
        <w:rPr>
          <w:rStyle w:val="normaltextrun"/>
          <w:rFonts w:ascii="Times New Roman" w:hAnsi="Times New Roman"/>
        </w:rPr>
        <w:t>ing arran</w:t>
      </w:r>
      <w:r w:rsidR="004C41CE">
        <w:rPr>
          <w:rStyle w:val="normaltextrun"/>
          <w:rFonts w:ascii="Times New Roman" w:hAnsi="Times New Roman"/>
        </w:rPr>
        <w:t>ge</w:t>
      </w:r>
      <w:r w:rsidR="009E69E3" w:rsidRPr="00602F08">
        <w:rPr>
          <w:rStyle w:val="normaltextrun"/>
          <w:rFonts w:ascii="Times New Roman" w:hAnsi="Times New Roman"/>
        </w:rPr>
        <w:t>ments</w:t>
      </w:r>
      <w:r w:rsidR="00192ED3" w:rsidRPr="00602F08">
        <w:rPr>
          <w:rStyle w:val="normaltextrun"/>
          <w:rFonts w:ascii="Times New Roman" w:hAnsi="Times New Roman"/>
        </w:rPr>
        <w:t>.</w:t>
      </w:r>
    </w:p>
    <w:p w14:paraId="78E0D19B" w14:textId="4EA0DECD" w:rsidR="00F919D1" w:rsidRPr="00602F08" w:rsidRDefault="00F919D1" w:rsidP="00B6212D">
      <w:pPr>
        <w:pStyle w:val="ListParagraph"/>
        <w:jc w:val="both"/>
        <w:rPr>
          <w:rStyle w:val="normaltextrun"/>
          <w:rFonts w:ascii="Times New Roman" w:hAnsi="Times New Roman"/>
          <w:lang w:val="en-US"/>
        </w:rPr>
      </w:pPr>
    </w:p>
    <w:p w14:paraId="0C903E4F" w14:textId="77777777" w:rsidR="00C93CC4" w:rsidRPr="00602F08" w:rsidRDefault="00C93CC4" w:rsidP="00B6212D">
      <w:pPr>
        <w:pStyle w:val="ListParagraph"/>
        <w:jc w:val="both"/>
        <w:rPr>
          <w:rStyle w:val="normaltextrun"/>
          <w:rFonts w:ascii="Times New Roman" w:hAnsi="Times New Roman"/>
          <w:lang w:val="en-US"/>
        </w:rPr>
      </w:pPr>
    </w:p>
    <w:p w14:paraId="7F9B0376" w14:textId="2FC2ACB9" w:rsidR="00F919D1" w:rsidRPr="00602F08" w:rsidRDefault="00737CD1" w:rsidP="00B6212D">
      <w:pPr>
        <w:pStyle w:val="ListParagraph"/>
        <w:ind w:left="687"/>
        <w:jc w:val="both"/>
        <w:rPr>
          <w:rStyle w:val="normaltextrun"/>
          <w:rFonts w:ascii="Times New Roman" w:hAnsi="Times New Roman"/>
          <w:u w:val="single"/>
          <w:lang w:val="en-US"/>
        </w:rPr>
      </w:pPr>
      <w:r w:rsidRPr="00602F08">
        <w:rPr>
          <w:rStyle w:val="normaltextrun"/>
          <w:rFonts w:ascii="Times New Roman" w:hAnsi="Times New Roman"/>
          <w:u w:val="single"/>
          <w:lang w:val="en-US"/>
        </w:rPr>
        <w:t>The time taken in the claimants’</w:t>
      </w:r>
      <w:r w:rsidR="00C24384" w:rsidRPr="00602F08">
        <w:rPr>
          <w:rStyle w:val="normaltextrun"/>
          <w:rFonts w:ascii="Times New Roman" w:hAnsi="Times New Roman"/>
          <w:u w:val="single"/>
          <w:lang w:val="en-US"/>
        </w:rPr>
        <w:t xml:space="preserve"> </w:t>
      </w:r>
      <w:r w:rsidRPr="00602F08">
        <w:rPr>
          <w:rStyle w:val="normaltextrun"/>
          <w:rFonts w:ascii="Times New Roman" w:hAnsi="Times New Roman"/>
          <w:u w:val="single"/>
          <w:lang w:val="en-US"/>
        </w:rPr>
        <w:t>cases</w:t>
      </w:r>
    </w:p>
    <w:p w14:paraId="33D65223" w14:textId="77777777" w:rsidR="00903E51" w:rsidRPr="00602F08" w:rsidRDefault="00903E51" w:rsidP="00B6212D">
      <w:pPr>
        <w:pStyle w:val="ListParagraph"/>
        <w:jc w:val="both"/>
        <w:rPr>
          <w:rStyle w:val="normaltextrun"/>
          <w:rFonts w:ascii="Times New Roman" w:hAnsi="Times New Roman"/>
          <w:lang w:val="en-US"/>
        </w:rPr>
      </w:pPr>
    </w:p>
    <w:p w14:paraId="5172FC00" w14:textId="433A6850" w:rsidR="003D6B85" w:rsidRPr="00602F08" w:rsidRDefault="00903E51"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In the result</w:t>
      </w:r>
      <w:r w:rsidR="00140167" w:rsidRPr="00602F08">
        <w:rPr>
          <w:rStyle w:val="normaltextrun"/>
          <w:rFonts w:ascii="Times New Roman" w:hAnsi="Times New Roman"/>
          <w:lang w:val="en-US"/>
        </w:rPr>
        <w:t>,</w:t>
      </w:r>
      <w:r w:rsidRPr="00602F08">
        <w:rPr>
          <w:rStyle w:val="normaltextrun"/>
          <w:rFonts w:ascii="Times New Roman" w:hAnsi="Times New Roman"/>
          <w:lang w:val="en-US"/>
        </w:rPr>
        <w:t xml:space="preserve"> the answer </w:t>
      </w:r>
      <w:r w:rsidR="00140167" w:rsidRPr="00602F08">
        <w:rPr>
          <w:rStyle w:val="normaltextrun"/>
          <w:rFonts w:ascii="Times New Roman" w:hAnsi="Times New Roman"/>
          <w:lang w:val="en-US"/>
        </w:rPr>
        <w:t>in these proceedings</w:t>
      </w:r>
      <w:r w:rsidRPr="00602F08">
        <w:rPr>
          <w:rStyle w:val="normaltextrun"/>
          <w:rFonts w:ascii="Times New Roman" w:hAnsi="Times New Roman"/>
          <w:lang w:val="en-US"/>
        </w:rPr>
        <w:t xml:space="preserve"> is not that </w:t>
      </w:r>
      <w:r w:rsidR="00BE5B93" w:rsidRPr="00602F08">
        <w:rPr>
          <w:rStyle w:val="normaltextrun"/>
          <w:rFonts w:ascii="Times New Roman" w:hAnsi="Times New Roman"/>
          <w:lang w:val="en-US"/>
        </w:rPr>
        <w:t xml:space="preserve">a </w:t>
      </w:r>
      <w:r w:rsidRPr="00602F08">
        <w:rPr>
          <w:rStyle w:val="normaltextrun"/>
          <w:rFonts w:ascii="Times New Roman" w:hAnsi="Times New Roman"/>
          <w:lang w:val="en-US"/>
        </w:rPr>
        <w:t>reasonable time means a fixed period</w:t>
      </w:r>
      <w:r w:rsidR="00FA0C28" w:rsidRPr="00602F08">
        <w:rPr>
          <w:rStyle w:val="normaltextrun"/>
          <w:rFonts w:ascii="Times New Roman" w:hAnsi="Times New Roman"/>
          <w:lang w:val="en-US"/>
        </w:rPr>
        <w:t xml:space="preserve">, </w:t>
      </w:r>
      <w:r w:rsidR="00063E4D" w:rsidRPr="00602F08">
        <w:rPr>
          <w:rStyle w:val="normaltextrun"/>
          <w:rFonts w:ascii="Times New Roman" w:hAnsi="Times New Roman"/>
          <w:lang w:val="en-US"/>
        </w:rPr>
        <w:t>whether</w:t>
      </w:r>
      <w:r w:rsidR="00273EB3" w:rsidRPr="00602F08">
        <w:rPr>
          <w:rStyle w:val="normaltextrun"/>
          <w:rFonts w:ascii="Times New Roman" w:hAnsi="Times New Roman"/>
          <w:lang w:val="en-US"/>
        </w:rPr>
        <w:t xml:space="preserve"> 2</w:t>
      </w:r>
      <w:r w:rsidR="00301A54" w:rsidRPr="00602F08">
        <w:rPr>
          <w:rStyle w:val="normaltextrun"/>
          <w:rFonts w:ascii="Times New Roman" w:hAnsi="Times New Roman"/>
          <w:lang w:val="en-US"/>
        </w:rPr>
        <w:t>4 hours</w:t>
      </w:r>
      <w:r w:rsidR="00273EB3" w:rsidRPr="00602F08">
        <w:rPr>
          <w:rStyle w:val="normaltextrun"/>
          <w:rFonts w:ascii="Times New Roman" w:hAnsi="Times New Roman"/>
          <w:lang w:val="en-US"/>
        </w:rPr>
        <w:t xml:space="preserve"> </w:t>
      </w:r>
      <w:r w:rsidR="00301A54" w:rsidRPr="00602F08">
        <w:rPr>
          <w:rStyle w:val="normaltextrun"/>
          <w:rFonts w:ascii="Times New Roman" w:hAnsi="Times New Roman"/>
          <w:lang w:val="en-US"/>
        </w:rPr>
        <w:t xml:space="preserve">or </w:t>
      </w:r>
      <w:r w:rsidR="006E18E9" w:rsidRPr="00602F08">
        <w:rPr>
          <w:rStyle w:val="normaltextrun"/>
          <w:rFonts w:ascii="Times New Roman" w:hAnsi="Times New Roman"/>
          <w:lang w:val="en-US"/>
        </w:rPr>
        <w:t>9</w:t>
      </w:r>
      <w:r w:rsidR="00301A54" w:rsidRPr="00602F08">
        <w:rPr>
          <w:rStyle w:val="normaltextrun"/>
          <w:rFonts w:ascii="Times New Roman" w:hAnsi="Times New Roman"/>
          <w:lang w:val="en-US"/>
        </w:rPr>
        <w:t xml:space="preserve"> days </w:t>
      </w:r>
      <w:r w:rsidR="00F0047D" w:rsidRPr="00602F08">
        <w:rPr>
          <w:rStyle w:val="normaltextrun"/>
          <w:rFonts w:ascii="Times New Roman" w:hAnsi="Times New Roman"/>
          <w:lang w:val="en-US"/>
        </w:rPr>
        <w:t>or some other period</w:t>
      </w:r>
      <w:r w:rsidR="00063E4D" w:rsidRPr="00602F08">
        <w:rPr>
          <w:rStyle w:val="normaltextrun"/>
          <w:rFonts w:ascii="Times New Roman" w:hAnsi="Times New Roman"/>
          <w:lang w:val="en-US"/>
        </w:rPr>
        <w:t xml:space="preserve">. </w:t>
      </w:r>
      <w:r w:rsidR="00FA0C28" w:rsidRPr="00602F08">
        <w:rPr>
          <w:rStyle w:val="normaltextrun"/>
          <w:rFonts w:ascii="Times New Roman" w:hAnsi="Times New Roman"/>
          <w:lang w:val="en-US"/>
        </w:rPr>
        <w:t>Rather, t</w:t>
      </w:r>
      <w:r w:rsidR="00AA45DE" w:rsidRPr="00602F08">
        <w:rPr>
          <w:rStyle w:val="normaltextrun"/>
          <w:rFonts w:ascii="Times New Roman" w:hAnsi="Times New Roman"/>
          <w:lang w:val="en-US"/>
        </w:rPr>
        <w:t>he</w:t>
      </w:r>
      <w:r w:rsidR="00B70E41" w:rsidRPr="00602F08">
        <w:rPr>
          <w:rStyle w:val="normaltextrun"/>
          <w:rFonts w:ascii="Times New Roman" w:hAnsi="Times New Roman"/>
          <w:lang w:val="en-US"/>
        </w:rPr>
        <w:t xml:space="preserve"> </w:t>
      </w:r>
      <w:r w:rsidR="0013460C" w:rsidRPr="00602F08">
        <w:rPr>
          <w:rStyle w:val="normaltextrun"/>
          <w:rFonts w:ascii="Times New Roman" w:hAnsi="Times New Roman"/>
          <w:lang w:val="en-US"/>
        </w:rPr>
        <w:t xml:space="preserve">periods of time </w:t>
      </w:r>
      <w:r w:rsidR="00F0047D" w:rsidRPr="00602F08">
        <w:rPr>
          <w:rStyle w:val="normaltextrun"/>
          <w:rFonts w:ascii="Times New Roman" w:hAnsi="Times New Roman"/>
          <w:lang w:val="en-US"/>
        </w:rPr>
        <w:t xml:space="preserve">seen </w:t>
      </w:r>
      <w:r w:rsidR="0013460C" w:rsidRPr="00602F08">
        <w:rPr>
          <w:rStyle w:val="normaltextrun"/>
          <w:rFonts w:ascii="Times New Roman" w:hAnsi="Times New Roman"/>
          <w:lang w:val="en-US"/>
        </w:rPr>
        <w:t xml:space="preserve">in the present proceedings </w:t>
      </w:r>
      <w:r w:rsidR="00E807BA" w:rsidRPr="00602F08">
        <w:rPr>
          <w:rStyle w:val="normaltextrun"/>
          <w:rFonts w:ascii="Times New Roman" w:hAnsi="Times New Roman"/>
          <w:lang w:val="en-US"/>
        </w:rPr>
        <w:t xml:space="preserve">are such that, </w:t>
      </w:r>
      <w:r w:rsidR="00776E2E" w:rsidRPr="00602F08">
        <w:rPr>
          <w:rStyle w:val="normaltextrun"/>
          <w:rFonts w:ascii="Times New Roman" w:hAnsi="Times New Roman"/>
          <w:lang w:val="en-US"/>
        </w:rPr>
        <w:t>on any view they are no</w:t>
      </w:r>
      <w:r w:rsidR="007516E5" w:rsidRPr="00602F08">
        <w:rPr>
          <w:rStyle w:val="normaltextrun"/>
          <w:rFonts w:ascii="Times New Roman" w:hAnsi="Times New Roman"/>
          <w:lang w:val="en-US"/>
        </w:rPr>
        <w:t>t</w:t>
      </w:r>
      <w:r w:rsidR="00776E2E" w:rsidRPr="00602F08">
        <w:rPr>
          <w:rStyle w:val="normaltextrun"/>
          <w:rFonts w:ascii="Times New Roman" w:hAnsi="Times New Roman"/>
          <w:lang w:val="en-US"/>
        </w:rPr>
        <w:t xml:space="preserve"> reasonable. </w:t>
      </w:r>
      <w:r w:rsidR="00F919D1" w:rsidRPr="00602F08">
        <w:rPr>
          <w:rStyle w:val="normaltextrun"/>
          <w:rFonts w:ascii="Times New Roman" w:hAnsi="Times New Roman"/>
          <w:lang w:val="en-US"/>
        </w:rPr>
        <w:t>Indeed t</w:t>
      </w:r>
      <w:r w:rsidR="00776E2E" w:rsidRPr="00602F08">
        <w:rPr>
          <w:rStyle w:val="normaltextrun"/>
          <w:rFonts w:ascii="Times New Roman" w:hAnsi="Times New Roman"/>
          <w:lang w:val="en-US"/>
        </w:rPr>
        <w:t>hey are so large that a</w:t>
      </w:r>
      <w:r w:rsidR="00E807BA" w:rsidRPr="00602F08">
        <w:rPr>
          <w:rStyle w:val="normaltextrun"/>
          <w:rFonts w:ascii="Times New Roman" w:hAnsi="Times New Roman"/>
          <w:lang w:val="en-US"/>
        </w:rPr>
        <w:t>bsent an explanation</w:t>
      </w:r>
      <w:r w:rsidR="00D46262" w:rsidRPr="00602F08">
        <w:rPr>
          <w:rStyle w:val="normaltextrun"/>
          <w:rFonts w:ascii="Times New Roman" w:hAnsi="Times New Roman"/>
          <w:lang w:val="en-US"/>
        </w:rPr>
        <w:t>,</w:t>
      </w:r>
      <w:r w:rsidR="00E807BA" w:rsidRPr="00602F08">
        <w:rPr>
          <w:rStyle w:val="normaltextrun"/>
          <w:rFonts w:ascii="Times New Roman" w:hAnsi="Times New Roman"/>
          <w:lang w:val="en-US"/>
        </w:rPr>
        <w:t xml:space="preserve"> </w:t>
      </w:r>
      <w:r w:rsidR="00776E2E" w:rsidRPr="00602F08">
        <w:rPr>
          <w:rStyle w:val="normaltextrun"/>
          <w:rFonts w:ascii="Times New Roman" w:hAnsi="Times New Roman"/>
          <w:lang w:val="en-US"/>
        </w:rPr>
        <w:t xml:space="preserve">they </w:t>
      </w:r>
      <w:r w:rsidR="007516E5" w:rsidRPr="00602F08">
        <w:rPr>
          <w:rStyle w:val="normaltextrun"/>
          <w:rFonts w:ascii="Times New Roman" w:hAnsi="Times New Roman"/>
          <w:lang w:val="en-US"/>
        </w:rPr>
        <w:t xml:space="preserve">do </w:t>
      </w:r>
      <w:r w:rsidR="00D46262" w:rsidRPr="00602F08">
        <w:rPr>
          <w:rStyle w:val="normaltextrun"/>
          <w:rFonts w:ascii="Times New Roman" w:hAnsi="Times New Roman"/>
          <w:lang w:val="en-US"/>
        </w:rPr>
        <w:t xml:space="preserve">question the system. </w:t>
      </w:r>
    </w:p>
    <w:p w14:paraId="32C09683" w14:textId="77777777" w:rsidR="003D6B85" w:rsidRPr="00602F08" w:rsidRDefault="003D6B85" w:rsidP="00B6212D">
      <w:pPr>
        <w:pStyle w:val="ListParagraph"/>
        <w:ind w:left="687"/>
        <w:jc w:val="both"/>
        <w:rPr>
          <w:rStyle w:val="normaltextrun"/>
          <w:rFonts w:ascii="Times New Roman" w:hAnsi="Times New Roman"/>
          <w:lang w:val="en-US"/>
        </w:rPr>
      </w:pPr>
    </w:p>
    <w:p w14:paraId="1ACCB12B" w14:textId="4B29117A" w:rsidR="00BD1AE8" w:rsidRPr="00602F08" w:rsidRDefault="00D46262"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The </w:t>
      </w:r>
      <w:r w:rsidR="001D672C" w:rsidRPr="00602F08">
        <w:rPr>
          <w:rStyle w:val="normaltextrun"/>
          <w:rFonts w:ascii="Times New Roman" w:hAnsi="Times New Roman"/>
          <w:lang w:val="en-US"/>
        </w:rPr>
        <w:t xml:space="preserve">only </w:t>
      </w:r>
      <w:r w:rsidRPr="00602F08">
        <w:rPr>
          <w:rStyle w:val="normaltextrun"/>
          <w:rFonts w:ascii="Times New Roman" w:hAnsi="Times New Roman"/>
          <w:lang w:val="en-US"/>
        </w:rPr>
        <w:t xml:space="preserve">explanation offered </w:t>
      </w:r>
      <w:r w:rsidR="003D6B85" w:rsidRPr="00602F08">
        <w:rPr>
          <w:rStyle w:val="normaltextrun"/>
          <w:rFonts w:ascii="Times New Roman" w:hAnsi="Times New Roman"/>
          <w:lang w:val="en-US"/>
        </w:rPr>
        <w:t xml:space="preserve">on behalf of the Secretary of State </w:t>
      </w:r>
      <w:r w:rsidRPr="00602F08">
        <w:rPr>
          <w:rStyle w:val="normaltextrun"/>
          <w:rFonts w:ascii="Times New Roman" w:hAnsi="Times New Roman"/>
          <w:lang w:val="en-US"/>
        </w:rPr>
        <w:t>(that</w:t>
      </w:r>
      <w:r w:rsidR="00C27FC2" w:rsidRPr="00602F08">
        <w:rPr>
          <w:rStyle w:val="normaltextrun"/>
          <w:rFonts w:ascii="Times New Roman" w:hAnsi="Times New Roman"/>
          <w:lang w:val="en-US"/>
        </w:rPr>
        <w:t>, to paraphrase,</w:t>
      </w:r>
      <w:r w:rsidRPr="00602F08">
        <w:rPr>
          <w:rStyle w:val="normaltextrun"/>
          <w:rFonts w:ascii="Times New Roman" w:hAnsi="Times New Roman"/>
          <w:lang w:val="en-US"/>
        </w:rPr>
        <w:t xml:space="preserve"> </w:t>
      </w:r>
      <w:r w:rsidR="00807AF3" w:rsidRPr="00602F08">
        <w:rPr>
          <w:rStyle w:val="normaltextrun"/>
          <w:rFonts w:ascii="Times New Roman" w:hAnsi="Times New Roman"/>
          <w:lang w:val="en-US"/>
        </w:rPr>
        <w:t>“</w:t>
      </w:r>
      <w:r w:rsidRPr="00602F08">
        <w:rPr>
          <w:rStyle w:val="normaltextrun"/>
          <w:rFonts w:ascii="Times New Roman" w:hAnsi="Times New Roman"/>
          <w:lang w:val="en-US"/>
        </w:rPr>
        <w:t>it was all the claimants’ fault</w:t>
      </w:r>
      <w:r w:rsidR="00807AF3" w:rsidRPr="00602F08">
        <w:rPr>
          <w:rStyle w:val="normaltextrun"/>
          <w:rFonts w:ascii="Times New Roman" w:hAnsi="Times New Roman"/>
          <w:lang w:val="en-US"/>
        </w:rPr>
        <w:t>”</w:t>
      </w:r>
      <w:r w:rsidRPr="00602F08">
        <w:rPr>
          <w:rStyle w:val="normaltextrun"/>
          <w:rFonts w:ascii="Times New Roman" w:hAnsi="Times New Roman"/>
          <w:lang w:val="en-US"/>
        </w:rPr>
        <w:t>) is one that I have rejected.</w:t>
      </w:r>
      <w:r w:rsidR="00400EF0" w:rsidRPr="00602F08">
        <w:rPr>
          <w:rStyle w:val="normaltextrun"/>
          <w:rFonts w:ascii="Times New Roman" w:hAnsi="Times New Roman"/>
          <w:lang w:val="en-US"/>
        </w:rPr>
        <w:t xml:space="preserve"> </w:t>
      </w:r>
      <w:r w:rsidR="00807AF3" w:rsidRPr="00602F08">
        <w:rPr>
          <w:rStyle w:val="normaltextrun"/>
          <w:rFonts w:ascii="Times New Roman" w:hAnsi="Times New Roman"/>
          <w:lang w:val="en-US"/>
        </w:rPr>
        <w:t xml:space="preserve">It is not possible to reconcile the delays with the </w:t>
      </w:r>
      <w:r w:rsidR="004E44BF" w:rsidRPr="00602F08">
        <w:rPr>
          <w:rStyle w:val="normaltextrun"/>
          <w:rFonts w:ascii="Times New Roman" w:hAnsi="Times New Roman"/>
          <w:lang w:val="en-US"/>
        </w:rPr>
        <w:t>monitoring that is said to be present and is de</w:t>
      </w:r>
      <w:r w:rsidR="00290773" w:rsidRPr="00602F08">
        <w:rPr>
          <w:rStyle w:val="normaltextrun"/>
          <w:rFonts w:ascii="Times New Roman" w:hAnsi="Times New Roman"/>
          <w:lang w:val="en-US"/>
        </w:rPr>
        <w:t>sc</w:t>
      </w:r>
      <w:r w:rsidR="004E44BF" w:rsidRPr="00602F08">
        <w:rPr>
          <w:rStyle w:val="normaltextrun"/>
          <w:rFonts w:ascii="Times New Roman" w:hAnsi="Times New Roman"/>
          <w:lang w:val="en-US"/>
        </w:rPr>
        <w:t>ribed above.</w:t>
      </w:r>
      <w:r w:rsidR="005001A7" w:rsidRPr="00602F08">
        <w:rPr>
          <w:rStyle w:val="normaltextrun"/>
          <w:rFonts w:ascii="Times New Roman" w:hAnsi="Times New Roman"/>
          <w:lang w:val="en-US"/>
        </w:rPr>
        <w:t xml:space="preserve"> There cannot have been proper monitoring.</w:t>
      </w:r>
    </w:p>
    <w:p w14:paraId="39B571A6" w14:textId="77777777" w:rsidR="00BD1AE8" w:rsidRPr="00602F08" w:rsidRDefault="00BD1AE8" w:rsidP="00B6212D">
      <w:pPr>
        <w:pStyle w:val="ListParagraph"/>
        <w:jc w:val="both"/>
        <w:rPr>
          <w:rFonts w:ascii="Times New Roman" w:hAnsi="Times New Roman"/>
          <w:lang w:eastAsia="en-GB"/>
        </w:rPr>
      </w:pPr>
    </w:p>
    <w:p w14:paraId="59C924A1" w14:textId="20575A0E" w:rsidR="00295F11" w:rsidRPr="00602F08" w:rsidRDefault="007516E5" w:rsidP="00B6212D">
      <w:pPr>
        <w:pStyle w:val="ListParagraph"/>
        <w:numPr>
          <w:ilvl w:val="0"/>
          <w:numId w:val="10"/>
        </w:numPr>
        <w:jc w:val="both"/>
        <w:rPr>
          <w:rFonts w:ascii="Times New Roman" w:hAnsi="Times New Roman"/>
          <w:lang w:val="en-US"/>
        </w:rPr>
      </w:pPr>
      <w:r w:rsidRPr="00602F08">
        <w:rPr>
          <w:rFonts w:ascii="Times New Roman" w:hAnsi="Times New Roman"/>
          <w:lang w:eastAsia="en-GB"/>
        </w:rPr>
        <w:t>Mr Ta</w:t>
      </w:r>
      <w:r w:rsidR="00645A51" w:rsidRPr="00602F08">
        <w:rPr>
          <w:rFonts w:ascii="Times New Roman" w:hAnsi="Times New Roman"/>
          <w:lang w:eastAsia="en-GB"/>
        </w:rPr>
        <w:t>m</w:t>
      </w:r>
      <w:r w:rsidRPr="00602F08">
        <w:rPr>
          <w:rFonts w:ascii="Times New Roman" w:hAnsi="Times New Roman"/>
          <w:lang w:eastAsia="en-GB"/>
        </w:rPr>
        <w:t xml:space="preserve"> QC argues that the delay</w:t>
      </w:r>
      <w:r w:rsidR="00484BD0" w:rsidRPr="00602F08">
        <w:rPr>
          <w:rFonts w:ascii="Times New Roman" w:hAnsi="Times New Roman"/>
          <w:lang w:eastAsia="en-GB"/>
        </w:rPr>
        <w:t xml:space="preserve"> in each case was reasonable</w:t>
      </w:r>
      <w:r w:rsidR="00A34E47" w:rsidRPr="00602F08">
        <w:rPr>
          <w:rFonts w:ascii="Times New Roman" w:hAnsi="Times New Roman"/>
          <w:lang w:eastAsia="en-GB"/>
        </w:rPr>
        <w:t xml:space="preserve"> because at </w:t>
      </w:r>
      <w:r w:rsidR="00484BD0" w:rsidRPr="00602F08">
        <w:rPr>
          <w:rFonts w:ascii="Times New Roman" w:hAnsi="Times New Roman"/>
          <w:lang w:eastAsia="en-GB"/>
        </w:rPr>
        <w:t xml:space="preserve">no point between the </w:t>
      </w:r>
      <w:r w:rsidRPr="00602F08">
        <w:rPr>
          <w:rFonts w:ascii="Times New Roman" w:hAnsi="Times New Roman"/>
          <w:lang w:eastAsia="en-GB"/>
        </w:rPr>
        <w:t>section 4(2) decision</w:t>
      </w:r>
      <w:r w:rsidR="00484BD0" w:rsidRPr="00602F08">
        <w:rPr>
          <w:rFonts w:ascii="Times New Roman" w:hAnsi="Times New Roman"/>
          <w:lang w:eastAsia="en-GB"/>
        </w:rPr>
        <w:t xml:space="preserve"> and the</w:t>
      </w:r>
      <w:r w:rsidRPr="00602F08">
        <w:rPr>
          <w:rFonts w:ascii="Times New Roman" w:hAnsi="Times New Roman"/>
          <w:lang w:eastAsia="en-GB"/>
        </w:rPr>
        <w:t xml:space="preserve"> provision of suitable accommodation </w:t>
      </w:r>
      <w:r w:rsidR="00484BD0" w:rsidRPr="00602F08">
        <w:rPr>
          <w:rFonts w:ascii="Times New Roman" w:hAnsi="Times New Roman"/>
          <w:lang w:eastAsia="en-GB"/>
        </w:rPr>
        <w:t xml:space="preserve">was any </w:t>
      </w:r>
      <w:r w:rsidR="00F4410F">
        <w:rPr>
          <w:rFonts w:ascii="Times New Roman" w:hAnsi="Times New Roman"/>
          <w:lang w:eastAsia="en-GB"/>
        </w:rPr>
        <w:t>of DMA, AHK, BK or ELN</w:t>
      </w:r>
      <w:r w:rsidR="00484BD0" w:rsidRPr="00602F08">
        <w:rPr>
          <w:rFonts w:ascii="Times New Roman" w:hAnsi="Times New Roman"/>
          <w:lang w:eastAsia="en-GB"/>
        </w:rPr>
        <w:t xml:space="preserve"> </w:t>
      </w:r>
      <w:r w:rsidRPr="00602F08">
        <w:rPr>
          <w:rFonts w:ascii="Times New Roman" w:hAnsi="Times New Roman"/>
          <w:lang w:eastAsia="en-GB"/>
        </w:rPr>
        <w:t xml:space="preserve">in fact </w:t>
      </w:r>
      <w:r w:rsidR="00484BD0" w:rsidRPr="00602F08">
        <w:rPr>
          <w:rFonts w:ascii="Times New Roman" w:hAnsi="Times New Roman"/>
          <w:lang w:eastAsia="en-GB"/>
        </w:rPr>
        <w:t>street homeless or otherwise without food or shelter.</w:t>
      </w:r>
      <w:r w:rsidR="00A34E47" w:rsidRPr="00602F08">
        <w:rPr>
          <w:rFonts w:ascii="Times New Roman" w:hAnsi="Times New Roman"/>
          <w:lang w:eastAsia="en-GB"/>
        </w:rPr>
        <w:t xml:space="preserve"> Their</w:t>
      </w:r>
      <w:r w:rsidR="00484BD0" w:rsidRPr="00602F08">
        <w:rPr>
          <w:rFonts w:ascii="Times New Roman" w:hAnsi="Times New Roman"/>
          <w:lang w:eastAsia="en-GB"/>
        </w:rPr>
        <w:t xml:space="preserve"> circumstances </w:t>
      </w:r>
      <w:r w:rsidR="00A34E47" w:rsidRPr="00602F08">
        <w:rPr>
          <w:rFonts w:ascii="Times New Roman" w:hAnsi="Times New Roman"/>
          <w:lang w:eastAsia="en-GB"/>
        </w:rPr>
        <w:t>did not actually “</w:t>
      </w:r>
      <w:r w:rsidR="00484BD0" w:rsidRPr="00602F08">
        <w:rPr>
          <w:rFonts w:ascii="Times New Roman" w:hAnsi="Times New Roman"/>
          <w:lang w:eastAsia="en-GB"/>
        </w:rPr>
        <w:t>cross the Article 3 threshold and amount to inhuman or degrading treatment</w:t>
      </w:r>
      <w:r w:rsidR="00ED30B1" w:rsidRPr="00602F08">
        <w:rPr>
          <w:rFonts w:ascii="Times New Roman" w:hAnsi="Times New Roman"/>
          <w:lang w:eastAsia="en-GB"/>
        </w:rPr>
        <w:t xml:space="preserve">” and did not deteriorate. </w:t>
      </w:r>
      <w:r w:rsidR="00BD1AE8" w:rsidRPr="00602F08">
        <w:rPr>
          <w:rFonts w:ascii="Times New Roman" w:hAnsi="Times New Roman"/>
          <w:lang w:eastAsia="en-GB"/>
        </w:rPr>
        <w:t xml:space="preserve"> It is argued that “a</w:t>
      </w:r>
      <w:r w:rsidR="00484BD0" w:rsidRPr="00602F08">
        <w:rPr>
          <w:rFonts w:ascii="Times New Roman" w:hAnsi="Times New Roman"/>
          <w:lang w:eastAsia="en-GB"/>
        </w:rPr>
        <w:t>ccordingly, the policy objective of section 4(2) was achieved</w:t>
      </w:r>
      <w:r w:rsidR="00295F11" w:rsidRPr="00602F08">
        <w:rPr>
          <w:rFonts w:ascii="Times New Roman" w:hAnsi="Times New Roman"/>
          <w:lang w:eastAsia="en-GB"/>
        </w:rPr>
        <w:t>”.</w:t>
      </w:r>
    </w:p>
    <w:p w14:paraId="148F2C00" w14:textId="77777777" w:rsidR="00295F11" w:rsidRPr="00602F08" w:rsidRDefault="00295F11" w:rsidP="00B6212D">
      <w:pPr>
        <w:pStyle w:val="ListParagraph"/>
        <w:jc w:val="both"/>
        <w:rPr>
          <w:rFonts w:ascii="Times New Roman" w:hAnsi="Times New Roman"/>
          <w:lang w:eastAsia="en-GB"/>
        </w:rPr>
      </w:pPr>
    </w:p>
    <w:p w14:paraId="00A4D6D7" w14:textId="5D676067" w:rsidR="00234577" w:rsidRPr="00602F08" w:rsidRDefault="00295F11" w:rsidP="00B6212D">
      <w:pPr>
        <w:pStyle w:val="ListParagraph"/>
        <w:numPr>
          <w:ilvl w:val="0"/>
          <w:numId w:val="10"/>
        </w:numPr>
        <w:jc w:val="both"/>
        <w:rPr>
          <w:rFonts w:ascii="Times New Roman" w:hAnsi="Times New Roman"/>
          <w:lang w:val="en-US"/>
        </w:rPr>
      </w:pPr>
      <w:r w:rsidRPr="00602F08">
        <w:rPr>
          <w:rFonts w:ascii="Times New Roman" w:hAnsi="Times New Roman"/>
          <w:lang w:eastAsia="en-GB"/>
        </w:rPr>
        <w:t>Th</w:t>
      </w:r>
      <w:r w:rsidR="00234577" w:rsidRPr="00602F08">
        <w:rPr>
          <w:rFonts w:ascii="Times New Roman" w:hAnsi="Times New Roman"/>
          <w:lang w:eastAsia="en-GB"/>
        </w:rPr>
        <w:t>is argument</w:t>
      </w:r>
      <w:r w:rsidRPr="00602F08">
        <w:rPr>
          <w:rFonts w:ascii="Times New Roman" w:hAnsi="Times New Roman"/>
          <w:lang w:eastAsia="en-GB"/>
        </w:rPr>
        <w:t xml:space="preserve"> rel</w:t>
      </w:r>
      <w:r w:rsidR="00234577" w:rsidRPr="00602F08">
        <w:rPr>
          <w:rFonts w:ascii="Times New Roman" w:hAnsi="Times New Roman"/>
          <w:lang w:eastAsia="en-GB"/>
        </w:rPr>
        <w:t>ies</w:t>
      </w:r>
      <w:r w:rsidRPr="00602F08">
        <w:rPr>
          <w:rFonts w:ascii="Times New Roman" w:hAnsi="Times New Roman"/>
          <w:lang w:eastAsia="en-GB"/>
        </w:rPr>
        <w:t xml:space="preserve"> on the </w:t>
      </w:r>
      <w:r w:rsidR="00703DF6" w:rsidRPr="00602F08">
        <w:rPr>
          <w:rFonts w:ascii="Times New Roman" w:hAnsi="Times New Roman"/>
          <w:lang w:eastAsia="en-GB"/>
        </w:rPr>
        <w:t>help given by c</w:t>
      </w:r>
      <w:r w:rsidRPr="00602F08">
        <w:rPr>
          <w:rFonts w:ascii="Times New Roman" w:hAnsi="Times New Roman"/>
        </w:rPr>
        <w:t>harities, or sometimes friends or church, who</w:t>
      </w:r>
      <w:r w:rsidR="00703DF6" w:rsidRPr="00602F08">
        <w:rPr>
          <w:rFonts w:ascii="Times New Roman" w:hAnsi="Times New Roman"/>
        </w:rPr>
        <w:t xml:space="preserve"> were not prepared to see the Article 3 threshold crossed</w:t>
      </w:r>
      <w:r w:rsidR="00C33779" w:rsidRPr="00602F08">
        <w:rPr>
          <w:rFonts w:ascii="Times New Roman" w:hAnsi="Times New Roman"/>
        </w:rPr>
        <w:t xml:space="preserve">. </w:t>
      </w:r>
      <w:r w:rsidR="00703DF6" w:rsidRPr="00602F08">
        <w:rPr>
          <w:rFonts w:ascii="Times New Roman" w:hAnsi="Times New Roman"/>
        </w:rPr>
        <w:t>T</w:t>
      </w:r>
      <w:r w:rsidR="00C33779" w:rsidRPr="00602F08">
        <w:rPr>
          <w:rFonts w:ascii="Times New Roman" w:hAnsi="Times New Roman"/>
        </w:rPr>
        <w:t xml:space="preserve">his was help while the Secretary of State </w:t>
      </w:r>
      <w:r w:rsidR="006F20B1" w:rsidRPr="00602F08">
        <w:rPr>
          <w:rFonts w:ascii="Times New Roman" w:hAnsi="Times New Roman"/>
        </w:rPr>
        <w:t xml:space="preserve">through her officials </w:t>
      </w:r>
      <w:r w:rsidR="00C33779" w:rsidRPr="00602F08">
        <w:rPr>
          <w:rFonts w:ascii="Times New Roman" w:hAnsi="Times New Roman"/>
        </w:rPr>
        <w:t>delayed</w:t>
      </w:r>
      <w:r w:rsidR="00463FB2" w:rsidRPr="00602F08">
        <w:rPr>
          <w:rFonts w:ascii="Times New Roman" w:hAnsi="Times New Roman"/>
        </w:rPr>
        <w:t xml:space="preserve"> beyond a reasonable time</w:t>
      </w:r>
      <w:r w:rsidR="00376061" w:rsidRPr="00602F08">
        <w:rPr>
          <w:rFonts w:ascii="Times New Roman" w:hAnsi="Times New Roman"/>
        </w:rPr>
        <w:t xml:space="preserve">. </w:t>
      </w:r>
      <w:r w:rsidR="00663744" w:rsidRPr="00602F08">
        <w:rPr>
          <w:rFonts w:ascii="Times New Roman" w:hAnsi="Times New Roman"/>
        </w:rPr>
        <w:t>It is not right to say that t</w:t>
      </w:r>
      <w:r w:rsidR="00790488" w:rsidRPr="00602F08">
        <w:rPr>
          <w:rFonts w:ascii="Times New Roman" w:hAnsi="Times New Roman"/>
        </w:rPr>
        <w:t>he policy objective of section 4(2) was achieved “accordingly”</w:t>
      </w:r>
      <w:r w:rsidR="00542EE2" w:rsidRPr="00602F08">
        <w:rPr>
          <w:rFonts w:ascii="Times New Roman" w:hAnsi="Times New Roman"/>
        </w:rPr>
        <w:t>,</w:t>
      </w:r>
      <w:r w:rsidR="00663744" w:rsidRPr="00602F08">
        <w:rPr>
          <w:rFonts w:ascii="Times New Roman" w:hAnsi="Times New Roman"/>
        </w:rPr>
        <w:t xml:space="preserve"> as though that was the plan. It</w:t>
      </w:r>
      <w:r w:rsidR="00463FB2" w:rsidRPr="00602F08">
        <w:rPr>
          <w:rFonts w:ascii="Times New Roman" w:hAnsi="Times New Roman"/>
        </w:rPr>
        <w:t xml:space="preserve"> was achieved despite a failure of the Secretary of State </w:t>
      </w:r>
      <w:r w:rsidR="00E635CF" w:rsidRPr="00602F08">
        <w:rPr>
          <w:rFonts w:ascii="Times New Roman" w:hAnsi="Times New Roman"/>
        </w:rPr>
        <w:t xml:space="preserve">through her officials </w:t>
      </w:r>
      <w:r w:rsidR="00463FB2" w:rsidRPr="00602F08">
        <w:rPr>
          <w:rFonts w:ascii="Times New Roman" w:hAnsi="Times New Roman"/>
        </w:rPr>
        <w:t>to provide the accommodation that</w:t>
      </w:r>
      <w:r w:rsidR="00663744" w:rsidRPr="00602F08">
        <w:rPr>
          <w:rFonts w:ascii="Times New Roman" w:hAnsi="Times New Roman"/>
        </w:rPr>
        <w:t xml:space="preserve"> in each case she had by her section 4(2) decision </w:t>
      </w:r>
      <w:r w:rsidR="00463FB2" w:rsidRPr="00602F08">
        <w:rPr>
          <w:rFonts w:ascii="Times New Roman" w:hAnsi="Times New Roman"/>
        </w:rPr>
        <w:t xml:space="preserve">recognised she had </w:t>
      </w:r>
      <w:r w:rsidR="00663744" w:rsidRPr="00602F08">
        <w:rPr>
          <w:rFonts w:ascii="Times New Roman" w:hAnsi="Times New Roman"/>
        </w:rPr>
        <w:t>a duty to provide, and provide within a reasonable time.</w:t>
      </w:r>
    </w:p>
    <w:p w14:paraId="4ED2A622" w14:textId="77777777" w:rsidR="00234577" w:rsidRPr="00602F08" w:rsidRDefault="00234577" w:rsidP="00B6212D">
      <w:pPr>
        <w:pStyle w:val="ListParagraph"/>
        <w:jc w:val="both"/>
        <w:rPr>
          <w:rFonts w:ascii="Times New Roman" w:hAnsi="Times New Roman"/>
          <w:lang w:eastAsia="en-GB"/>
        </w:rPr>
      </w:pPr>
    </w:p>
    <w:p w14:paraId="0696BB40" w14:textId="61EA2DAD" w:rsidR="002B78A2" w:rsidRPr="00602F08" w:rsidRDefault="000A5DC7" w:rsidP="00B6212D">
      <w:pPr>
        <w:pStyle w:val="ListParagraph"/>
        <w:numPr>
          <w:ilvl w:val="0"/>
          <w:numId w:val="10"/>
        </w:numPr>
        <w:jc w:val="both"/>
        <w:rPr>
          <w:rFonts w:ascii="Times New Roman" w:hAnsi="Times New Roman"/>
        </w:rPr>
      </w:pPr>
      <w:r w:rsidRPr="00602F08">
        <w:rPr>
          <w:rFonts w:ascii="Times New Roman" w:hAnsi="Times New Roman"/>
          <w:lang w:eastAsia="en-GB"/>
        </w:rPr>
        <w:t>Thus, I reject the argument, but t</w:t>
      </w:r>
      <w:r w:rsidR="00234577" w:rsidRPr="00602F08">
        <w:rPr>
          <w:rFonts w:ascii="Times New Roman" w:hAnsi="Times New Roman"/>
          <w:lang w:eastAsia="en-GB"/>
        </w:rPr>
        <w:t xml:space="preserve">he implications of </w:t>
      </w:r>
      <w:r w:rsidRPr="00602F08">
        <w:rPr>
          <w:rFonts w:ascii="Times New Roman" w:hAnsi="Times New Roman"/>
          <w:lang w:eastAsia="en-GB"/>
        </w:rPr>
        <w:t xml:space="preserve">advancing </w:t>
      </w:r>
      <w:r w:rsidR="00234577" w:rsidRPr="00602F08">
        <w:rPr>
          <w:rFonts w:ascii="Times New Roman" w:hAnsi="Times New Roman"/>
          <w:lang w:eastAsia="en-GB"/>
        </w:rPr>
        <w:t xml:space="preserve">the argument </w:t>
      </w:r>
      <w:r w:rsidR="00354678" w:rsidRPr="00602F08">
        <w:rPr>
          <w:rFonts w:ascii="Times New Roman" w:hAnsi="Times New Roman"/>
          <w:lang w:eastAsia="en-GB"/>
        </w:rPr>
        <w:t xml:space="preserve">are </w:t>
      </w:r>
      <w:r w:rsidR="00744D0A" w:rsidRPr="00602F08">
        <w:rPr>
          <w:rFonts w:ascii="Times New Roman" w:hAnsi="Times New Roman"/>
          <w:lang w:eastAsia="en-GB"/>
        </w:rPr>
        <w:t xml:space="preserve">also </w:t>
      </w:r>
      <w:r w:rsidR="00354678" w:rsidRPr="00602F08">
        <w:rPr>
          <w:rFonts w:ascii="Times New Roman" w:hAnsi="Times New Roman"/>
          <w:lang w:eastAsia="en-GB"/>
        </w:rPr>
        <w:t xml:space="preserve">concerning. </w:t>
      </w:r>
      <w:r w:rsidR="00744D0A" w:rsidRPr="00602F08">
        <w:rPr>
          <w:rFonts w:ascii="Times New Roman" w:hAnsi="Times New Roman"/>
          <w:lang w:eastAsia="en-GB"/>
        </w:rPr>
        <w:t>I</w:t>
      </w:r>
      <w:r w:rsidR="00565A09" w:rsidRPr="00602F08">
        <w:rPr>
          <w:rFonts w:ascii="Times New Roman" w:hAnsi="Times New Roman"/>
          <w:lang w:eastAsia="en-GB"/>
        </w:rPr>
        <w:t xml:space="preserve">f </w:t>
      </w:r>
      <w:r w:rsidR="00E47CED" w:rsidRPr="00602F08">
        <w:rPr>
          <w:rFonts w:ascii="Times New Roman" w:hAnsi="Times New Roman"/>
        </w:rPr>
        <w:t xml:space="preserve">the Secretary of State </w:t>
      </w:r>
      <w:r w:rsidR="00E635CF" w:rsidRPr="00602F08">
        <w:rPr>
          <w:rFonts w:ascii="Times New Roman" w:hAnsi="Times New Roman"/>
        </w:rPr>
        <w:t>through he</w:t>
      </w:r>
      <w:r w:rsidR="00542EE2" w:rsidRPr="00602F08">
        <w:rPr>
          <w:rFonts w:ascii="Times New Roman" w:hAnsi="Times New Roman"/>
        </w:rPr>
        <w:t>r</w:t>
      </w:r>
      <w:r w:rsidR="00E635CF" w:rsidRPr="00602F08">
        <w:rPr>
          <w:rFonts w:ascii="Times New Roman" w:hAnsi="Times New Roman"/>
        </w:rPr>
        <w:t xml:space="preserve"> officials </w:t>
      </w:r>
      <w:r w:rsidR="00E47CED" w:rsidRPr="00602F08">
        <w:rPr>
          <w:rFonts w:ascii="Times New Roman" w:hAnsi="Times New Roman"/>
        </w:rPr>
        <w:t xml:space="preserve">anticipates that charities and community groups will provide accommodation whilst charities and community groups look to the Secretary of State </w:t>
      </w:r>
      <w:r w:rsidR="00E635CF" w:rsidRPr="00602F08">
        <w:rPr>
          <w:rFonts w:ascii="Times New Roman" w:hAnsi="Times New Roman"/>
        </w:rPr>
        <w:t xml:space="preserve">through her officials </w:t>
      </w:r>
      <w:r w:rsidR="00E47CED" w:rsidRPr="00602F08">
        <w:rPr>
          <w:rFonts w:ascii="Times New Roman" w:hAnsi="Times New Roman"/>
        </w:rPr>
        <w:t>to do so</w:t>
      </w:r>
      <w:r w:rsidR="00EF25BA" w:rsidRPr="00602F08">
        <w:rPr>
          <w:rFonts w:ascii="Times New Roman" w:hAnsi="Times New Roman"/>
        </w:rPr>
        <w:t xml:space="preserve">, matters </w:t>
      </w:r>
      <w:r w:rsidR="00095694" w:rsidRPr="00602F08">
        <w:rPr>
          <w:rFonts w:ascii="Times New Roman" w:hAnsi="Times New Roman"/>
        </w:rPr>
        <w:t xml:space="preserve">can quickly deteriorate to </w:t>
      </w:r>
      <w:r w:rsidR="00EF25BA" w:rsidRPr="00602F08">
        <w:rPr>
          <w:rFonts w:ascii="Times New Roman" w:hAnsi="Times New Roman"/>
        </w:rPr>
        <w:t>“who blinks first”</w:t>
      </w:r>
      <w:r w:rsidR="00095694" w:rsidRPr="00602F08">
        <w:rPr>
          <w:rFonts w:ascii="Times New Roman" w:hAnsi="Times New Roman"/>
        </w:rPr>
        <w:t>. Th</w:t>
      </w:r>
      <w:r w:rsidR="00E1460B" w:rsidRPr="00602F08">
        <w:rPr>
          <w:rFonts w:ascii="Times New Roman" w:hAnsi="Times New Roman"/>
        </w:rPr>
        <w:t xml:space="preserve">e victim of that situation is an individual who already </w:t>
      </w:r>
      <w:r w:rsidR="00F93570" w:rsidRPr="00602F08">
        <w:rPr>
          <w:rFonts w:ascii="Times New Roman" w:hAnsi="Times New Roman"/>
        </w:rPr>
        <w:t>faces an imminent prospect of serious suffering caused or materially aggravated by denial of shelter, food or the most basic necessities of life</w:t>
      </w:r>
      <w:r w:rsidR="006E0B0F" w:rsidRPr="00602F08">
        <w:rPr>
          <w:rFonts w:ascii="Times New Roman" w:hAnsi="Times New Roman"/>
        </w:rPr>
        <w:t xml:space="preserve"> and who is prevented from addressing these needs </w:t>
      </w:r>
      <w:r w:rsidR="00BD4F26" w:rsidRPr="00602F08">
        <w:rPr>
          <w:rFonts w:ascii="Times New Roman" w:hAnsi="Times New Roman"/>
        </w:rPr>
        <w:t>in any other way.</w:t>
      </w:r>
    </w:p>
    <w:p w14:paraId="72974C52" w14:textId="14B31C64" w:rsidR="007120E8" w:rsidRPr="00602F08" w:rsidRDefault="007120E8" w:rsidP="00B6212D">
      <w:pPr>
        <w:pStyle w:val="ListParagraph"/>
        <w:jc w:val="both"/>
        <w:rPr>
          <w:rFonts w:ascii="Times New Roman" w:hAnsi="Times New Roman"/>
          <w:lang w:val="en-US"/>
        </w:rPr>
      </w:pPr>
    </w:p>
    <w:p w14:paraId="3654EAF1" w14:textId="77777777" w:rsidR="00C93CC4" w:rsidRPr="00602F08" w:rsidRDefault="00C93CC4" w:rsidP="00B6212D">
      <w:pPr>
        <w:pStyle w:val="ListParagraph"/>
        <w:jc w:val="both"/>
        <w:rPr>
          <w:rFonts w:ascii="Times New Roman" w:hAnsi="Times New Roman"/>
          <w:lang w:val="en-US"/>
        </w:rPr>
      </w:pPr>
    </w:p>
    <w:p w14:paraId="4C2640F8" w14:textId="359FF65B" w:rsidR="007120E8" w:rsidRPr="00602F08" w:rsidRDefault="007120E8" w:rsidP="00B6212D">
      <w:pPr>
        <w:ind w:left="687"/>
        <w:jc w:val="both"/>
        <w:rPr>
          <w:u w:val="single"/>
          <w:lang w:val="en-US"/>
        </w:rPr>
      </w:pPr>
      <w:r w:rsidRPr="00602F08">
        <w:rPr>
          <w:u w:val="single"/>
          <w:lang w:val="en-US"/>
        </w:rPr>
        <w:t>The Padfield principle</w:t>
      </w:r>
    </w:p>
    <w:p w14:paraId="4D0B2A36" w14:textId="3D592872" w:rsidR="00CD2B1D" w:rsidRPr="00602F08" w:rsidRDefault="00663744" w:rsidP="00B6212D">
      <w:pPr>
        <w:jc w:val="both"/>
        <w:rPr>
          <w:rStyle w:val="normaltextrun"/>
          <w:lang w:val="en-US"/>
        </w:rPr>
      </w:pPr>
      <w:r w:rsidRPr="00602F08">
        <w:t xml:space="preserve"> </w:t>
      </w:r>
    </w:p>
    <w:p w14:paraId="462941A8" w14:textId="5FE326DF" w:rsidR="008B798E" w:rsidRPr="00602F08" w:rsidRDefault="00D34FAF"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 xml:space="preserve">There was some discussion of </w:t>
      </w:r>
      <w:r w:rsidR="005B333E" w:rsidRPr="00602F08">
        <w:rPr>
          <w:rStyle w:val="normaltextrun"/>
          <w:rFonts w:ascii="Times New Roman" w:hAnsi="Times New Roman"/>
        </w:rPr>
        <w:t xml:space="preserve">what has come to be known as the </w:t>
      </w:r>
      <w:r w:rsidR="005B333E" w:rsidRPr="00602F08">
        <w:rPr>
          <w:rStyle w:val="normaltextrun"/>
          <w:rFonts w:ascii="Times New Roman" w:hAnsi="Times New Roman"/>
          <w:u w:val="single"/>
        </w:rPr>
        <w:t>Padfield</w:t>
      </w:r>
      <w:r w:rsidR="005B333E" w:rsidRPr="00602F08">
        <w:rPr>
          <w:rStyle w:val="normaltextrun"/>
          <w:rFonts w:ascii="Times New Roman" w:hAnsi="Times New Roman"/>
        </w:rPr>
        <w:t xml:space="preserve"> principle in relation to Ground 1</w:t>
      </w:r>
      <w:r w:rsidR="003B5BCD" w:rsidRPr="00602F08">
        <w:rPr>
          <w:rStyle w:val="normaltextrun"/>
          <w:rFonts w:ascii="Times New Roman" w:hAnsi="Times New Roman"/>
        </w:rPr>
        <w:t xml:space="preserve"> (</w:t>
      </w:r>
      <w:r w:rsidR="003B5BCD" w:rsidRPr="00602F08">
        <w:rPr>
          <w:rStyle w:val="normaltextrun"/>
          <w:rFonts w:ascii="Times New Roman" w:hAnsi="Times New Roman"/>
          <w:u w:val="single"/>
        </w:rPr>
        <w:t>Padfield</w:t>
      </w:r>
      <w:r w:rsidR="00903F5A">
        <w:rPr>
          <w:rStyle w:val="normaltextrun"/>
          <w:rFonts w:ascii="Times New Roman" w:hAnsi="Times New Roman"/>
          <w:u w:val="single"/>
        </w:rPr>
        <w:t xml:space="preserve"> v Minister</w:t>
      </w:r>
      <w:r w:rsidR="004013B7">
        <w:rPr>
          <w:rStyle w:val="normaltextrun"/>
          <w:rFonts w:ascii="Times New Roman" w:hAnsi="Times New Roman"/>
          <w:u w:val="single"/>
        </w:rPr>
        <w:t xml:space="preserve"> of Agriculture</w:t>
      </w:r>
      <w:r w:rsidR="00113957" w:rsidRPr="00602F08">
        <w:rPr>
          <w:rStyle w:val="normaltextrun"/>
          <w:rFonts w:ascii="Times New Roman" w:hAnsi="Times New Roman"/>
        </w:rPr>
        <w:t xml:space="preserve"> [1968] AC 997)</w:t>
      </w:r>
      <w:r w:rsidR="00032E09" w:rsidRPr="00602F08">
        <w:rPr>
          <w:rStyle w:val="normaltextrun"/>
          <w:rFonts w:ascii="Times New Roman" w:hAnsi="Times New Roman"/>
        </w:rPr>
        <w:t xml:space="preserve">. The </w:t>
      </w:r>
      <w:r w:rsidR="003B5BCD" w:rsidRPr="00602F08">
        <w:rPr>
          <w:rStyle w:val="normaltextrun"/>
          <w:rFonts w:ascii="Times New Roman" w:hAnsi="Times New Roman"/>
        </w:rPr>
        <w:t>principl</w:t>
      </w:r>
      <w:r w:rsidR="00113957" w:rsidRPr="00602F08">
        <w:rPr>
          <w:rStyle w:val="normaltextrun"/>
          <w:rFonts w:ascii="Times New Roman" w:hAnsi="Times New Roman"/>
        </w:rPr>
        <w:t xml:space="preserve">e </w:t>
      </w:r>
      <w:r w:rsidR="00953914" w:rsidRPr="00602F08">
        <w:rPr>
          <w:rStyle w:val="normaltextrun"/>
          <w:rFonts w:ascii="Times New Roman" w:hAnsi="Times New Roman"/>
        </w:rPr>
        <w:t>concerns the exercise of power to promote t</w:t>
      </w:r>
      <w:r w:rsidR="000122D5" w:rsidRPr="00602F08">
        <w:rPr>
          <w:rStyle w:val="normaltextrun"/>
          <w:rFonts w:ascii="Times New Roman" w:hAnsi="Times New Roman"/>
        </w:rPr>
        <w:t>h</w:t>
      </w:r>
      <w:r w:rsidR="00953914" w:rsidRPr="00602F08">
        <w:rPr>
          <w:rStyle w:val="normaltextrun"/>
          <w:rFonts w:ascii="Times New Roman" w:hAnsi="Times New Roman"/>
        </w:rPr>
        <w:t xml:space="preserve">e </w:t>
      </w:r>
      <w:r w:rsidR="000122D5" w:rsidRPr="00602F08">
        <w:rPr>
          <w:rStyle w:val="normaltextrun"/>
          <w:rFonts w:ascii="Times New Roman" w:hAnsi="Times New Roman"/>
        </w:rPr>
        <w:t>policy and objects of the legislation conferring the power</w:t>
      </w:r>
      <w:r w:rsidR="002665C0" w:rsidRPr="00602F08">
        <w:rPr>
          <w:rStyle w:val="normaltextrun"/>
          <w:rFonts w:ascii="Times New Roman" w:hAnsi="Times New Roman"/>
        </w:rPr>
        <w:t xml:space="preserve">, determined by </w:t>
      </w:r>
      <w:r w:rsidR="00D21582" w:rsidRPr="00602F08">
        <w:rPr>
          <w:rStyle w:val="normaltextrun"/>
          <w:rFonts w:ascii="Times New Roman" w:hAnsi="Times New Roman"/>
        </w:rPr>
        <w:t>construing the legislation as a whole</w:t>
      </w:r>
      <w:r w:rsidR="00413BD1" w:rsidRPr="00602F08">
        <w:rPr>
          <w:rStyle w:val="normaltextrun"/>
          <w:rFonts w:ascii="Times New Roman" w:hAnsi="Times New Roman"/>
        </w:rPr>
        <w:t xml:space="preserve"> (see generally </w:t>
      </w:r>
      <w:r w:rsidR="00413BD1" w:rsidRPr="00602F08">
        <w:rPr>
          <w:rStyle w:val="normaltextrun"/>
          <w:rFonts w:ascii="Times New Roman" w:hAnsi="Times New Roman"/>
          <w:u w:val="single"/>
        </w:rPr>
        <w:t xml:space="preserve">R (on the application of Palestinian Solidarity Campaign Ltd and another) </w:t>
      </w:r>
      <w:r w:rsidR="00106ECE" w:rsidRPr="00602F08">
        <w:rPr>
          <w:rStyle w:val="normaltextrun"/>
          <w:rFonts w:ascii="Times New Roman" w:hAnsi="Times New Roman"/>
          <w:u w:val="single"/>
        </w:rPr>
        <w:t>v Secretary of State for Housing, Communities and Local Government</w:t>
      </w:r>
      <w:r w:rsidR="00106ECE" w:rsidRPr="00602F08">
        <w:rPr>
          <w:rStyle w:val="normaltextrun"/>
          <w:rFonts w:ascii="Times New Roman" w:hAnsi="Times New Roman"/>
        </w:rPr>
        <w:t xml:space="preserve"> [2020] UKSC 16</w:t>
      </w:r>
      <w:r w:rsidR="00902EC6" w:rsidRPr="00602F08">
        <w:rPr>
          <w:rStyle w:val="normaltextrun"/>
          <w:rFonts w:ascii="Times New Roman" w:hAnsi="Times New Roman"/>
        </w:rPr>
        <w:t>)</w:t>
      </w:r>
      <w:r w:rsidR="00EB550E" w:rsidRPr="00602F08">
        <w:rPr>
          <w:rStyle w:val="normaltextrun"/>
          <w:rFonts w:ascii="Times New Roman" w:hAnsi="Times New Roman"/>
        </w:rPr>
        <w:t xml:space="preserve">. </w:t>
      </w:r>
    </w:p>
    <w:p w14:paraId="01166AC4" w14:textId="77777777" w:rsidR="008731B8" w:rsidRPr="00806018" w:rsidRDefault="008731B8" w:rsidP="00806018">
      <w:pPr>
        <w:jc w:val="both"/>
        <w:rPr>
          <w:rStyle w:val="normaltextrun"/>
        </w:rPr>
      </w:pPr>
    </w:p>
    <w:p w14:paraId="68878239" w14:textId="2550E524" w:rsidR="00D34FAF" w:rsidRPr="00602F08" w:rsidRDefault="00391468"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 xml:space="preserve">In his valuable analysis of </w:t>
      </w:r>
      <w:r w:rsidR="000B1D78" w:rsidRPr="00602F08">
        <w:rPr>
          <w:rStyle w:val="normaltextrun"/>
          <w:rFonts w:ascii="Times New Roman" w:hAnsi="Times New Roman"/>
        </w:rPr>
        <w:t xml:space="preserve">a challenge in respect of </w:t>
      </w:r>
      <w:r w:rsidR="008731B8" w:rsidRPr="00602F08">
        <w:rPr>
          <w:rStyle w:val="normaltextrun"/>
          <w:rFonts w:ascii="Times New Roman" w:hAnsi="Times New Roman"/>
        </w:rPr>
        <w:t xml:space="preserve">alleged failures </w:t>
      </w:r>
      <w:r w:rsidR="000165B3" w:rsidRPr="00602F08">
        <w:rPr>
          <w:rStyle w:val="normaltextrun"/>
          <w:rFonts w:ascii="Times New Roman" w:hAnsi="Times New Roman"/>
        </w:rPr>
        <w:t>in</w:t>
      </w:r>
      <w:r w:rsidR="00CC1896" w:rsidRPr="00602F08">
        <w:rPr>
          <w:rStyle w:val="normaltextrun"/>
          <w:rFonts w:ascii="Times New Roman" w:hAnsi="Times New Roman"/>
        </w:rPr>
        <w:t xml:space="preserve"> provision under section 4(1)(c) of the 1999 Act, Edis J </w:t>
      </w:r>
      <w:r w:rsidR="00360115" w:rsidRPr="00602F08">
        <w:rPr>
          <w:rStyle w:val="normaltextrun"/>
          <w:rFonts w:ascii="Times New Roman" w:hAnsi="Times New Roman"/>
        </w:rPr>
        <w:t>said (</w:t>
      </w:r>
      <w:r w:rsidR="00360115" w:rsidRPr="00602F08">
        <w:rPr>
          <w:rStyle w:val="normaltextrun"/>
          <w:rFonts w:ascii="Times New Roman" w:hAnsi="Times New Roman"/>
          <w:u w:val="single"/>
        </w:rPr>
        <w:t>R (Sat</w:t>
      </w:r>
      <w:r w:rsidR="00FD405E" w:rsidRPr="00602F08">
        <w:rPr>
          <w:rStyle w:val="normaltextrun"/>
          <w:rFonts w:ascii="Times New Roman" w:hAnsi="Times New Roman"/>
          <w:u w:val="single"/>
        </w:rPr>
        <w:t>hanantham</w:t>
      </w:r>
      <w:r w:rsidR="00A54E4C">
        <w:rPr>
          <w:rStyle w:val="normaltextrun"/>
          <w:rFonts w:ascii="Times New Roman" w:hAnsi="Times New Roman"/>
          <w:u w:val="single"/>
        </w:rPr>
        <w:t xml:space="preserve"> and Others</w:t>
      </w:r>
      <w:r w:rsidR="003925E3" w:rsidRPr="00602F08">
        <w:rPr>
          <w:rStyle w:val="normaltextrun"/>
          <w:rFonts w:ascii="Times New Roman" w:hAnsi="Times New Roman"/>
          <w:u w:val="single"/>
        </w:rPr>
        <w:t>)</w:t>
      </w:r>
      <w:r w:rsidR="00FD405E" w:rsidRPr="00602F08">
        <w:rPr>
          <w:rStyle w:val="normaltextrun"/>
          <w:rFonts w:ascii="Times New Roman" w:hAnsi="Times New Roman"/>
          <w:u w:val="single"/>
        </w:rPr>
        <w:t xml:space="preserve"> v The Secretary of State for the Home Department</w:t>
      </w:r>
      <w:r w:rsidR="00AD26A3" w:rsidRPr="00602F08">
        <w:rPr>
          <w:rStyle w:val="normaltextrun"/>
          <w:rFonts w:ascii="Times New Roman" w:hAnsi="Times New Roman"/>
        </w:rPr>
        <w:t xml:space="preserve"> [2016] EWHC 1781 (Admin)</w:t>
      </w:r>
      <w:r w:rsidR="00A54E4C">
        <w:rPr>
          <w:rStyle w:val="normaltextrun"/>
          <w:rFonts w:ascii="Times New Roman" w:hAnsi="Times New Roman"/>
        </w:rPr>
        <w:t>; [2016] 4 WLR 128</w:t>
      </w:r>
      <w:r w:rsidR="0071363B" w:rsidRPr="00602F08">
        <w:rPr>
          <w:rStyle w:val="normaltextrun"/>
          <w:rFonts w:ascii="Times New Roman" w:hAnsi="Times New Roman"/>
        </w:rPr>
        <w:t xml:space="preserve"> at [67]</w:t>
      </w:r>
      <w:r w:rsidR="00360115" w:rsidRPr="00602F08">
        <w:rPr>
          <w:rStyle w:val="normaltextrun"/>
          <w:rFonts w:ascii="Times New Roman" w:hAnsi="Times New Roman"/>
        </w:rPr>
        <w:t>:</w:t>
      </w:r>
    </w:p>
    <w:p w14:paraId="4F805009" w14:textId="77777777" w:rsidR="0071363B" w:rsidRPr="00602F08" w:rsidRDefault="0071363B" w:rsidP="00B6212D">
      <w:pPr>
        <w:pStyle w:val="ListParagraph"/>
        <w:jc w:val="both"/>
        <w:rPr>
          <w:rStyle w:val="normaltextrun"/>
          <w:rFonts w:ascii="Times New Roman" w:hAnsi="Times New Roman"/>
        </w:rPr>
      </w:pPr>
    </w:p>
    <w:p w14:paraId="78A7915B" w14:textId="6D6F662F" w:rsidR="0071363B" w:rsidRPr="00602F08" w:rsidRDefault="0071363B" w:rsidP="00B6212D">
      <w:pPr>
        <w:pStyle w:val="ListParagraph"/>
        <w:ind w:left="1440"/>
        <w:jc w:val="both"/>
        <w:rPr>
          <w:rStyle w:val="normaltextrun"/>
          <w:rFonts w:ascii="Times New Roman" w:hAnsi="Times New Roman"/>
        </w:rPr>
      </w:pPr>
      <w:r w:rsidRPr="00602F08">
        <w:rPr>
          <w:rStyle w:val="normaltextrun"/>
          <w:rFonts w:ascii="Times New Roman" w:hAnsi="Times New Roman"/>
        </w:rPr>
        <w:t>“The power to provide accommodation in s.4(1)</w:t>
      </w:r>
      <w:r w:rsidR="00F7337A" w:rsidRPr="00602F08">
        <w:rPr>
          <w:rStyle w:val="normaltextrun"/>
          <w:rFonts w:ascii="Times New Roman" w:hAnsi="Times New Roman"/>
        </w:rPr>
        <w:t>(c)</w:t>
      </w:r>
      <w:r w:rsidRPr="00602F08">
        <w:rPr>
          <w:rStyle w:val="normaltextrun"/>
          <w:rFonts w:ascii="Times New Roman" w:hAnsi="Times New Roman"/>
        </w:rPr>
        <w:t xml:space="preserve"> is a power to provide it to those who have been </w:t>
      </w:r>
      <w:r w:rsidR="00593EE9" w:rsidRPr="00602F08">
        <w:rPr>
          <w:rStyle w:val="normaltextrun"/>
          <w:rFonts w:ascii="Times New Roman" w:hAnsi="Times New Roman"/>
        </w:rPr>
        <w:t>released on bail. The SSHD has established a system for its exercise …</w:t>
      </w:r>
      <w:r w:rsidR="007B5E9D" w:rsidRPr="00602F08">
        <w:rPr>
          <w:rStyle w:val="normaltextrun"/>
          <w:rFonts w:ascii="Times New Roman" w:hAnsi="Times New Roman"/>
        </w:rPr>
        <w:t>.</w:t>
      </w:r>
      <w:r w:rsidR="00593EE9" w:rsidRPr="00602F08">
        <w:rPr>
          <w:rStyle w:val="normaltextrun"/>
          <w:rFonts w:ascii="Times New Roman" w:hAnsi="Times New Roman"/>
        </w:rPr>
        <w:t xml:space="preserve"> She has not decided </w:t>
      </w:r>
      <w:r w:rsidR="009F7CCD" w:rsidRPr="00602F08">
        <w:rPr>
          <w:rStyle w:val="normaltextrun"/>
          <w:rFonts w:ascii="Times New Roman" w:hAnsi="Times New Roman"/>
        </w:rPr>
        <w:t>not</w:t>
      </w:r>
      <w:r w:rsidR="00593EE9" w:rsidRPr="00602F08">
        <w:rPr>
          <w:rStyle w:val="normaltextrun"/>
          <w:rFonts w:ascii="Times New Roman" w:hAnsi="Times New Roman"/>
        </w:rPr>
        <w:t xml:space="preserve"> to exercise it. If she adopted a policy of declining every </w:t>
      </w:r>
      <w:r w:rsidR="00F9062D" w:rsidRPr="00602F08">
        <w:rPr>
          <w:rStyle w:val="normaltextrun"/>
          <w:rFonts w:ascii="Times New Roman" w:hAnsi="Times New Roman"/>
        </w:rPr>
        <w:t xml:space="preserve">application </w:t>
      </w:r>
      <w:r w:rsidR="00593EE9" w:rsidRPr="00602F08">
        <w:rPr>
          <w:rStyle w:val="normaltextrun"/>
          <w:rFonts w:ascii="Times New Roman" w:hAnsi="Times New Roman"/>
        </w:rPr>
        <w:t xml:space="preserve">to accommodate those who were released on bail this may perhaps violate the rule in Padfield’s case, but that is not what has happened here. What has happened </w:t>
      </w:r>
      <w:r w:rsidR="003B14B7" w:rsidRPr="00602F08">
        <w:rPr>
          <w:rStyle w:val="normaltextrun"/>
          <w:rFonts w:ascii="Times New Roman" w:hAnsi="Times New Roman"/>
        </w:rPr>
        <w:t xml:space="preserve">here is that the system which the SSHD has established is trying, but failing, to offer suitable bail accommodation to the small number </w:t>
      </w:r>
      <w:r w:rsidR="0032497A" w:rsidRPr="00602F08">
        <w:rPr>
          <w:rStyle w:val="normaltextrun"/>
          <w:rFonts w:ascii="Times New Roman" w:hAnsi="Times New Roman"/>
        </w:rPr>
        <w:t xml:space="preserve">of high risk bail applicants within a reasonable period of time. The policy which she has established is not irrational </w:t>
      </w:r>
      <w:r w:rsidR="00C23C70" w:rsidRPr="00602F08">
        <w:rPr>
          <w:rStyle w:val="normaltextrun"/>
          <w:rFonts w:ascii="Times New Roman" w:hAnsi="Times New Roman"/>
        </w:rPr>
        <w:t>or unreasonable, it is simply not working very well. There are several reasons for this which include the complex nature of the task i</w:t>
      </w:r>
      <w:r w:rsidR="0099780D" w:rsidRPr="00602F08">
        <w:rPr>
          <w:rStyle w:val="normaltextrun"/>
          <w:rFonts w:ascii="Times New Roman" w:hAnsi="Times New Roman"/>
        </w:rPr>
        <w:t>n</w:t>
      </w:r>
      <w:r w:rsidR="00C23C70" w:rsidRPr="00602F08">
        <w:rPr>
          <w:rStyle w:val="normaltextrun"/>
          <w:rFonts w:ascii="Times New Roman" w:hAnsi="Times New Roman"/>
        </w:rPr>
        <w:t xml:space="preserve"> difficult </w:t>
      </w:r>
      <w:r w:rsidR="0099780D" w:rsidRPr="00602F08">
        <w:rPr>
          <w:rStyle w:val="normaltextrun"/>
          <w:rFonts w:ascii="Times New Roman" w:hAnsi="Times New Roman"/>
        </w:rPr>
        <w:t>cases</w:t>
      </w:r>
      <w:r w:rsidR="00C23C70" w:rsidRPr="00602F08">
        <w:rPr>
          <w:rStyle w:val="normaltextrun"/>
          <w:rFonts w:ascii="Times New Roman" w:hAnsi="Times New Roman"/>
        </w:rPr>
        <w:t xml:space="preserve"> and maladministration. The complex nature of the task includes the difficulty in sourci</w:t>
      </w:r>
      <w:r w:rsidR="0099780D" w:rsidRPr="00602F08">
        <w:rPr>
          <w:rStyle w:val="normaltextrun"/>
          <w:rFonts w:ascii="Times New Roman" w:hAnsi="Times New Roman"/>
        </w:rPr>
        <w:t>ng</w:t>
      </w:r>
      <w:r w:rsidR="00C23C70" w:rsidRPr="00602F08">
        <w:rPr>
          <w:rStyle w:val="normaltextrun"/>
          <w:rFonts w:ascii="Times New Roman" w:hAnsi="Times New Roman"/>
        </w:rPr>
        <w:t xml:space="preserve"> accommodation for asylum seek</w:t>
      </w:r>
      <w:r w:rsidR="0099780D" w:rsidRPr="00602F08">
        <w:rPr>
          <w:rStyle w:val="normaltextrun"/>
          <w:rFonts w:ascii="Times New Roman" w:hAnsi="Times New Roman"/>
        </w:rPr>
        <w:t>e</w:t>
      </w:r>
      <w:r w:rsidR="00C23C70" w:rsidRPr="00602F08">
        <w:rPr>
          <w:rStyle w:val="normaltextrun"/>
          <w:rFonts w:ascii="Times New Roman" w:hAnsi="Times New Roman"/>
        </w:rPr>
        <w:t>rs generally in what is sometimes a hostile climate. That difficulty is m</w:t>
      </w:r>
      <w:r w:rsidR="0099780D" w:rsidRPr="00602F08">
        <w:rPr>
          <w:rStyle w:val="normaltextrun"/>
          <w:rFonts w:ascii="Times New Roman" w:hAnsi="Times New Roman"/>
        </w:rPr>
        <w:t>a</w:t>
      </w:r>
      <w:r w:rsidR="00C23C70" w:rsidRPr="00602F08">
        <w:rPr>
          <w:rStyle w:val="normaltextrun"/>
          <w:rFonts w:ascii="Times New Roman" w:hAnsi="Times New Roman"/>
        </w:rPr>
        <w:t xml:space="preserve">gnified when the detainee is dangerous which requires the accommodation to </w:t>
      </w:r>
      <w:r w:rsidR="0099780D" w:rsidRPr="00602F08">
        <w:rPr>
          <w:rStyle w:val="normaltextrun"/>
          <w:rFonts w:ascii="Times New Roman" w:hAnsi="Times New Roman"/>
        </w:rPr>
        <w:t>be</w:t>
      </w:r>
      <w:r w:rsidR="00C23C70" w:rsidRPr="00602F08">
        <w:rPr>
          <w:rStyle w:val="normaltextrun"/>
          <w:rFonts w:ascii="Times New Roman" w:hAnsi="Times New Roman"/>
        </w:rPr>
        <w:t xml:space="preserve"> of a part</w:t>
      </w:r>
      <w:r w:rsidR="0099780D" w:rsidRPr="00602F08">
        <w:rPr>
          <w:rStyle w:val="normaltextrun"/>
          <w:rFonts w:ascii="Times New Roman" w:hAnsi="Times New Roman"/>
        </w:rPr>
        <w:t>i</w:t>
      </w:r>
      <w:r w:rsidR="00C23C70" w:rsidRPr="00602F08">
        <w:rPr>
          <w:rStyle w:val="normaltextrun"/>
          <w:rFonts w:ascii="Times New Roman" w:hAnsi="Times New Roman"/>
        </w:rPr>
        <w:t xml:space="preserve">cular kind and in a particular location </w:t>
      </w:r>
      <w:r w:rsidR="0099780D" w:rsidRPr="00602F08">
        <w:rPr>
          <w:rStyle w:val="normaltextrun"/>
          <w:rFonts w:ascii="Times New Roman" w:hAnsi="Times New Roman"/>
        </w:rPr>
        <w:t>…</w:t>
      </w:r>
    </w:p>
    <w:p w14:paraId="576B7430" w14:textId="50553F16" w:rsidR="00C23C70" w:rsidRPr="00602F08" w:rsidRDefault="00C23C70" w:rsidP="00B6212D">
      <w:pPr>
        <w:pStyle w:val="ListParagraph"/>
        <w:ind w:left="1440"/>
        <w:jc w:val="both"/>
        <w:rPr>
          <w:rStyle w:val="normaltextrun"/>
          <w:rFonts w:ascii="Times New Roman" w:hAnsi="Times New Roman"/>
        </w:rPr>
      </w:pPr>
    </w:p>
    <w:p w14:paraId="7336E3FA" w14:textId="21EB55BD" w:rsidR="00C23C70" w:rsidRPr="00602F08" w:rsidRDefault="00C23C70" w:rsidP="00B6212D">
      <w:pPr>
        <w:pStyle w:val="ListParagraph"/>
        <w:ind w:left="1440"/>
        <w:jc w:val="both"/>
        <w:rPr>
          <w:rStyle w:val="normaltextrun"/>
          <w:rFonts w:ascii="Times New Roman" w:hAnsi="Times New Roman"/>
        </w:rPr>
      </w:pPr>
      <w:r w:rsidRPr="00602F08">
        <w:rPr>
          <w:rStyle w:val="normaltextrun"/>
          <w:rFonts w:ascii="Times New Roman" w:hAnsi="Times New Roman"/>
        </w:rPr>
        <w:t>… The natur</w:t>
      </w:r>
      <w:r w:rsidR="0099780D" w:rsidRPr="00602F08">
        <w:rPr>
          <w:rStyle w:val="normaltextrun"/>
          <w:rFonts w:ascii="Times New Roman" w:hAnsi="Times New Roman"/>
        </w:rPr>
        <w:t>e</w:t>
      </w:r>
      <w:r w:rsidRPr="00602F08">
        <w:rPr>
          <w:rStyle w:val="normaltextrun"/>
          <w:rFonts w:ascii="Times New Roman" w:hAnsi="Times New Roman"/>
        </w:rPr>
        <w:t xml:space="preserve"> of the problem in this case is not the same as that in Padfie</w:t>
      </w:r>
      <w:r w:rsidR="0099780D" w:rsidRPr="00602F08">
        <w:rPr>
          <w:rStyle w:val="normaltextrun"/>
          <w:rFonts w:ascii="Times New Roman" w:hAnsi="Times New Roman"/>
        </w:rPr>
        <w:t>ld</w:t>
      </w:r>
      <w:r w:rsidRPr="00602F08">
        <w:rPr>
          <w:rStyle w:val="normaltextrun"/>
          <w:rFonts w:ascii="Times New Roman" w:hAnsi="Times New Roman"/>
        </w:rPr>
        <w:t xml:space="preserve"> and the Scottish Ministers cases. It is unintended delay which is the problem, n</w:t>
      </w:r>
      <w:r w:rsidR="00734DE2" w:rsidRPr="00602F08">
        <w:rPr>
          <w:rStyle w:val="normaltextrun"/>
          <w:rFonts w:ascii="Times New Roman" w:hAnsi="Times New Roman"/>
        </w:rPr>
        <w:t>o</w:t>
      </w:r>
      <w:r w:rsidRPr="00602F08">
        <w:rPr>
          <w:rStyle w:val="normaltextrun"/>
          <w:rFonts w:ascii="Times New Roman" w:hAnsi="Times New Roman"/>
        </w:rPr>
        <w:t>t a deliberate decision to delay as in the latter case …”</w:t>
      </w:r>
    </w:p>
    <w:p w14:paraId="535B48B3" w14:textId="77777777" w:rsidR="00360115" w:rsidRPr="00602F08" w:rsidRDefault="00360115" w:rsidP="00B6212D">
      <w:pPr>
        <w:pStyle w:val="ListParagraph"/>
        <w:jc w:val="both"/>
        <w:rPr>
          <w:rStyle w:val="normaltextrun"/>
          <w:rFonts w:ascii="Times New Roman" w:hAnsi="Times New Roman"/>
        </w:rPr>
      </w:pPr>
    </w:p>
    <w:p w14:paraId="65AB2F8D" w14:textId="35051278" w:rsidR="00815C85" w:rsidRPr="00602F08" w:rsidRDefault="00815C85"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Mr Ta</w:t>
      </w:r>
      <w:r w:rsidR="00645A51" w:rsidRPr="00602F08">
        <w:rPr>
          <w:rStyle w:val="normaltextrun"/>
          <w:rFonts w:ascii="Times New Roman" w:hAnsi="Times New Roman"/>
        </w:rPr>
        <w:t>m</w:t>
      </w:r>
      <w:r w:rsidRPr="00602F08">
        <w:rPr>
          <w:rStyle w:val="normaltextrun"/>
          <w:rFonts w:ascii="Times New Roman" w:hAnsi="Times New Roman"/>
        </w:rPr>
        <w:t xml:space="preserve"> QC argue</w:t>
      </w:r>
      <w:r w:rsidR="007A5085">
        <w:rPr>
          <w:rStyle w:val="normaltextrun"/>
          <w:rFonts w:ascii="Times New Roman" w:hAnsi="Times New Roman"/>
        </w:rPr>
        <w:t>d</w:t>
      </w:r>
      <w:r w:rsidRPr="00602F08">
        <w:rPr>
          <w:rStyle w:val="normaltextrun"/>
          <w:rFonts w:ascii="Times New Roman" w:hAnsi="Times New Roman"/>
        </w:rPr>
        <w:t>:</w:t>
      </w:r>
    </w:p>
    <w:p w14:paraId="734C2630" w14:textId="77777777" w:rsidR="00815C85" w:rsidRPr="00602F08" w:rsidRDefault="00815C85" w:rsidP="00B6212D">
      <w:pPr>
        <w:pStyle w:val="ListParagraph"/>
        <w:jc w:val="both"/>
        <w:rPr>
          <w:rStyle w:val="normaltextrun"/>
          <w:rFonts w:ascii="Times New Roman" w:hAnsi="Times New Roman"/>
        </w:rPr>
      </w:pPr>
    </w:p>
    <w:p w14:paraId="4B61E3D7" w14:textId="15B7BE5B" w:rsidR="00815C85" w:rsidRPr="00602F08" w:rsidRDefault="00815C85" w:rsidP="00B6212D">
      <w:pPr>
        <w:pStyle w:val="ListParagraph"/>
        <w:ind w:left="1440"/>
        <w:jc w:val="both"/>
        <w:rPr>
          <w:rStyle w:val="normaltextrun"/>
          <w:rFonts w:ascii="Times New Roman" w:hAnsi="Times New Roman"/>
        </w:rPr>
      </w:pPr>
      <w:r w:rsidRPr="00602F08">
        <w:rPr>
          <w:rStyle w:val="normaltextrun"/>
          <w:rFonts w:ascii="Times New Roman" w:hAnsi="Times New Roman"/>
        </w:rPr>
        <w:t>“This is not a case in which it is said that the Regulations are ultra vires; nor has the [Secretary of State] decided not to exercise her powers under section 4(2) and/or 4(5); nor has she adopted a policy of refusing all applications by failed asylum seekers; nor has she imposed insurmountable obstacles to qualifying for s4 support (</w:t>
      </w:r>
      <w:r w:rsidR="00F74D44" w:rsidRPr="00602F08">
        <w:rPr>
          <w:rStyle w:val="normaltextrun"/>
          <w:rFonts w:ascii="Times New Roman" w:hAnsi="Times New Roman"/>
        </w:rPr>
        <w:t>e.g.</w:t>
      </w:r>
      <w:r w:rsidRPr="00602F08">
        <w:rPr>
          <w:rStyle w:val="normaltextrun"/>
          <w:rFonts w:ascii="Times New Roman" w:hAnsi="Times New Roman"/>
        </w:rPr>
        <w:t xml:space="preserve"> by imposing qualifying criteria which would, in practice, be impossible for failed asylum </w:t>
      </w:r>
      <w:r w:rsidR="00F74D44" w:rsidRPr="00602F08">
        <w:rPr>
          <w:rStyle w:val="normaltextrun"/>
          <w:rFonts w:ascii="Times New Roman" w:hAnsi="Times New Roman"/>
        </w:rPr>
        <w:t>seekers</w:t>
      </w:r>
      <w:r w:rsidRPr="00602F08">
        <w:rPr>
          <w:rStyle w:val="normaltextrun"/>
          <w:rFonts w:ascii="Times New Roman" w:hAnsi="Times New Roman"/>
        </w:rPr>
        <w:t xml:space="preserve"> to meet) – such that the policy objectives of section 4(2) would be frustrated (thus engaging the Padfield principle).”</w:t>
      </w:r>
    </w:p>
    <w:p w14:paraId="056E983C" w14:textId="77777777" w:rsidR="00815C85" w:rsidRPr="00602F08" w:rsidRDefault="00815C85" w:rsidP="00B6212D">
      <w:pPr>
        <w:jc w:val="both"/>
        <w:rPr>
          <w:rStyle w:val="normaltextrun"/>
        </w:rPr>
      </w:pPr>
    </w:p>
    <w:p w14:paraId="3F5409AE" w14:textId="1B7523F5" w:rsidR="00755880" w:rsidRPr="00602F08" w:rsidRDefault="00815C85"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 xml:space="preserve">This only goes so far. The </w:t>
      </w:r>
      <w:r w:rsidR="00755880" w:rsidRPr="00602F08">
        <w:rPr>
          <w:rStyle w:val="normaltextrun"/>
          <w:rFonts w:ascii="Times New Roman" w:hAnsi="Times New Roman"/>
        </w:rPr>
        <w:t>Secretary of State</w:t>
      </w:r>
      <w:r w:rsidRPr="00602F08">
        <w:rPr>
          <w:rStyle w:val="normaltextrun"/>
          <w:rFonts w:ascii="Times New Roman" w:hAnsi="Times New Roman"/>
        </w:rPr>
        <w:t xml:space="preserve"> would be deciding not to exercise her powers under section 4(2) such that the policy objectives of section 4(2) would be frustrated (thus engaging the </w:t>
      </w:r>
      <w:r w:rsidRPr="00602F08">
        <w:rPr>
          <w:rStyle w:val="normaltextrun"/>
          <w:rFonts w:ascii="Times New Roman" w:hAnsi="Times New Roman"/>
          <w:u w:val="single"/>
        </w:rPr>
        <w:t>Padfield</w:t>
      </w:r>
      <w:r w:rsidRPr="00602F08">
        <w:rPr>
          <w:rStyle w:val="normaltextrun"/>
          <w:rFonts w:ascii="Times New Roman" w:hAnsi="Times New Roman"/>
        </w:rPr>
        <w:t xml:space="preserve"> principle) if she continued a system which continued the failures evidence</w:t>
      </w:r>
      <w:r w:rsidR="00660E6D" w:rsidRPr="00602F08">
        <w:rPr>
          <w:rStyle w:val="normaltextrun"/>
          <w:rFonts w:ascii="Times New Roman" w:hAnsi="Times New Roman"/>
        </w:rPr>
        <w:t>d in the present proceedings</w:t>
      </w:r>
      <w:r w:rsidRPr="00602F08">
        <w:rPr>
          <w:rStyle w:val="normaltextrun"/>
          <w:rFonts w:ascii="Times New Roman" w:hAnsi="Times New Roman"/>
        </w:rPr>
        <w:t>. There is not so much difference between insisting on a scheme which take</w:t>
      </w:r>
      <w:r w:rsidR="0052112C">
        <w:rPr>
          <w:rStyle w:val="normaltextrun"/>
          <w:rFonts w:ascii="Times New Roman" w:hAnsi="Times New Roman"/>
        </w:rPr>
        <w:t>s</w:t>
      </w:r>
      <w:r w:rsidRPr="00602F08">
        <w:rPr>
          <w:rStyle w:val="normaltextrun"/>
          <w:rFonts w:ascii="Times New Roman" w:hAnsi="Times New Roman"/>
        </w:rPr>
        <w:t xml:space="preserve"> too long and imposing an obstacle in the scheme.</w:t>
      </w:r>
      <w:r w:rsidR="00AA7816" w:rsidRPr="00602F08">
        <w:rPr>
          <w:rStyle w:val="normaltextrun"/>
          <w:rFonts w:ascii="Times New Roman" w:hAnsi="Times New Roman"/>
        </w:rPr>
        <w:t xml:space="preserve"> T</w:t>
      </w:r>
      <w:r w:rsidR="00755880" w:rsidRPr="00602F08">
        <w:rPr>
          <w:rStyle w:val="normaltextrun"/>
          <w:rFonts w:ascii="Times New Roman" w:hAnsi="Times New Roman"/>
        </w:rPr>
        <w:t xml:space="preserve">o decline to improve a system that is failing </w:t>
      </w:r>
      <w:r w:rsidR="00437932">
        <w:rPr>
          <w:rStyle w:val="normaltextrun"/>
          <w:rFonts w:ascii="Times New Roman" w:hAnsi="Times New Roman"/>
        </w:rPr>
        <w:t>to meet the requirements of a duty</w:t>
      </w:r>
      <w:r w:rsidR="006449B3">
        <w:rPr>
          <w:rStyle w:val="normaltextrun"/>
          <w:rFonts w:ascii="Times New Roman" w:hAnsi="Times New Roman"/>
        </w:rPr>
        <w:t>,</w:t>
      </w:r>
      <w:r w:rsidR="00437932">
        <w:rPr>
          <w:rStyle w:val="normaltextrun"/>
          <w:rFonts w:ascii="Times New Roman" w:hAnsi="Times New Roman"/>
        </w:rPr>
        <w:t xml:space="preserve"> </w:t>
      </w:r>
      <w:r w:rsidR="00755880" w:rsidRPr="00602F08">
        <w:rPr>
          <w:rStyle w:val="normaltextrun"/>
          <w:rFonts w:ascii="Times New Roman" w:hAnsi="Times New Roman"/>
        </w:rPr>
        <w:t xml:space="preserve">when </w:t>
      </w:r>
      <w:r w:rsidR="00905E00">
        <w:rPr>
          <w:rStyle w:val="normaltextrun"/>
          <w:rFonts w:ascii="Times New Roman" w:hAnsi="Times New Roman"/>
        </w:rPr>
        <w:t>that system</w:t>
      </w:r>
      <w:r w:rsidR="00755880" w:rsidRPr="00602F08">
        <w:rPr>
          <w:rStyle w:val="normaltextrun"/>
          <w:rFonts w:ascii="Times New Roman" w:hAnsi="Times New Roman"/>
        </w:rPr>
        <w:t xml:space="preserve"> can be improved</w:t>
      </w:r>
      <w:r w:rsidR="006449B3">
        <w:rPr>
          <w:rStyle w:val="normaltextrun"/>
          <w:rFonts w:ascii="Times New Roman" w:hAnsi="Times New Roman"/>
        </w:rPr>
        <w:t>,</w:t>
      </w:r>
      <w:r w:rsidR="00755880" w:rsidRPr="00602F08">
        <w:rPr>
          <w:rStyle w:val="normaltextrun"/>
          <w:rFonts w:ascii="Times New Roman" w:hAnsi="Times New Roman"/>
        </w:rPr>
        <w:t xml:space="preserve"> is equivalent to a decision not to perform a duty; it would be an example of the “deliberate decision to delay” to which Edis J refers.</w:t>
      </w:r>
    </w:p>
    <w:p w14:paraId="7B631E93" w14:textId="77777777" w:rsidR="00815C85" w:rsidRPr="00602F08" w:rsidRDefault="00815C85" w:rsidP="00B6212D">
      <w:pPr>
        <w:jc w:val="both"/>
        <w:rPr>
          <w:rStyle w:val="normaltextrun"/>
        </w:rPr>
      </w:pPr>
    </w:p>
    <w:p w14:paraId="2498E1C5" w14:textId="34005999" w:rsidR="00815C85" w:rsidRPr="00602F08" w:rsidRDefault="00815C85"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The policy objective of section 4(2) is the avoidance of a breach of Article 3, argue</w:t>
      </w:r>
      <w:r w:rsidR="0081681B">
        <w:rPr>
          <w:rStyle w:val="normaltextrun"/>
          <w:rFonts w:ascii="Times New Roman" w:hAnsi="Times New Roman"/>
        </w:rPr>
        <w:t>d</w:t>
      </w:r>
      <w:r w:rsidRPr="00602F08">
        <w:rPr>
          <w:rStyle w:val="normaltextrun"/>
          <w:rFonts w:ascii="Times New Roman" w:hAnsi="Times New Roman"/>
        </w:rPr>
        <w:t xml:space="preserve"> Mr Ta</w:t>
      </w:r>
      <w:r w:rsidR="00645A51" w:rsidRPr="00602F08">
        <w:rPr>
          <w:rStyle w:val="normaltextrun"/>
          <w:rFonts w:ascii="Times New Roman" w:hAnsi="Times New Roman"/>
        </w:rPr>
        <w:t>m</w:t>
      </w:r>
      <w:r w:rsidRPr="00602F08">
        <w:rPr>
          <w:rStyle w:val="normaltextrun"/>
          <w:rFonts w:ascii="Times New Roman" w:hAnsi="Times New Roman"/>
        </w:rPr>
        <w:t xml:space="preserve"> QC. </w:t>
      </w:r>
      <w:r w:rsidR="00FA7A45" w:rsidRPr="00602F08">
        <w:rPr>
          <w:rStyle w:val="normaltextrun"/>
          <w:rFonts w:ascii="Times New Roman" w:hAnsi="Times New Roman"/>
        </w:rPr>
        <w:t xml:space="preserve">In </w:t>
      </w:r>
      <w:r w:rsidR="00FD168F" w:rsidRPr="00602F08">
        <w:rPr>
          <w:rStyle w:val="normaltextrun"/>
          <w:rFonts w:ascii="Times New Roman" w:hAnsi="Times New Roman"/>
        </w:rPr>
        <w:t>my judgment</w:t>
      </w:r>
      <w:r w:rsidR="00FA7A45" w:rsidRPr="00602F08">
        <w:rPr>
          <w:rStyle w:val="normaltextrun"/>
          <w:rFonts w:ascii="Times New Roman" w:hAnsi="Times New Roman"/>
        </w:rPr>
        <w:t>, i</w:t>
      </w:r>
      <w:r w:rsidRPr="00602F08">
        <w:rPr>
          <w:rStyle w:val="normaltextrun"/>
          <w:rFonts w:ascii="Times New Roman" w:hAnsi="Times New Roman"/>
        </w:rPr>
        <w:t>t is this that makes the matter so serious. Mr Goodman add</w:t>
      </w:r>
      <w:r w:rsidR="0081681B">
        <w:rPr>
          <w:rStyle w:val="normaltextrun"/>
          <w:rFonts w:ascii="Times New Roman" w:hAnsi="Times New Roman"/>
        </w:rPr>
        <w:t>ed</w:t>
      </w:r>
      <w:r w:rsidR="00FD168F" w:rsidRPr="00602F08">
        <w:rPr>
          <w:rStyle w:val="normaltextrun"/>
          <w:rFonts w:ascii="Times New Roman" w:hAnsi="Times New Roman"/>
        </w:rPr>
        <w:t xml:space="preserve"> that</w:t>
      </w:r>
      <w:r w:rsidRPr="00602F08">
        <w:rPr>
          <w:rStyle w:val="normaltextrun"/>
          <w:rFonts w:ascii="Times New Roman" w:hAnsi="Times New Roman"/>
        </w:rPr>
        <w:t xml:space="preserve"> it is not the only policy objective; avoiding destitution is a policy objective too. I am not sure that is right</w:t>
      </w:r>
      <w:r w:rsidR="00E1271C" w:rsidRPr="00602F08">
        <w:rPr>
          <w:rStyle w:val="normaltextrun"/>
          <w:rFonts w:ascii="Times New Roman" w:hAnsi="Times New Roman"/>
        </w:rPr>
        <w:t xml:space="preserve"> in the case of section 4(2)</w:t>
      </w:r>
      <w:r w:rsidRPr="00602F08">
        <w:rPr>
          <w:rStyle w:val="normaltextrun"/>
          <w:rFonts w:ascii="Times New Roman" w:hAnsi="Times New Roman"/>
        </w:rPr>
        <w:t xml:space="preserve">, given </w:t>
      </w:r>
      <w:r w:rsidRPr="00602F08">
        <w:rPr>
          <w:rStyle w:val="normaltextrun"/>
          <w:rFonts w:ascii="Times New Roman" w:hAnsi="Times New Roman"/>
          <w:u w:val="single"/>
        </w:rPr>
        <w:t>Limbuela</w:t>
      </w:r>
      <w:r w:rsidRPr="00602F08">
        <w:rPr>
          <w:rStyle w:val="normaltextrun"/>
          <w:rFonts w:ascii="Times New Roman" w:hAnsi="Times New Roman"/>
        </w:rPr>
        <w:t>, save as a</w:t>
      </w:r>
      <w:r w:rsidR="004B22FA">
        <w:rPr>
          <w:rStyle w:val="normaltextrun"/>
          <w:rFonts w:ascii="Times New Roman" w:hAnsi="Times New Roman"/>
        </w:rPr>
        <w:t xml:space="preserve"> route</w:t>
      </w:r>
      <w:r w:rsidRPr="00602F08">
        <w:rPr>
          <w:rStyle w:val="normaltextrun"/>
          <w:rFonts w:ascii="Times New Roman" w:hAnsi="Times New Roman"/>
        </w:rPr>
        <w:t xml:space="preserve"> to avoiding breach of Article 3. But Mr Goodman does not need the added point. In accepting a section 4(2) duty </w:t>
      </w:r>
      <w:r w:rsidR="008B0E82" w:rsidRPr="00602F08">
        <w:rPr>
          <w:rStyle w:val="normaltextrun"/>
          <w:rFonts w:ascii="Times New Roman" w:hAnsi="Times New Roman"/>
        </w:rPr>
        <w:t>to an individual</w:t>
      </w:r>
      <w:r w:rsidRPr="00602F08">
        <w:rPr>
          <w:rStyle w:val="normaltextrun"/>
          <w:rFonts w:ascii="Times New Roman" w:hAnsi="Times New Roman"/>
        </w:rPr>
        <w:t>, the S</w:t>
      </w:r>
      <w:r w:rsidR="00FD168F" w:rsidRPr="00602F08">
        <w:rPr>
          <w:rStyle w:val="normaltextrun"/>
          <w:rFonts w:ascii="Times New Roman" w:hAnsi="Times New Roman"/>
        </w:rPr>
        <w:t>ecretary of State</w:t>
      </w:r>
      <w:r w:rsidRPr="00602F08">
        <w:rPr>
          <w:rStyle w:val="normaltextrun"/>
          <w:rFonts w:ascii="Times New Roman" w:hAnsi="Times New Roman"/>
        </w:rPr>
        <w:t xml:space="preserve"> accep</w:t>
      </w:r>
      <w:r w:rsidR="008B0E82" w:rsidRPr="00602F08">
        <w:rPr>
          <w:rStyle w:val="normaltextrun"/>
          <w:rFonts w:ascii="Times New Roman" w:hAnsi="Times New Roman"/>
        </w:rPr>
        <w:t>ts</w:t>
      </w:r>
      <w:r w:rsidRPr="00602F08">
        <w:rPr>
          <w:rStyle w:val="normaltextrun"/>
          <w:rFonts w:ascii="Times New Roman" w:hAnsi="Times New Roman"/>
        </w:rPr>
        <w:t xml:space="preserve"> </w:t>
      </w:r>
      <w:r w:rsidR="008B0E82" w:rsidRPr="00602F08">
        <w:rPr>
          <w:rStyle w:val="normaltextrun"/>
          <w:rFonts w:ascii="Times New Roman" w:hAnsi="Times New Roman"/>
        </w:rPr>
        <w:t xml:space="preserve">that </w:t>
      </w:r>
      <w:r w:rsidR="00267FF6" w:rsidRPr="00602F08">
        <w:rPr>
          <w:rStyle w:val="normaltextrun"/>
          <w:rFonts w:ascii="Times New Roman" w:hAnsi="Times New Roman"/>
        </w:rPr>
        <w:t xml:space="preserve">there </w:t>
      </w:r>
      <w:r w:rsidR="008B0E82" w:rsidRPr="00602F08">
        <w:rPr>
          <w:rStyle w:val="normaltextrun"/>
          <w:rFonts w:ascii="Times New Roman" w:hAnsi="Times New Roman"/>
        </w:rPr>
        <w:t>is</w:t>
      </w:r>
      <w:r w:rsidRPr="00602F08">
        <w:rPr>
          <w:rStyle w:val="normaltextrun"/>
          <w:rFonts w:ascii="Times New Roman" w:hAnsi="Times New Roman"/>
        </w:rPr>
        <w:t xml:space="preserve"> an imminent risk of breach of Article 3. </w:t>
      </w:r>
    </w:p>
    <w:p w14:paraId="1819F97E" w14:textId="77777777" w:rsidR="00815C85" w:rsidRPr="00602F08" w:rsidRDefault="00815C85" w:rsidP="00B6212D">
      <w:pPr>
        <w:jc w:val="both"/>
        <w:rPr>
          <w:rStyle w:val="normaltextrun"/>
        </w:rPr>
      </w:pPr>
    </w:p>
    <w:p w14:paraId="37850FB8" w14:textId="4D3899E1" w:rsidR="00815C85" w:rsidRPr="00602F08" w:rsidRDefault="00815C85"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rPr>
        <w:t>Mr Ta</w:t>
      </w:r>
      <w:r w:rsidR="00645A51" w:rsidRPr="00602F08">
        <w:rPr>
          <w:rStyle w:val="normaltextrun"/>
          <w:rFonts w:ascii="Times New Roman" w:hAnsi="Times New Roman"/>
        </w:rPr>
        <w:t>m</w:t>
      </w:r>
      <w:r w:rsidRPr="00602F08">
        <w:rPr>
          <w:rStyle w:val="normaltextrun"/>
          <w:rFonts w:ascii="Times New Roman" w:hAnsi="Times New Roman"/>
        </w:rPr>
        <w:t xml:space="preserve"> QC </w:t>
      </w:r>
      <w:r w:rsidR="004431B9" w:rsidRPr="00602F08">
        <w:rPr>
          <w:rStyle w:val="normaltextrun"/>
          <w:rFonts w:ascii="Times New Roman" w:hAnsi="Times New Roman"/>
        </w:rPr>
        <w:t>suggest</w:t>
      </w:r>
      <w:r w:rsidR="0069721B">
        <w:rPr>
          <w:rStyle w:val="normaltextrun"/>
          <w:rFonts w:ascii="Times New Roman" w:hAnsi="Times New Roman"/>
        </w:rPr>
        <w:t>ed</w:t>
      </w:r>
      <w:r w:rsidR="004431B9" w:rsidRPr="00602F08">
        <w:rPr>
          <w:rStyle w:val="normaltextrun"/>
          <w:rFonts w:ascii="Times New Roman" w:hAnsi="Times New Roman"/>
        </w:rPr>
        <w:t xml:space="preserve"> that</w:t>
      </w:r>
      <w:r w:rsidRPr="00602F08">
        <w:rPr>
          <w:rStyle w:val="normaltextrun"/>
          <w:rFonts w:ascii="Times New Roman" w:hAnsi="Times New Roman"/>
        </w:rPr>
        <w:t>:</w:t>
      </w:r>
    </w:p>
    <w:p w14:paraId="06B8E17C" w14:textId="77777777" w:rsidR="00815C85" w:rsidRPr="00602F08" w:rsidRDefault="00815C85" w:rsidP="00B6212D">
      <w:pPr>
        <w:ind w:left="1440"/>
        <w:jc w:val="both"/>
        <w:rPr>
          <w:rStyle w:val="normaltextrun"/>
        </w:rPr>
      </w:pPr>
    </w:p>
    <w:p w14:paraId="7DAF0B24" w14:textId="77777777" w:rsidR="00815C85" w:rsidRPr="00602F08" w:rsidRDefault="00815C85" w:rsidP="00B6212D">
      <w:pPr>
        <w:ind w:left="1440"/>
        <w:jc w:val="both"/>
        <w:rPr>
          <w:rStyle w:val="normaltextrun"/>
        </w:rPr>
      </w:pPr>
      <w:r w:rsidRPr="00602F08">
        <w:rPr>
          <w:rStyle w:val="normaltextrun"/>
        </w:rPr>
        <w:t>“The mere fact that [the Secretary of State] is dealing with thousands of applications for s4 support each month and providing s4 accommodation to all those who qualify, …. (even if there is delay in dealing with some applications) makes it clear that the [Secretary of State] is exercising her powers under section 4(2) to promote the relevant policy objectives”.</w:t>
      </w:r>
    </w:p>
    <w:p w14:paraId="3F4B4DA7" w14:textId="77777777" w:rsidR="00815C85" w:rsidRPr="00602F08" w:rsidRDefault="00815C85" w:rsidP="00B6212D">
      <w:pPr>
        <w:ind w:left="1440"/>
        <w:jc w:val="both"/>
        <w:rPr>
          <w:rStyle w:val="normaltextrun"/>
        </w:rPr>
      </w:pPr>
    </w:p>
    <w:p w14:paraId="2418C786" w14:textId="4324E43E" w:rsidR="00815C85" w:rsidRPr="00602F08" w:rsidRDefault="00815C85" w:rsidP="00B6212D">
      <w:pPr>
        <w:ind w:left="687"/>
        <w:jc w:val="both"/>
        <w:rPr>
          <w:rStyle w:val="normaltextrun"/>
        </w:rPr>
      </w:pPr>
      <w:r w:rsidRPr="00602F08">
        <w:rPr>
          <w:rStyle w:val="normaltextrun"/>
        </w:rPr>
        <w:t xml:space="preserve">However, this is to say only that the Secretary of State is not exercising her powers for some ulterior purpose. It does not mean </w:t>
      </w:r>
      <w:r w:rsidR="00306B7C" w:rsidRPr="00602F08">
        <w:rPr>
          <w:rStyle w:val="normaltextrun"/>
        </w:rPr>
        <w:t xml:space="preserve">that, through her officials, </w:t>
      </w:r>
      <w:r w:rsidRPr="00602F08">
        <w:rPr>
          <w:rStyle w:val="normaltextrun"/>
        </w:rPr>
        <w:t>she is fulfilling her duty</w:t>
      </w:r>
      <w:r w:rsidR="004431B9" w:rsidRPr="00602F08">
        <w:rPr>
          <w:rStyle w:val="normaltextrun"/>
        </w:rPr>
        <w:t>.</w:t>
      </w:r>
    </w:p>
    <w:p w14:paraId="36B79087" w14:textId="77777777" w:rsidR="00531CC4" w:rsidRPr="00602F08" w:rsidRDefault="00531CC4" w:rsidP="00B6212D">
      <w:pPr>
        <w:pStyle w:val="ListParagraph"/>
        <w:ind w:left="687"/>
        <w:jc w:val="both"/>
        <w:rPr>
          <w:rStyle w:val="normaltextrun"/>
          <w:rFonts w:ascii="Times New Roman" w:hAnsi="Times New Roman"/>
        </w:rPr>
      </w:pPr>
    </w:p>
    <w:p w14:paraId="014E0041" w14:textId="2E8F2E36" w:rsidR="00482A67" w:rsidRPr="00602F08" w:rsidRDefault="004376AE" w:rsidP="00B6212D">
      <w:pPr>
        <w:numPr>
          <w:ilvl w:val="0"/>
          <w:numId w:val="10"/>
        </w:numPr>
        <w:jc w:val="both"/>
        <w:rPr>
          <w:rStyle w:val="normaltextrun"/>
          <w:lang w:val="en-US"/>
        </w:rPr>
      </w:pPr>
      <w:r w:rsidRPr="00602F08">
        <w:rPr>
          <w:rStyle w:val="normaltextrun"/>
          <w:lang w:val="en-US"/>
        </w:rPr>
        <w:t>T</w:t>
      </w:r>
      <w:r w:rsidR="007E1B8B" w:rsidRPr="00602F08">
        <w:rPr>
          <w:rStyle w:val="normaltextrun"/>
          <w:lang w:val="en-US"/>
        </w:rPr>
        <w:t>he claimants</w:t>
      </w:r>
      <w:r w:rsidR="00A32F19" w:rsidRPr="00602F08">
        <w:rPr>
          <w:rStyle w:val="normaltextrun"/>
          <w:lang w:val="en-US"/>
        </w:rPr>
        <w:t>’</w:t>
      </w:r>
      <w:r w:rsidR="007E1B8B" w:rsidRPr="00602F08">
        <w:rPr>
          <w:rStyle w:val="normaltextrun"/>
          <w:lang w:val="en-US"/>
        </w:rPr>
        <w:t xml:space="preserve"> cases</w:t>
      </w:r>
      <w:r w:rsidR="006C4315" w:rsidRPr="00602F08">
        <w:rPr>
          <w:rStyle w:val="normaltextrun"/>
          <w:lang w:val="en-US"/>
        </w:rPr>
        <w:t>, and the figures provided to the court,</w:t>
      </w:r>
      <w:r w:rsidR="007E1B8B" w:rsidRPr="00602F08">
        <w:rPr>
          <w:rStyle w:val="normaltextrun"/>
          <w:lang w:val="en-US"/>
        </w:rPr>
        <w:t xml:space="preserve"> show that the </w:t>
      </w:r>
      <w:r w:rsidR="00AE03E3" w:rsidRPr="00602F08">
        <w:rPr>
          <w:rStyle w:val="normaltextrun"/>
          <w:lang w:val="en-US"/>
        </w:rPr>
        <w:t xml:space="preserve">monitoring </w:t>
      </w:r>
      <w:r w:rsidR="00580048" w:rsidRPr="00602F08">
        <w:rPr>
          <w:rStyle w:val="normaltextrun"/>
          <w:lang w:val="en-US"/>
        </w:rPr>
        <w:t>arrangements either did not happen or do not work.</w:t>
      </w:r>
      <w:r w:rsidR="0005212C" w:rsidRPr="00602F08">
        <w:rPr>
          <w:rStyle w:val="normaltextrun"/>
          <w:lang w:val="en-US"/>
        </w:rPr>
        <w:t xml:space="preserve"> Had they done so</w:t>
      </w:r>
      <w:r w:rsidR="00E05B09" w:rsidRPr="00602F08">
        <w:rPr>
          <w:rStyle w:val="normaltextrun"/>
          <w:lang w:val="en-US"/>
        </w:rPr>
        <w:t>,</w:t>
      </w:r>
      <w:r w:rsidR="0005212C" w:rsidRPr="00602F08">
        <w:rPr>
          <w:rStyle w:val="normaltextrun"/>
          <w:lang w:val="en-US"/>
        </w:rPr>
        <w:t xml:space="preserve"> what went wrong in the claimants’ cases could be explained now and could have been tackled at the time.</w:t>
      </w:r>
      <w:r w:rsidR="00411CFF" w:rsidRPr="00602F08">
        <w:rPr>
          <w:rStyle w:val="normaltextrun"/>
          <w:lang w:val="en-US"/>
        </w:rPr>
        <w:t xml:space="preserve"> </w:t>
      </w:r>
      <w:r w:rsidR="007E1B8B" w:rsidRPr="00602F08">
        <w:rPr>
          <w:rStyle w:val="normaltextrun"/>
          <w:lang w:val="en-US"/>
        </w:rPr>
        <w:t>Th</w:t>
      </w:r>
      <w:r w:rsidR="00411CFF" w:rsidRPr="00602F08">
        <w:rPr>
          <w:rStyle w:val="normaltextrun"/>
          <w:lang w:val="en-US"/>
        </w:rPr>
        <w:t>is includes the</w:t>
      </w:r>
      <w:r w:rsidR="007E1B8B" w:rsidRPr="00602F08">
        <w:rPr>
          <w:rStyle w:val="normaltextrun"/>
          <w:lang w:val="en-US"/>
        </w:rPr>
        <w:t xml:space="preserve"> hourly checks by “Home Office employees for changes of request status</w:t>
      </w:r>
      <w:r w:rsidR="00411CFF" w:rsidRPr="00602F08">
        <w:rPr>
          <w:rStyle w:val="normaltextrun"/>
          <w:lang w:val="en-US"/>
        </w:rPr>
        <w:t>”</w:t>
      </w:r>
      <w:r w:rsidR="007E1B8B" w:rsidRPr="00602F08">
        <w:rPr>
          <w:rStyle w:val="normaltextrun"/>
          <w:lang w:val="en-US"/>
        </w:rPr>
        <w:t xml:space="preserve"> to which Mr Bilb</w:t>
      </w:r>
      <w:r w:rsidR="00411CFF" w:rsidRPr="00602F08">
        <w:rPr>
          <w:rStyle w:val="normaltextrun"/>
          <w:lang w:val="en-US"/>
        </w:rPr>
        <w:t xml:space="preserve">ao refers, the </w:t>
      </w:r>
      <w:r w:rsidR="00C25E16" w:rsidRPr="00602F08">
        <w:rPr>
          <w:rStyle w:val="normaltextrun"/>
          <w:lang w:val="en-US"/>
        </w:rPr>
        <w:t>reporting</w:t>
      </w:r>
      <w:r w:rsidR="007E1B8B" w:rsidRPr="00602F08">
        <w:rPr>
          <w:rStyle w:val="normaltextrun"/>
          <w:lang w:val="en-US"/>
        </w:rPr>
        <w:t xml:space="preserve"> to which Ms Mclean </w:t>
      </w:r>
      <w:r w:rsidR="00C25E16" w:rsidRPr="00602F08">
        <w:rPr>
          <w:rStyle w:val="normaltextrun"/>
          <w:lang w:val="en-US"/>
        </w:rPr>
        <w:t xml:space="preserve">and Mr Bilbao </w:t>
      </w:r>
      <w:r w:rsidR="007E1B8B" w:rsidRPr="00602F08">
        <w:rPr>
          <w:rStyle w:val="normaltextrun"/>
          <w:lang w:val="en-US"/>
        </w:rPr>
        <w:t>refer</w:t>
      </w:r>
      <w:r w:rsidR="00C25E16" w:rsidRPr="00602F08">
        <w:rPr>
          <w:rStyle w:val="normaltextrun"/>
          <w:lang w:val="en-US"/>
        </w:rPr>
        <w:t>,</w:t>
      </w:r>
      <w:r w:rsidR="00771DC1" w:rsidRPr="00602F08">
        <w:rPr>
          <w:rStyle w:val="normaltextrun"/>
          <w:lang w:val="en-US"/>
        </w:rPr>
        <w:t xml:space="preserve"> and the</w:t>
      </w:r>
      <w:r w:rsidR="007E1B8B" w:rsidRPr="00602F08">
        <w:rPr>
          <w:rStyle w:val="normaltextrun"/>
          <w:lang w:val="en-US"/>
        </w:rPr>
        <w:t xml:space="preserve"> Home Office “inspection and compliance activities” to which Mr </w:t>
      </w:r>
      <w:r w:rsidR="00771DC1" w:rsidRPr="00602F08">
        <w:rPr>
          <w:rStyle w:val="normaltextrun"/>
          <w:lang w:val="en-US"/>
        </w:rPr>
        <w:t>Bilbao refers.</w:t>
      </w:r>
    </w:p>
    <w:p w14:paraId="0ABC0EC7" w14:textId="77777777" w:rsidR="00EC071C" w:rsidRPr="00602F08" w:rsidRDefault="00EC071C" w:rsidP="00B6212D">
      <w:pPr>
        <w:jc w:val="both"/>
        <w:rPr>
          <w:rStyle w:val="eop"/>
          <w:lang w:val="en-US"/>
        </w:rPr>
      </w:pPr>
    </w:p>
    <w:p w14:paraId="7DCE12B3" w14:textId="00C17C4A" w:rsidR="00C754D2" w:rsidRPr="00602F08" w:rsidRDefault="00F12272" w:rsidP="00B6212D">
      <w:pPr>
        <w:numPr>
          <w:ilvl w:val="0"/>
          <w:numId w:val="10"/>
        </w:numPr>
        <w:jc w:val="both"/>
        <w:rPr>
          <w:rStyle w:val="normaltextrun"/>
          <w:lang w:val="en-US"/>
        </w:rPr>
      </w:pPr>
      <w:r w:rsidRPr="00602F08">
        <w:rPr>
          <w:rStyle w:val="normaltextrun"/>
        </w:rPr>
        <w:t>On behalf of the</w:t>
      </w:r>
      <w:r w:rsidR="00EC071C" w:rsidRPr="00602F08">
        <w:rPr>
          <w:rStyle w:val="normaltextrun"/>
        </w:rPr>
        <w:t xml:space="preserve"> Secretary of State</w:t>
      </w:r>
      <w:r w:rsidR="000B6B6D">
        <w:rPr>
          <w:rStyle w:val="normaltextrun"/>
        </w:rPr>
        <w:t>,</w:t>
      </w:r>
      <w:r w:rsidR="00EC071C" w:rsidRPr="00602F08">
        <w:rPr>
          <w:rStyle w:val="normaltextrun"/>
        </w:rPr>
        <w:t xml:space="preserve"> </w:t>
      </w:r>
      <w:r w:rsidRPr="00602F08">
        <w:rPr>
          <w:rStyle w:val="normaltextrun"/>
        </w:rPr>
        <w:t xml:space="preserve">it is </w:t>
      </w:r>
      <w:r w:rsidR="00652567">
        <w:rPr>
          <w:rStyle w:val="normaltextrun"/>
        </w:rPr>
        <w:t xml:space="preserve">also </w:t>
      </w:r>
      <w:r w:rsidR="00EC071C" w:rsidRPr="00602F08">
        <w:rPr>
          <w:rStyle w:val="normaltextrun"/>
        </w:rPr>
        <w:t>contend</w:t>
      </w:r>
      <w:r w:rsidRPr="00602F08">
        <w:rPr>
          <w:rStyle w:val="normaltextrun"/>
        </w:rPr>
        <w:t>ed</w:t>
      </w:r>
      <w:r w:rsidR="00EC071C" w:rsidRPr="00602F08">
        <w:rPr>
          <w:rStyle w:val="normaltextrun"/>
        </w:rPr>
        <w:t xml:space="preserve"> that t</w:t>
      </w:r>
      <w:r w:rsidR="00176BF9" w:rsidRPr="00602F08">
        <w:rPr>
          <w:rStyle w:val="normaltextrun"/>
        </w:rPr>
        <w:t xml:space="preserve">he scope of </w:t>
      </w:r>
      <w:r w:rsidR="00A20CEC" w:rsidRPr="00602F08">
        <w:rPr>
          <w:rStyle w:val="normaltextrun"/>
        </w:rPr>
        <w:t>her</w:t>
      </w:r>
      <w:r w:rsidR="00176BF9" w:rsidRPr="00602F08">
        <w:rPr>
          <w:rStyle w:val="normaltextrun"/>
        </w:rPr>
        <w:t xml:space="preserve"> duties </w:t>
      </w:r>
      <w:r w:rsidR="00EC071C" w:rsidRPr="00602F08">
        <w:rPr>
          <w:rStyle w:val="normaltextrun"/>
        </w:rPr>
        <w:t xml:space="preserve">by reference to the </w:t>
      </w:r>
      <w:r w:rsidR="00EC071C" w:rsidRPr="00602F08">
        <w:rPr>
          <w:rStyle w:val="normaltextrun"/>
          <w:u w:val="single"/>
        </w:rPr>
        <w:t>Padfield</w:t>
      </w:r>
      <w:r w:rsidR="00EC071C" w:rsidRPr="00602F08">
        <w:rPr>
          <w:rStyle w:val="normaltextrun"/>
        </w:rPr>
        <w:t xml:space="preserve"> principle, common law and Article 3</w:t>
      </w:r>
      <w:r w:rsidR="000B6B6D">
        <w:rPr>
          <w:rStyle w:val="normaltextrun"/>
        </w:rPr>
        <w:t>,</w:t>
      </w:r>
      <w:r w:rsidR="00EC071C" w:rsidRPr="00602F08">
        <w:rPr>
          <w:rStyle w:val="normaltextrun"/>
        </w:rPr>
        <w:t xml:space="preserve"> </w:t>
      </w:r>
      <w:r w:rsidR="00176BF9" w:rsidRPr="00602F08">
        <w:rPr>
          <w:rStyle w:val="normaltextrun"/>
        </w:rPr>
        <w:t xml:space="preserve">and </w:t>
      </w:r>
      <w:r w:rsidR="00BA75D3" w:rsidRPr="00602F08">
        <w:rPr>
          <w:rStyle w:val="normaltextrun"/>
        </w:rPr>
        <w:t xml:space="preserve">the question </w:t>
      </w:r>
      <w:r w:rsidR="00176BF9" w:rsidRPr="00602F08">
        <w:rPr>
          <w:rStyle w:val="normaltextrun"/>
        </w:rPr>
        <w:t>whether those duties have been breached</w:t>
      </w:r>
      <w:r w:rsidR="000B6B6D">
        <w:rPr>
          <w:rStyle w:val="normaltextrun"/>
        </w:rPr>
        <w:t>,</w:t>
      </w:r>
      <w:r w:rsidR="00176BF9" w:rsidRPr="00602F08">
        <w:rPr>
          <w:rStyle w:val="normaltextrun"/>
        </w:rPr>
        <w:t xml:space="preserve"> </w:t>
      </w:r>
      <w:r w:rsidR="00BA75D3" w:rsidRPr="00602F08">
        <w:rPr>
          <w:rStyle w:val="normaltextrun"/>
        </w:rPr>
        <w:t>“</w:t>
      </w:r>
      <w:r w:rsidR="00176BF9" w:rsidRPr="00602F08">
        <w:rPr>
          <w:rStyle w:val="normaltextrun"/>
        </w:rPr>
        <w:t xml:space="preserve">are wholly independent of and not concerned, in any way with, or informed by, what KPIs may or may not have been agreed on a commercial basis between </w:t>
      </w:r>
      <w:r w:rsidR="00DB6174" w:rsidRPr="00602F08">
        <w:rPr>
          <w:rStyle w:val="normaltextrun"/>
        </w:rPr>
        <w:t>[the Secretary of State]</w:t>
      </w:r>
      <w:r w:rsidR="00176BF9" w:rsidRPr="00602F08">
        <w:rPr>
          <w:rStyle w:val="normaltextrun"/>
        </w:rPr>
        <w:t xml:space="preserve"> and the third-party accommodation providers in a highly competitive marketplace</w:t>
      </w:r>
      <w:r w:rsidR="00BA75D3" w:rsidRPr="00602F08">
        <w:rPr>
          <w:rStyle w:val="normaltextrun"/>
        </w:rPr>
        <w:t>”</w:t>
      </w:r>
      <w:r w:rsidR="00176BF9" w:rsidRPr="00602F08">
        <w:rPr>
          <w:rStyle w:val="normaltextrun"/>
        </w:rPr>
        <w:t>.</w:t>
      </w:r>
      <w:r w:rsidR="00BA75D3" w:rsidRPr="00602F08">
        <w:rPr>
          <w:rStyle w:val="normaltextrun"/>
        </w:rPr>
        <w:t xml:space="preserve"> </w:t>
      </w:r>
    </w:p>
    <w:p w14:paraId="65B061F3" w14:textId="77777777" w:rsidR="00C754D2" w:rsidRPr="00602F08" w:rsidRDefault="00C754D2" w:rsidP="00B6212D">
      <w:pPr>
        <w:pStyle w:val="ListParagraph"/>
        <w:jc w:val="both"/>
        <w:rPr>
          <w:rStyle w:val="normaltextrun"/>
          <w:rFonts w:ascii="Times New Roman" w:hAnsi="Times New Roman"/>
        </w:rPr>
      </w:pPr>
    </w:p>
    <w:p w14:paraId="5B3F700F" w14:textId="7D917C66" w:rsidR="00ED4AE2" w:rsidRPr="00602F08" w:rsidRDefault="007D6FE8" w:rsidP="00B6212D">
      <w:pPr>
        <w:numPr>
          <w:ilvl w:val="0"/>
          <w:numId w:val="10"/>
        </w:numPr>
        <w:jc w:val="both"/>
        <w:rPr>
          <w:lang w:val="en-US"/>
        </w:rPr>
      </w:pPr>
      <w:r>
        <w:rPr>
          <w:rStyle w:val="normaltextrun"/>
        </w:rPr>
        <w:t>This is correct</w:t>
      </w:r>
      <w:r w:rsidR="00652567">
        <w:rPr>
          <w:rStyle w:val="normaltextrun"/>
        </w:rPr>
        <w:t xml:space="preserve"> in the sense</w:t>
      </w:r>
      <w:r w:rsidR="009A2004">
        <w:rPr>
          <w:rStyle w:val="normaltextrun"/>
        </w:rPr>
        <w:t xml:space="preserve"> that </w:t>
      </w:r>
      <w:r w:rsidR="00AF368E">
        <w:rPr>
          <w:rStyle w:val="normaltextrun"/>
        </w:rPr>
        <w:t xml:space="preserve">monitoring </w:t>
      </w:r>
      <w:r w:rsidR="00461AD3">
        <w:rPr>
          <w:rStyle w:val="normaltextrun"/>
        </w:rPr>
        <w:t>for</w:t>
      </w:r>
      <w:r w:rsidR="00AF368E">
        <w:rPr>
          <w:rStyle w:val="normaltextrun"/>
        </w:rPr>
        <w:t xml:space="preserve"> compliance with a contractual KPI is not monitoring </w:t>
      </w:r>
      <w:r w:rsidR="00461AD3">
        <w:rPr>
          <w:rStyle w:val="normaltextrun"/>
        </w:rPr>
        <w:t>for</w:t>
      </w:r>
      <w:r w:rsidR="00AF368E">
        <w:rPr>
          <w:rStyle w:val="normaltextrun"/>
        </w:rPr>
        <w:t xml:space="preserve"> compliance with </w:t>
      </w:r>
      <w:r w:rsidR="00F51B40">
        <w:rPr>
          <w:rStyle w:val="normaltextrun"/>
        </w:rPr>
        <w:t>a Minister’s legal duty. However</w:t>
      </w:r>
      <w:r w:rsidR="0028215C">
        <w:rPr>
          <w:rStyle w:val="normaltextrun"/>
        </w:rPr>
        <w:t>,</w:t>
      </w:r>
      <w:r w:rsidR="00F51B40">
        <w:rPr>
          <w:rStyle w:val="normaltextrun"/>
        </w:rPr>
        <w:t xml:space="preserve"> the</w:t>
      </w:r>
      <w:r w:rsidR="00BA75D3" w:rsidRPr="00602F08">
        <w:rPr>
          <w:rStyle w:val="normaltextrun"/>
        </w:rPr>
        <w:t xml:space="preserve"> </w:t>
      </w:r>
      <w:r w:rsidR="00366358">
        <w:rPr>
          <w:rStyle w:val="normaltextrun"/>
        </w:rPr>
        <w:t xml:space="preserve">suggestion that the </w:t>
      </w:r>
      <w:r w:rsidR="000A1109">
        <w:rPr>
          <w:rStyle w:val="normaltextrun"/>
        </w:rPr>
        <w:t xml:space="preserve">monitoring </w:t>
      </w:r>
      <w:r w:rsidR="00753909">
        <w:rPr>
          <w:rStyle w:val="normaltextrun"/>
        </w:rPr>
        <w:t>for</w:t>
      </w:r>
      <w:r w:rsidR="000A1109">
        <w:rPr>
          <w:rStyle w:val="normaltextrun"/>
        </w:rPr>
        <w:t xml:space="preserve"> compliance of </w:t>
      </w:r>
      <w:r w:rsidR="00366358">
        <w:rPr>
          <w:rStyle w:val="normaltextrun"/>
        </w:rPr>
        <w:t>one</w:t>
      </w:r>
      <w:r w:rsidR="000A1109">
        <w:rPr>
          <w:rStyle w:val="normaltextrun"/>
        </w:rPr>
        <w:t xml:space="preserve"> is</w:t>
      </w:r>
      <w:r w:rsidR="00366358">
        <w:rPr>
          <w:rStyle w:val="normaltextrun"/>
        </w:rPr>
        <w:t xml:space="preserve"> not informed by the other </w:t>
      </w:r>
      <w:r w:rsidR="00BA75D3" w:rsidRPr="00602F08">
        <w:rPr>
          <w:rStyle w:val="normaltextrun"/>
        </w:rPr>
        <w:t xml:space="preserve">cannot be accepted </w:t>
      </w:r>
      <w:r w:rsidR="00AA3AA7" w:rsidRPr="00602F08">
        <w:rPr>
          <w:rStyle w:val="normaltextrun"/>
        </w:rPr>
        <w:t>for</w:t>
      </w:r>
      <w:r w:rsidR="00E1677D" w:rsidRPr="00602F08">
        <w:rPr>
          <w:rStyle w:val="normaltextrun"/>
        </w:rPr>
        <w:t xml:space="preserve"> </w:t>
      </w:r>
      <w:r w:rsidR="00AA3AA7" w:rsidRPr="00602F08">
        <w:rPr>
          <w:rStyle w:val="normaltextrun"/>
        </w:rPr>
        <w:t>a KPI that</w:t>
      </w:r>
      <w:r w:rsidR="0087623A" w:rsidRPr="00602F08">
        <w:rPr>
          <w:rStyle w:val="normaltextrun"/>
        </w:rPr>
        <w:t xml:space="preserve"> measures the timely performance of the </w:t>
      </w:r>
      <w:r w:rsidR="00ED4AE2" w:rsidRPr="00602F08">
        <w:rPr>
          <w:rStyle w:val="normaltextrun"/>
        </w:rPr>
        <w:t xml:space="preserve">section 4(2) </w:t>
      </w:r>
      <w:r w:rsidR="0087623A" w:rsidRPr="00602F08">
        <w:rPr>
          <w:rStyle w:val="normaltextrun"/>
        </w:rPr>
        <w:t xml:space="preserve">duty to </w:t>
      </w:r>
      <w:r w:rsidR="00E97223" w:rsidRPr="00602F08">
        <w:rPr>
          <w:rStyle w:val="normaltextrun"/>
        </w:rPr>
        <w:t xml:space="preserve">provide </w:t>
      </w:r>
      <w:r w:rsidR="0087623A" w:rsidRPr="00602F08">
        <w:rPr>
          <w:rStyle w:val="normaltextrun"/>
        </w:rPr>
        <w:t>accommodat</w:t>
      </w:r>
      <w:r w:rsidR="00E97223" w:rsidRPr="00602F08">
        <w:rPr>
          <w:rStyle w:val="normaltextrun"/>
        </w:rPr>
        <w:t>ion</w:t>
      </w:r>
      <w:r w:rsidR="00926EEE">
        <w:rPr>
          <w:rStyle w:val="normaltextrun"/>
        </w:rPr>
        <w:t xml:space="preserve">. </w:t>
      </w:r>
      <w:r w:rsidR="00BB4965">
        <w:rPr>
          <w:rStyle w:val="normaltextrun"/>
        </w:rPr>
        <w:t>I</w:t>
      </w:r>
      <w:r w:rsidR="00643E4D" w:rsidRPr="00602F08">
        <w:rPr>
          <w:rStyle w:val="normaltextrun"/>
        </w:rPr>
        <w:t>t is meas</w:t>
      </w:r>
      <w:r w:rsidR="00DD5349" w:rsidRPr="00602F08">
        <w:rPr>
          <w:rStyle w:val="normaltextrun"/>
        </w:rPr>
        <w:t xml:space="preserve">uring the </w:t>
      </w:r>
      <w:r w:rsidR="00FC0067" w:rsidRPr="00602F08">
        <w:rPr>
          <w:rStyle w:val="normaltextrun"/>
        </w:rPr>
        <w:t xml:space="preserve">same </w:t>
      </w:r>
      <w:r w:rsidR="000B0FE9">
        <w:rPr>
          <w:rStyle w:val="normaltextrun"/>
        </w:rPr>
        <w:t>subject area</w:t>
      </w:r>
      <w:r w:rsidR="00FC0067" w:rsidRPr="00602F08">
        <w:rPr>
          <w:rStyle w:val="normaltextrun"/>
        </w:rPr>
        <w:t xml:space="preserve"> that arises at law</w:t>
      </w:r>
      <w:r w:rsidR="00BB4965">
        <w:rPr>
          <w:rStyle w:val="normaltextrun"/>
        </w:rPr>
        <w:t xml:space="preserve"> even if the requirement of the law is more rigorous than the requirement of the contract</w:t>
      </w:r>
      <w:r w:rsidR="0087623A" w:rsidRPr="00602F08">
        <w:rPr>
          <w:rStyle w:val="normaltextrun"/>
        </w:rPr>
        <w:t>.</w:t>
      </w:r>
      <w:r w:rsidR="00176BF9" w:rsidRPr="00602F08">
        <w:rPr>
          <w:rStyle w:val="normaltextrun"/>
        </w:rPr>
        <w:t> </w:t>
      </w:r>
      <w:r w:rsidR="00A8509A">
        <w:rPr>
          <w:rStyle w:val="normaltextrun"/>
        </w:rPr>
        <w:t xml:space="preserve">This is why it is not surprising to find </w:t>
      </w:r>
      <w:r w:rsidR="000B0FE9">
        <w:rPr>
          <w:rStyle w:val="normaltextrun"/>
        </w:rPr>
        <w:t>the argument</w:t>
      </w:r>
      <w:r w:rsidR="00A8509A">
        <w:rPr>
          <w:rStyle w:val="normaltextrun"/>
        </w:rPr>
        <w:t xml:space="preserve"> on behalf of the Secretary of State </w:t>
      </w:r>
      <w:r w:rsidR="000B0FE9">
        <w:rPr>
          <w:rStyle w:val="normaltextrun"/>
        </w:rPr>
        <w:t xml:space="preserve">referring </w:t>
      </w:r>
      <w:r w:rsidR="00A8509A">
        <w:rPr>
          <w:rStyle w:val="normaltextrun"/>
        </w:rPr>
        <w:t>to the KPIs; whilst it is surprising to find no real reference on behalf of the Secretary of State to monitoring compliance with her legal duty.</w:t>
      </w:r>
    </w:p>
    <w:p w14:paraId="2CFDC588" w14:textId="7B266075" w:rsidR="00C93CC4" w:rsidRPr="00602F08" w:rsidRDefault="00C93CC4" w:rsidP="00B6212D">
      <w:pPr>
        <w:jc w:val="both"/>
        <w:rPr>
          <w:lang w:val="en-US"/>
        </w:rPr>
      </w:pPr>
    </w:p>
    <w:p w14:paraId="0A4F62DE" w14:textId="77777777" w:rsidR="00DC45A6" w:rsidRPr="00602F08" w:rsidRDefault="00DC45A6" w:rsidP="00B6212D">
      <w:pPr>
        <w:jc w:val="both"/>
        <w:rPr>
          <w:lang w:val="en-US"/>
        </w:rPr>
      </w:pPr>
    </w:p>
    <w:p w14:paraId="3BFE2ED8" w14:textId="6C3249F8" w:rsidR="00ED4AE2" w:rsidRPr="00602F08" w:rsidRDefault="00F73CBF" w:rsidP="00B6212D">
      <w:pPr>
        <w:ind w:firstLine="687"/>
        <w:jc w:val="both"/>
        <w:rPr>
          <w:u w:val="single"/>
          <w:lang w:val="en-US"/>
        </w:rPr>
      </w:pPr>
      <w:r w:rsidRPr="00602F08">
        <w:rPr>
          <w:u w:val="single"/>
          <w:lang w:val="en-US"/>
        </w:rPr>
        <w:t>A s</w:t>
      </w:r>
      <w:r w:rsidR="00B1525B" w:rsidRPr="00602F08">
        <w:rPr>
          <w:u w:val="single"/>
          <w:lang w:val="en-US"/>
        </w:rPr>
        <w:t>ystemic issue</w:t>
      </w:r>
      <w:r w:rsidR="00D6035D" w:rsidRPr="00602F08">
        <w:rPr>
          <w:u w:val="single"/>
          <w:lang w:val="en-US"/>
        </w:rPr>
        <w:t xml:space="preserve"> or issues</w:t>
      </w:r>
    </w:p>
    <w:p w14:paraId="53AE8CAC" w14:textId="77777777" w:rsidR="006935F4" w:rsidRPr="00602F08" w:rsidRDefault="006935F4" w:rsidP="00B6212D">
      <w:pPr>
        <w:pStyle w:val="ListParagraph"/>
        <w:ind w:left="687"/>
        <w:jc w:val="both"/>
        <w:rPr>
          <w:rStyle w:val="eop"/>
          <w:rFonts w:ascii="Times New Roman" w:hAnsi="Times New Roman"/>
          <w:lang w:val="en-US"/>
        </w:rPr>
      </w:pPr>
    </w:p>
    <w:p w14:paraId="7908BEA7" w14:textId="79194A20" w:rsidR="00347B26" w:rsidRPr="00471021" w:rsidRDefault="00065366" w:rsidP="00B6212D">
      <w:pPr>
        <w:pStyle w:val="ListParagraph"/>
        <w:numPr>
          <w:ilvl w:val="0"/>
          <w:numId w:val="10"/>
        </w:numPr>
        <w:jc w:val="both"/>
        <w:rPr>
          <w:rStyle w:val="normaltextrun"/>
          <w:rFonts w:ascii="Times New Roman" w:hAnsi="Times New Roman"/>
          <w:lang w:val="en-US"/>
        </w:rPr>
      </w:pPr>
      <w:r>
        <w:rPr>
          <w:rStyle w:val="normaltextrun"/>
          <w:rFonts w:ascii="Times New Roman" w:hAnsi="Times New Roman"/>
        </w:rPr>
        <w:t xml:space="preserve">For the Secretary of State, </w:t>
      </w:r>
      <w:r w:rsidR="00F34AA3" w:rsidRPr="00602F08">
        <w:rPr>
          <w:rStyle w:val="normaltextrun"/>
          <w:rFonts w:ascii="Times New Roman" w:hAnsi="Times New Roman"/>
        </w:rPr>
        <w:t>Mr Ta</w:t>
      </w:r>
      <w:r w:rsidR="00645A51" w:rsidRPr="00602F08">
        <w:rPr>
          <w:rStyle w:val="normaltextrun"/>
          <w:rFonts w:ascii="Times New Roman" w:hAnsi="Times New Roman"/>
        </w:rPr>
        <w:t>m</w:t>
      </w:r>
      <w:r w:rsidR="00F34AA3" w:rsidRPr="00602F08">
        <w:rPr>
          <w:rStyle w:val="normaltextrun"/>
          <w:rFonts w:ascii="Times New Roman" w:hAnsi="Times New Roman"/>
        </w:rPr>
        <w:t xml:space="preserve"> QC argue</w:t>
      </w:r>
      <w:r w:rsidR="009A69E3">
        <w:rPr>
          <w:rStyle w:val="normaltextrun"/>
          <w:rFonts w:ascii="Times New Roman" w:hAnsi="Times New Roman"/>
        </w:rPr>
        <w:t>d</w:t>
      </w:r>
      <w:r w:rsidR="00F34AA3" w:rsidRPr="00602F08">
        <w:rPr>
          <w:rStyle w:val="normaltextrun"/>
          <w:rFonts w:ascii="Times New Roman" w:hAnsi="Times New Roman"/>
        </w:rPr>
        <w:t xml:space="preserve"> that </w:t>
      </w:r>
      <w:r w:rsidR="00605890" w:rsidRPr="00602F08">
        <w:rPr>
          <w:rStyle w:val="normaltextrun"/>
          <w:rFonts w:ascii="Times New Roman" w:hAnsi="Times New Roman"/>
        </w:rPr>
        <w:t>“the diff</w:t>
      </w:r>
      <w:r w:rsidR="00B1525B" w:rsidRPr="00602F08">
        <w:rPr>
          <w:rStyle w:val="normaltextrun"/>
          <w:rFonts w:ascii="Times New Roman" w:hAnsi="Times New Roman"/>
        </w:rPr>
        <w:t>i</w:t>
      </w:r>
      <w:r w:rsidR="00605890" w:rsidRPr="00602F08">
        <w:rPr>
          <w:rStyle w:val="normaltextrun"/>
          <w:rFonts w:ascii="Times New Roman" w:hAnsi="Times New Roman"/>
        </w:rPr>
        <w:t>culties which are the subject of the Claimants’ claims have concerned the practical arrang</w:t>
      </w:r>
      <w:r w:rsidR="00B1525B" w:rsidRPr="00602F08">
        <w:rPr>
          <w:rStyle w:val="normaltextrun"/>
          <w:rFonts w:ascii="Times New Roman" w:hAnsi="Times New Roman"/>
        </w:rPr>
        <w:t>e</w:t>
      </w:r>
      <w:r w:rsidR="00605890" w:rsidRPr="00602F08">
        <w:rPr>
          <w:rStyle w:val="normaltextrun"/>
          <w:rFonts w:ascii="Times New Roman" w:hAnsi="Times New Roman"/>
        </w:rPr>
        <w:t>ments for actually securing accommodation for each Claimant</w:t>
      </w:r>
      <w:r w:rsidR="00F56B00" w:rsidRPr="00602F08">
        <w:rPr>
          <w:rStyle w:val="normaltextrun"/>
          <w:rFonts w:ascii="Times New Roman" w:hAnsi="Times New Roman"/>
        </w:rPr>
        <w:t>, and the mechanism for actually transporting each Claimant to the accommodation secured for them”</w:t>
      </w:r>
      <w:r w:rsidR="00B1525B" w:rsidRPr="00602F08">
        <w:rPr>
          <w:rStyle w:val="normaltextrun"/>
          <w:rFonts w:ascii="Times New Roman" w:hAnsi="Times New Roman"/>
        </w:rPr>
        <w:t>.</w:t>
      </w:r>
      <w:r w:rsidR="00485A0F" w:rsidRPr="00602F08">
        <w:rPr>
          <w:rStyle w:val="normaltextrun"/>
          <w:rFonts w:ascii="Times New Roman" w:hAnsi="Times New Roman"/>
        </w:rPr>
        <w:t xml:space="preserve"> </w:t>
      </w:r>
      <w:r w:rsidR="00C65999" w:rsidRPr="00602F08">
        <w:rPr>
          <w:rStyle w:val="normaltextrun"/>
          <w:rFonts w:ascii="Times New Roman" w:hAnsi="Times New Roman"/>
        </w:rPr>
        <w:t>He</w:t>
      </w:r>
      <w:r w:rsidR="00981E3B" w:rsidRPr="00602F08">
        <w:rPr>
          <w:rStyle w:val="normaltextrun"/>
          <w:rFonts w:ascii="Times New Roman" w:hAnsi="Times New Roman"/>
        </w:rPr>
        <w:t xml:space="preserve"> </w:t>
      </w:r>
      <w:r w:rsidR="009A69E3">
        <w:rPr>
          <w:rStyle w:val="normaltextrun"/>
          <w:rFonts w:ascii="Times New Roman" w:hAnsi="Times New Roman"/>
        </w:rPr>
        <w:t>characterised</w:t>
      </w:r>
      <w:r w:rsidR="00C65999" w:rsidRPr="00602F08">
        <w:rPr>
          <w:rStyle w:val="normaltextrun"/>
          <w:rFonts w:ascii="Times New Roman" w:hAnsi="Times New Roman"/>
        </w:rPr>
        <w:t xml:space="preserve"> what</w:t>
      </w:r>
      <w:r w:rsidR="00981E3B" w:rsidRPr="00602F08">
        <w:rPr>
          <w:rStyle w:val="normaltextrun"/>
          <w:rFonts w:ascii="Times New Roman" w:hAnsi="Times New Roman"/>
        </w:rPr>
        <w:t xml:space="preserve"> </w:t>
      </w:r>
      <w:r w:rsidR="00485A0F" w:rsidRPr="00602F08">
        <w:rPr>
          <w:rStyle w:val="normaltextrun"/>
          <w:rFonts w:ascii="Times New Roman" w:hAnsi="Times New Roman"/>
        </w:rPr>
        <w:t xml:space="preserve">the </w:t>
      </w:r>
      <w:r w:rsidR="00471021">
        <w:rPr>
          <w:rStyle w:val="normaltextrun"/>
          <w:rFonts w:ascii="Times New Roman" w:hAnsi="Times New Roman"/>
        </w:rPr>
        <w:t>c</w:t>
      </w:r>
      <w:r w:rsidR="00485A0F" w:rsidRPr="00602F08">
        <w:rPr>
          <w:rStyle w:val="normaltextrun"/>
          <w:rFonts w:ascii="Times New Roman" w:hAnsi="Times New Roman"/>
        </w:rPr>
        <w:t xml:space="preserve">laimants </w:t>
      </w:r>
      <w:r w:rsidR="009A69E3">
        <w:rPr>
          <w:rStyle w:val="normaltextrun"/>
          <w:rFonts w:ascii="Times New Roman" w:hAnsi="Times New Roman"/>
        </w:rPr>
        <w:t>were</w:t>
      </w:r>
      <w:r w:rsidR="00485A0F" w:rsidRPr="00602F08">
        <w:rPr>
          <w:rStyle w:val="normaltextrun"/>
          <w:rFonts w:ascii="Times New Roman" w:hAnsi="Times New Roman"/>
        </w:rPr>
        <w:t xml:space="preserve"> </w:t>
      </w:r>
      <w:r w:rsidR="00C65999" w:rsidRPr="00602F08">
        <w:rPr>
          <w:rStyle w:val="normaltextrun"/>
          <w:rFonts w:ascii="Times New Roman" w:hAnsi="Times New Roman"/>
        </w:rPr>
        <w:t xml:space="preserve">doing </w:t>
      </w:r>
      <w:r w:rsidR="00471021">
        <w:rPr>
          <w:rStyle w:val="normaltextrun"/>
          <w:rFonts w:ascii="Times New Roman" w:hAnsi="Times New Roman"/>
        </w:rPr>
        <w:t xml:space="preserve">in these proceedings </w:t>
      </w:r>
      <w:r w:rsidR="009A69E3">
        <w:rPr>
          <w:rStyle w:val="normaltextrun"/>
          <w:rFonts w:ascii="Times New Roman" w:hAnsi="Times New Roman"/>
        </w:rPr>
        <w:t>a</w:t>
      </w:r>
      <w:r w:rsidR="00C65999" w:rsidRPr="00602F08">
        <w:rPr>
          <w:rStyle w:val="normaltextrun"/>
          <w:rFonts w:ascii="Times New Roman" w:hAnsi="Times New Roman"/>
        </w:rPr>
        <w:t>s “</w:t>
      </w:r>
      <w:r w:rsidR="00485A0F" w:rsidRPr="00602F08">
        <w:rPr>
          <w:rStyle w:val="normaltextrun"/>
          <w:rFonts w:ascii="Times New Roman" w:hAnsi="Times New Roman"/>
        </w:rPr>
        <w:t>seekin</w:t>
      </w:r>
      <w:r w:rsidR="00B1525B" w:rsidRPr="00602F08">
        <w:rPr>
          <w:rStyle w:val="normaltextrun"/>
          <w:rFonts w:ascii="Times New Roman" w:hAnsi="Times New Roman"/>
        </w:rPr>
        <w:t>g</w:t>
      </w:r>
      <w:r w:rsidR="00485A0F" w:rsidRPr="00602F08">
        <w:rPr>
          <w:rStyle w:val="normaltextrun"/>
          <w:rFonts w:ascii="Times New Roman" w:hAnsi="Times New Roman"/>
        </w:rPr>
        <w:t xml:space="preserve"> inappropriately to attempt to involve this Court in an exercise of management review or in a form of public inquiry into the [Secretary of State’s]</w:t>
      </w:r>
      <w:r w:rsidR="00B1525B" w:rsidRPr="00602F08">
        <w:rPr>
          <w:rStyle w:val="normaltextrun"/>
          <w:rFonts w:ascii="Times New Roman" w:hAnsi="Times New Roman"/>
        </w:rPr>
        <w:t xml:space="preserve"> </w:t>
      </w:r>
      <w:r w:rsidR="00485A0F" w:rsidRPr="00602F08">
        <w:rPr>
          <w:rStyle w:val="normaltextrun"/>
          <w:rFonts w:ascii="Times New Roman" w:hAnsi="Times New Roman"/>
        </w:rPr>
        <w:t xml:space="preserve">systems for actually securing accommodation and transport after a decision that an individual </w:t>
      </w:r>
      <w:r w:rsidR="00DC1E93" w:rsidRPr="00602F08">
        <w:rPr>
          <w:rStyle w:val="normaltextrun"/>
          <w:rFonts w:ascii="Times New Roman" w:hAnsi="Times New Roman"/>
        </w:rPr>
        <w:t>is entitled to s4 support</w:t>
      </w:r>
      <w:r w:rsidR="00C65999" w:rsidRPr="00602F08">
        <w:rPr>
          <w:rStyle w:val="normaltextrun"/>
          <w:rFonts w:ascii="Times New Roman" w:hAnsi="Times New Roman"/>
        </w:rPr>
        <w:t>”</w:t>
      </w:r>
      <w:r w:rsidR="00DC1E93" w:rsidRPr="00602F08">
        <w:rPr>
          <w:rStyle w:val="normaltextrun"/>
          <w:rFonts w:ascii="Times New Roman" w:hAnsi="Times New Roman"/>
        </w:rPr>
        <w:t xml:space="preserve">. </w:t>
      </w:r>
    </w:p>
    <w:p w14:paraId="2D648462" w14:textId="77777777" w:rsidR="00471021" w:rsidRPr="00471021" w:rsidRDefault="00471021" w:rsidP="00471021">
      <w:pPr>
        <w:pStyle w:val="ListParagraph"/>
        <w:ind w:left="687"/>
        <w:jc w:val="both"/>
        <w:rPr>
          <w:rStyle w:val="normaltextrun"/>
          <w:rFonts w:ascii="Times New Roman" w:hAnsi="Times New Roman"/>
          <w:lang w:val="en-US"/>
        </w:rPr>
      </w:pPr>
    </w:p>
    <w:p w14:paraId="471C6AA8" w14:textId="77777777" w:rsidR="00471021" w:rsidRPr="00602F08" w:rsidRDefault="00471021" w:rsidP="00471021">
      <w:pPr>
        <w:numPr>
          <w:ilvl w:val="0"/>
          <w:numId w:val="10"/>
        </w:numPr>
        <w:jc w:val="both"/>
        <w:rPr>
          <w:rStyle w:val="normaltextrun"/>
          <w:lang w:val="en-US"/>
        </w:rPr>
      </w:pPr>
      <w:r w:rsidRPr="00602F08">
        <w:rPr>
          <w:rStyle w:val="normaltextrun"/>
        </w:rPr>
        <w:t xml:space="preserve">Mr Tam QC made clear that it was not in dispute (a) that the Secretary of State had power under section 4(2) to support the </w:t>
      </w:r>
      <w:r>
        <w:rPr>
          <w:rStyle w:val="normaltextrun"/>
        </w:rPr>
        <w:t>c</w:t>
      </w:r>
      <w:r w:rsidRPr="00602F08">
        <w:rPr>
          <w:rStyle w:val="normaltextrun"/>
        </w:rPr>
        <w:t xml:space="preserve">laimants, (b) that Article 3 could mean that this power could be a duty in certain circumstances, (c) that if an application was made to her under section 4(2) she had a duty to consider and decide it and (d) if the application was granted then she had a duty “of some kind” to give effect to and implement that decision. At each point a </w:t>
      </w:r>
      <w:r>
        <w:rPr>
          <w:rStyle w:val="normaltextrun"/>
        </w:rPr>
        <w:t>c</w:t>
      </w:r>
      <w:r w:rsidRPr="00602F08">
        <w:rPr>
          <w:rStyle w:val="normaltextrun"/>
        </w:rPr>
        <w:t xml:space="preserve">laimant was entitled to come to the Court </w:t>
      </w:r>
      <w:r>
        <w:rPr>
          <w:rStyle w:val="normaltextrun"/>
        </w:rPr>
        <w:t xml:space="preserve">in the individual case </w:t>
      </w:r>
      <w:r w:rsidRPr="00602F08">
        <w:rPr>
          <w:rStyle w:val="normaltextrun"/>
        </w:rPr>
        <w:t>and say that one of these steps had gone wrong. If the matter was not resolved then the Courts would have to decide by order, and sometimes by interim order.</w:t>
      </w:r>
    </w:p>
    <w:p w14:paraId="28347EAF" w14:textId="77777777" w:rsidR="00471021" w:rsidRPr="00602F08" w:rsidRDefault="00471021" w:rsidP="00471021">
      <w:pPr>
        <w:pStyle w:val="ListParagraph"/>
        <w:jc w:val="both"/>
        <w:rPr>
          <w:rStyle w:val="normaltextrun"/>
          <w:rFonts w:ascii="Times New Roman" w:hAnsi="Times New Roman"/>
        </w:rPr>
      </w:pPr>
    </w:p>
    <w:p w14:paraId="702E9BD0" w14:textId="5EB40220" w:rsidR="00471021" w:rsidRPr="00471021" w:rsidRDefault="00471021" w:rsidP="00471021">
      <w:pPr>
        <w:numPr>
          <w:ilvl w:val="0"/>
          <w:numId w:val="10"/>
        </w:numPr>
        <w:jc w:val="both"/>
        <w:rPr>
          <w:rStyle w:val="normaltextrun"/>
          <w:lang w:val="en-US"/>
        </w:rPr>
      </w:pPr>
      <w:r w:rsidRPr="00602F08">
        <w:rPr>
          <w:rStyle w:val="normaltextrun"/>
        </w:rPr>
        <w:t xml:space="preserve">But in the present proceedings, all cases were, he argued, now beyond that point as the </w:t>
      </w:r>
      <w:r>
        <w:rPr>
          <w:rStyle w:val="normaltextrun"/>
        </w:rPr>
        <w:t>c</w:t>
      </w:r>
      <w:r w:rsidRPr="00602F08">
        <w:rPr>
          <w:rStyle w:val="normaltextrun"/>
        </w:rPr>
        <w:t xml:space="preserve">laimants were all now accommodated. In continuing to pursue the cases the </w:t>
      </w:r>
      <w:r>
        <w:rPr>
          <w:rStyle w:val="normaltextrun"/>
        </w:rPr>
        <w:t>c</w:t>
      </w:r>
      <w:r w:rsidRPr="00602F08">
        <w:rPr>
          <w:rStyle w:val="normaltextrun"/>
        </w:rPr>
        <w:t>laimants were asking the Courts to look at the matter systemically. The Courts could in certain cases do this</w:t>
      </w:r>
      <w:r w:rsidR="00BA09BF">
        <w:rPr>
          <w:rStyle w:val="normaltextrun"/>
        </w:rPr>
        <w:t>,</w:t>
      </w:r>
      <w:r w:rsidRPr="00602F08">
        <w:rPr>
          <w:rStyle w:val="normaltextrun"/>
        </w:rPr>
        <w:t xml:space="preserve"> but to do so would require an examination of the reasons why a part of the system worked as it d</w:t>
      </w:r>
      <w:r w:rsidR="00C95FC8">
        <w:rPr>
          <w:rStyle w:val="normaltextrun"/>
        </w:rPr>
        <w:t>id</w:t>
      </w:r>
      <w:r w:rsidRPr="00602F08">
        <w:rPr>
          <w:rStyle w:val="normaltextrun"/>
        </w:rPr>
        <w:t xml:space="preserve"> and that was not really what the Courts were here to do.</w:t>
      </w:r>
    </w:p>
    <w:p w14:paraId="5ADA7A9F" w14:textId="393BA3B0" w:rsidR="00347B26" w:rsidRPr="00602F08" w:rsidRDefault="00347B26" w:rsidP="00B6212D">
      <w:pPr>
        <w:pStyle w:val="ListParagraph"/>
        <w:ind w:left="687"/>
        <w:jc w:val="both"/>
        <w:rPr>
          <w:rStyle w:val="normaltextrun"/>
          <w:rFonts w:ascii="Times New Roman" w:hAnsi="Times New Roman"/>
          <w:lang w:val="en-US"/>
        </w:rPr>
      </w:pPr>
    </w:p>
    <w:p w14:paraId="1F10DEDE" w14:textId="7E9AE607" w:rsidR="007A4E39" w:rsidRDefault="009A69E3" w:rsidP="00B6212D">
      <w:pPr>
        <w:pStyle w:val="ListParagraph"/>
        <w:numPr>
          <w:ilvl w:val="0"/>
          <w:numId w:val="10"/>
        </w:numPr>
        <w:jc w:val="both"/>
        <w:rPr>
          <w:rStyle w:val="normaltextrun"/>
          <w:rFonts w:ascii="Times New Roman" w:hAnsi="Times New Roman"/>
          <w:lang w:val="en-US"/>
        </w:rPr>
      </w:pPr>
      <w:r>
        <w:rPr>
          <w:rStyle w:val="normaltextrun"/>
          <w:rFonts w:ascii="Times New Roman" w:hAnsi="Times New Roman"/>
          <w:lang w:val="en-US"/>
        </w:rPr>
        <w:t>Mr Tam QC cited</w:t>
      </w:r>
      <w:r w:rsidR="000B5424" w:rsidRPr="00602F08">
        <w:rPr>
          <w:rStyle w:val="normaltextrun"/>
          <w:rFonts w:ascii="Times New Roman" w:hAnsi="Times New Roman"/>
          <w:lang w:val="en-US"/>
        </w:rPr>
        <w:t xml:space="preserve"> </w:t>
      </w:r>
      <w:r w:rsidR="000B5424" w:rsidRPr="00602F08">
        <w:rPr>
          <w:rStyle w:val="normaltextrun"/>
          <w:rFonts w:ascii="Times New Roman" w:hAnsi="Times New Roman"/>
          <w:u w:val="single"/>
          <w:lang w:val="en-US"/>
        </w:rPr>
        <w:t xml:space="preserve">Hossain </w:t>
      </w:r>
      <w:r w:rsidR="00015268">
        <w:rPr>
          <w:rStyle w:val="normaltextrun"/>
          <w:rFonts w:ascii="Times New Roman" w:hAnsi="Times New Roman"/>
          <w:u w:val="single"/>
          <w:lang w:val="en-US"/>
        </w:rPr>
        <w:t xml:space="preserve">and Others </w:t>
      </w:r>
      <w:r w:rsidR="000B5424" w:rsidRPr="00602F08">
        <w:rPr>
          <w:rStyle w:val="normaltextrun"/>
          <w:rFonts w:ascii="Times New Roman" w:hAnsi="Times New Roman"/>
          <w:u w:val="single"/>
          <w:lang w:val="en-US"/>
        </w:rPr>
        <w:t>v Secretary</w:t>
      </w:r>
      <w:r w:rsidR="00015268">
        <w:rPr>
          <w:rStyle w:val="normaltextrun"/>
          <w:rFonts w:ascii="Times New Roman" w:hAnsi="Times New Roman"/>
          <w:u w:val="single"/>
          <w:lang w:val="en-US"/>
        </w:rPr>
        <w:t xml:space="preserve"> of State for </w:t>
      </w:r>
      <w:r w:rsidR="007A4E39">
        <w:rPr>
          <w:rStyle w:val="normaltextrun"/>
          <w:rFonts w:ascii="Times New Roman" w:hAnsi="Times New Roman"/>
          <w:u w:val="single"/>
          <w:lang w:val="en-US"/>
        </w:rPr>
        <w:t>the Home Department</w:t>
      </w:r>
      <w:r w:rsidR="000B5424" w:rsidRPr="00602F08">
        <w:rPr>
          <w:rStyle w:val="normaltextrun"/>
          <w:rFonts w:ascii="Times New Roman" w:hAnsi="Times New Roman"/>
          <w:lang w:val="en-US"/>
        </w:rPr>
        <w:t xml:space="preserve"> [2016] EWHC 1331 (Admin) where at [144]-[145] Cranston J </w:t>
      </w:r>
      <w:r w:rsidR="00226F7B">
        <w:rPr>
          <w:rStyle w:val="normaltextrun"/>
          <w:rFonts w:ascii="Times New Roman" w:hAnsi="Times New Roman"/>
          <w:lang w:val="en-US"/>
        </w:rPr>
        <w:t>shared</w:t>
      </w:r>
      <w:r w:rsidR="000B5424" w:rsidRPr="00602F08">
        <w:rPr>
          <w:rStyle w:val="normaltextrun"/>
          <w:rFonts w:ascii="Times New Roman" w:hAnsi="Times New Roman"/>
          <w:lang w:val="en-US"/>
        </w:rPr>
        <w:t xml:space="preserve"> the view that</w:t>
      </w:r>
      <w:r w:rsidR="007A4E39">
        <w:rPr>
          <w:rStyle w:val="normaltextrun"/>
          <w:rFonts w:ascii="Times New Roman" w:hAnsi="Times New Roman"/>
          <w:lang w:val="en-US"/>
        </w:rPr>
        <w:t>:</w:t>
      </w:r>
    </w:p>
    <w:p w14:paraId="65429D26" w14:textId="77777777" w:rsidR="007A4E39" w:rsidRPr="007A4E39" w:rsidRDefault="007A4E39" w:rsidP="007A4E39">
      <w:pPr>
        <w:pStyle w:val="ListParagraph"/>
        <w:rPr>
          <w:rStyle w:val="normaltextrun"/>
          <w:rFonts w:ascii="Times New Roman" w:hAnsi="Times New Roman"/>
          <w:lang w:val="en-US"/>
        </w:rPr>
      </w:pPr>
    </w:p>
    <w:p w14:paraId="57F31F98" w14:textId="77777777" w:rsidR="00AE2D0A" w:rsidRDefault="000B5424" w:rsidP="00AE2D0A">
      <w:pPr>
        <w:pStyle w:val="ListParagraph"/>
        <w:ind w:left="1440" w:hanging="753"/>
        <w:jc w:val="both"/>
        <w:rPr>
          <w:rStyle w:val="normaltextrun"/>
          <w:rFonts w:ascii="Times New Roman" w:hAnsi="Times New Roman"/>
          <w:lang w:val="en-US"/>
        </w:rPr>
      </w:pPr>
      <w:r w:rsidRPr="00602F08">
        <w:rPr>
          <w:rStyle w:val="normaltextrun"/>
          <w:rFonts w:ascii="Times New Roman" w:hAnsi="Times New Roman"/>
          <w:lang w:val="en-US"/>
        </w:rPr>
        <w:t xml:space="preserve"> </w:t>
      </w:r>
      <w:r w:rsidR="007A4E39">
        <w:rPr>
          <w:rStyle w:val="normaltextrun"/>
          <w:rFonts w:ascii="Times New Roman" w:hAnsi="Times New Roman"/>
          <w:lang w:val="en-US"/>
        </w:rPr>
        <w:tab/>
      </w:r>
      <w:r w:rsidRPr="00602F08">
        <w:rPr>
          <w:rStyle w:val="normaltextrun"/>
          <w:rFonts w:ascii="Times New Roman" w:hAnsi="Times New Roman"/>
          <w:lang w:val="en-US"/>
        </w:rPr>
        <w:t>“</w:t>
      </w:r>
      <w:r w:rsidR="00AE2D0A">
        <w:rPr>
          <w:rStyle w:val="normaltextrun"/>
          <w:rFonts w:ascii="Times New Roman" w:hAnsi="Times New Roman"/>
          <w:lang w:val="en-US"/>
        </w:rPr>
        <w:t xml:space="preserve">… </w:t>
      </w:r>
      <w:r w:rsidRPr="00602F08">
        <w:rPr>
          <w:rStyle w:val="normaltextrun"/>
          <w:rFonts w:ascii="Times New Roman" w:hAnsi="Times New Roman"/>
          <w:lang w:val="en-US"/>
        </w:rPr>
        <w:t xml:space="preserve">the courts are not </w:t>
      </w:r>
      <w:r w:rsidR="002209AD" w:rsidRPr="00602F08">
        <w:rPr>
          <w:rStyle w:val="normaltextrun"/>
          <w:rFonts w:ascii="Times New Roman" w:hAnsi="Times New Roman"/>
          <w:lang w:val="en-US"/>
        </w:rPr>
        <w:t>expert</w:t>
      </w:r>
      <w:r w:rsidRPr="00602F08">
        <w:rPr>
          <w:rStyle w:val="normaltextrun"/>
          <w:rFonts w:ascii="Times New Roman" w:hAnsi="Times New Roman"/>
          <w:lang w:val="en-US"/>
        </w:rPr>
        <w:t xml:space="preserve"> in the </w:t>
      </w:r>
      <w:r w:rsidR="002209AD" w:rsidRPr="00602F08">
        <w:rPr>
          <w:rStyle w:val="normaltextrun"/>
          <w:rFonts w:ascii="Times New Roman" w:hAnsi="Times New Roman"/>
          <w:lang w:val="en-US"/>
        </w:rPr>
        <w:t>type</w:t>
      </w:r>
      <w:r w:rsidRPr="00602F08">
        <w:rPr>
          <w:rStyle w:val="normaltextrun"/>
          <w:rFonts w:ascii="Times New Roman" w:hAnsi="Times New Roman"/>
          <w:lang w:val="en-US"/>
        </w:rPr>
        <w:t xml:space="preserve"> of enquiry demanded when a whole system of public administration is on trial as to how it handles the ‘full run of cases’ … </w:t>
      </w:r>
    </w:p>
    <w:p w14:paraId="700FB999" w14:textId="77777777" w:rsidR="00AE2D0A" w:rsidRDefault="00AE2D0A" w:rsidP="00AE2D0A">
      <w:pPr>
        <w:pStyle w:val="ListParagraph"/>
        <w:ind w:left="1440" w:hanging="753"/>
        <w:jc w:val="both"/>
        <w:rPr>
          <w:rStyle w:val="normaltextrun"/>
          <w:rFonts w:ascii="Times New Roman" w:hAnsi="Times New Roman"/>
          <w:lang w:val="en-US"/>
        </w:rPr>
      </w:pPr>
    </w:p>
    <w:p w14:paraId="2BA3C2CF" w14:textId="77777777" w:rsidR="00664519" w:rsidRDefault="000B5424" w:rsidP="00AE2D0A">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 xml:space="preserve">An investigation into how an administrative system works as a whole requires the more informal, wide-ranging and iterative methods of inquiries.”, </w:t>
      </w:r>
    </w:p>
    <w:p w14:paraId="6261C346" w14:textId="77777777" w:rsidR="00664519" w:rsidRDefault="00664519" w:rsidP="00AE2D0A">
      <w:pPr>
        <w:pStyle w:val="ListParagraph"/>
        <w:ind w:left="1440"/>
        <w:jc w:val="both"/>
        <w:rPr>
          <w:rStyle w:val="normaltextrun"/>
          <w:rFonts w:ascii="Times New Roman" w:hAnsi="Times New Roman"/>
          <w:lang w:val="en-US"/>
        </w:rPr>
      </w:pPr>
    </w:p>
    <w:p w14:paraId="61361067" w14:textId="40E94055" w:rsidR="009A69E3" w:rsidRPr="002170AF" w:rsidRDefault="00664519" w:rsidP="002170AF">
      <w:pPr>
        <w:ind w:left="720" w:hanging="33"/>
        <w:jc w:val="both"/>
        <w:rPr>
          <w:rStyle w:val="normaltextrun"/>
          <w:lang w:val="en-US"/>
        </w:rPr>
      </w:pPr>
      <w:r>
        <w:rPr>
          <w:rStyle w:val="normaltextrun"/>
          <w:lang w:val="en-US"/>
        </w:rPr>
        <w:t>(and s</w:t>
      </w:r>
      <w:r w:rsidR="000B5424" w:rsidRPr="00664519">
        <w:rPr>
          <w:rStyle w:val="normaltextrun"/>
          <w:lang w:val="en-US"/>
        </w:rPr>
        <w:t xml:space="preserve">ee Hickinbottom J in </w:t>
      </w:r>
      <w:r w:rsidR="000B5424" w:rsidRPr="00664519">
        <w:rPr>
          <w:rStyle w:val="normaltextrun"/>
          <w:u w:val="single"/>
          <w:lang w:val="en-US"/>
        </w:rPr>
        <w:t>R (Edwards) v Birmingham City Council</w:t>
      </w:r>
      <w:r w:rsidR="000B5424" w:rsidRPr="00664519">
        <w:rPr>
          <w:rStyle w:val="normaltextrun"/>
          <w:lang w:val="en-US"/>
        </w:rPr>
        <w:t xml:space="preserve"> [2016] EWHC</w:t>
      </w:r>
      <w:r w:rsidR="002170AF">
        <w:rPr>
          <w:rStyle w:val="normaltextrun"/>
          <w:lang w:val="en-US"/>
        </w:rPr>
        <w:t xml:space="preserve"> 173 (</w:t>
      </w:r>
      <w:r w:rsidRPr="002170AF">
        <w:rPr>
          <w:rStyle w:val="normaltextrun"/>
          <w:lang w:val="en-US"/>
        </w:rPr>
        <w:t>A</w:t>
      </w:r>
      <w:r w:rsidR="000B5424" w:rsidRPr="002170AF">
        <w:rPr>
          <w:rStyle w:val="normaltextrun"/>
          <w:lang w:val="en-US"/>
        </w:rPr>
        <w:t>dmin)</w:t>
      </w:r>
      <w:r w:rsidR="002170AF">
        <w:rPr>
          <w:rStyle w:val="normaltextrun"/>
          <w:lang w:val="en-US"/>
        </w:rPr>
        <w:t>;</w:t>
      </w:r>
      <w:r w:rsidR="000B5424" w:rsidRPr="002170AF">
        <w:rPr>
          <w:rStyle w:val="normaltextrun"/>
          <w:lang w:val="en-US"/>
        </w:rPr>
        <w:t xml:space="preserve"> [2016] HLR 11</w:t>
      </w:r>
      <w:r w:rsidRPr="002170AF">
        <w:rPr>
          <w:rStyle w:val="normaltextrun"/>
          <w:lang w:val="en-US"/>
        </w:rPr>
        <w:t>)</w:t>
      </w:r>
      <w:r w:rsidR="000B5424" w:rsidRPr="002170AF">
        <w:rPr>
          <w:rStyle w:val="normaltextrun"/>
          <w:lang w:val="en-US"/>
        </w:rPr>
        <w:t>.</w:t>
      </w:r>
    </w:p>
    <w:p w14:paraId="08F065D2" w14:textId="097ED174" w:rsidR="009A69E3" w:rsidRDefault="000B5424" w:rsidP="009A69E3">
      <w:pPr>
        <w:jc w:val="both"/>
        <w:rPr>
          <w:rStyle w:val="normaltextrun"/>
          <w:lang w:val="en-US"/>
        </w:rPr>
      </w:pPr>
      <w:r w:rsidRPr="00664519">
        <w:rPr>
          <w:rStyle w:val="normaltextrun"/>
          <w:lang w:val="en-US"/>
        </w:rPr>
        <w:t xml:space="preserve"> </w:t>
      </w:r>
    </w:p>
    <w:p w14:paraId="2D798DE7" w14:textId="5A3DAD14" w:rsidR="00365841" w:rsidRPr="009A69E3" w:rsidRDefault="00D067F7" w:rsidP="009A69E3">
      <w:pPr>
        <w:pStyle w:val="ListParagraph"/>
        <w:numPr>
          <w:ilvl w:val="0"/>
          <w:numId w:val="10"/>
        </w:numPr>
        <w:jc w:val="both"/>
        <w:rPr>
          <w:rStyle w:val="normaltextrun"/>
          <w:rFonts w:ascii="Times New Roman" w:hAnsi="Times New Roman"/>
          <w:lang w:val="en-US"/>
        </w:rPr>
      </w:pPr>
      <w:r>
        <w:rPr>
          <w:noProof/>
          <w:lang w:eastAsia="en-GB"/>
        </w:rPr>
        <mc:AlternateContent>
          <mc:Choice Requires="wpi">
            <w:drawing>
              <wp:anchor distT="0" distB="0" distL="114300" distR="114300" simplePos="0" relativeHeight="251663872" behindDoc="0" locked="0" layoutInCell="1" allowOverlap="1" wp14:anchorId="6C14E4C8" wp14:editId="60D7CC93">
                <wp:simplePos x="0" y="0"/>
                <wp:positionH relativeFrom="column">
                  <wp:posOffset>6809740</wp:posOffset>
                </wp:positionH>
                <wp:positionV relativeFrom="paragraph">
                  <wp:posOffset>59540803</wp:posOffset>
                </wp:positionV>
                <wp:extent cx="13970" cy="158750"/>
                <wp:effectExtent l="38100" t="57150" r="43180" b="5080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13970" cy="158750"/>
                      </w14:xfrm>
                    </w14:contentPart>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C270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35.5pt;margin-top:4687.55pt;width:2.5pt;height:13.9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">
                <v:imagedata r:id="rId17" o:title=""/>
              </v:shape>
            </w:pict>
          </mc:Fallback>
        </mc:AlternateContent>
      </w:r>
      <w:r w:rsidR="000B5424" w:rsidRPr="009A69E3">
        <w:rPr>
          <w:rStyle w:val="normaltextrun"/>
          <w:rFonts w:ascii="Times New Roman" w:hAnsi="Times New Roman"/>
          <w:lang w:val="en-US"/>
        </w:rPr>
        <w:t xml:space="preserve">In the present case, </w:t>
      </w:r>
      <w:r w:rsidR="00AD0989">
        <w:rPr>
          <w:rStyle w:val="normaltextrun"/>
          <w:rFonts w:ascii="Times New Roman" w:hAnsi="Times New Roman"/>
          <w:lang w:val="en-US"/>
        </w:rPr>
        <w:t>added</w:t>
      </w:r>
      <w:r w:rsidR="000B5424" w:rsidRPr="009A69E3">
        <w:rPr>
          <w:rStyle w:val="normaltextrun"/>
          <w:rFonts w:ascii="Times New Roman" w:hAnsi="Times New Roman"/>
          <w:lang w:val="en-US"/>
        </w:rPr>
        <w:t xml:space="preserve"> Mr Ta</w:t>
      </w:r>
      <w:r w:rsidR="00645A51" w:rsidRPr="009A69E3">
        <w:rPr>
          <w:rStyle w:val="normaltextrun"/>
          <w:rFonts w:ascii="Times New Roman" w:hAnsi="Times New Roman"/>
          <w:lang w:val="en-US"/>
        </w:rPr>
        <w:t>m</w:t>
      </w:r>
      <w:r w:rsidR="000B5424" w:rsidRPr="009A69E3">
        <w:rPr>
          <w:rStyle w:val="normaltextrun"/>
          <w:rFonts w:ascii="Times New Roman" w:hAnsi="Times New Roman"/>
          <w:lang w:val="en-US"/>
        </w:rPr>
        <w:t xml:space="preserve"> QC,</w:t>
      </w:r>
      <w:r w:rsidR="002F0F6D" w:rsidRPr="009A69E3">
        <w:rPr>
          <w:rStyle w:val="normaltextrun"/>
          <w:rFonts w:ascii="Times New Roman" w:hAnsi="Times New Roman"/>
          <w:lang w:val="en-US"/>
        </w:rPr>
        <w:t xml:space="preserve"> </w:t>
      </w:r>
      <w:r w:rsidR="000B5424" w:rsidRPr="009A69E3">
        <w:rPr>
          <w:rStyle w:val="normaltextrun"/>
          <w:rFonts w:ascii="Times New Roman" w:hAnsi="Times New Roman"/>
          <w:lang w:val="en-US"/>
        </w:rPr>
        <w:t xml:space="preserve">“the matters are complex and involve not just the [Secretary of State’s] own </w:t>
      </w:r>
      <w:r w:rsidR="002209AD" w:rsidRPr="009A69E3">
        <w:rPr>
          <w:rStyle w:val="normaltextrun"/>
          <w:rFonts w:ascii="Times New Roman" w:hAnsi="Times New Roman"/>
          <w:lang w:val="en-US"/>
        </w:rPr>
        <w:t>operations</w:t>
      </w:r>
      <w:r w:rsidR="000B5424" w:rsidRPr="009A69E3">
        <w:rPr>
          <w:rStyle w:val="normaltextrun"/>
          <w:rFonts w:ascii="Times New Roman" w:hAnsi="Times New Roman"/>
          <w:lang w:val="en-US"/>
        </w:rPr>
        <w:t xml:space="preserve"> but those of contractors”.</w:t>
      </w:r>
      <w:r w:rsidR="009A69E3">
        <w:rPr>
          <w:rStyle w:val="normaltextrun"/>
          <w:rFonts w:ascii="Times New Roman" w:hAnsi="Times New Roman"/>
          <w:lang w:val="en-US"/>
        </w:rPr>
        <w:t xml:space="preserve"> </w:t>
      </w:r>
      <w:r w:rsidR="009A69E3">
        <w:rPr>
          <w:rStyle w:val="normaltextrun"/>
          <w:rFonts w:ascii="Times New Roman" w:hAnsi="Times New Roman"/>
        </w:rPr>
        <w:t>H</w:t>
      </w:r>
      <w:r w:rsidR="00C65999" w:rsidRPr="009A69E3">
        <w:rPr>
          <w:rStyle w:val="normaltextrun"/>
          <w:rFonts w:ascii="Times New Roman" w:hAnsi="Times New Roman"/>
        </w:rPr>
        <w:t xml:space="preserve">e </w:t>
      </w:r>
      <w:r w:rsidR="00062B6B">
        <w:rPr>
          <w:rStyle w:val="normaltextrun"/>
          <w:rFonts w:ascii="Times New Roman" w:hAnsi="Times New Roman"/>
        </w:rPr>
        <w:t>argued that</w:t>
      </w:r>
      <w:r w:rsidR="00C65999" w:rsidRPr="009A69E3">
        <w:rPr>
          <w:rStyle w:val="normaltextrun"/>
          <w:rFonts w:ascii="Times New Roman" w:hAnsi="Times New Roman"/>
        </w:rPr>
        <w:t xml:space="preserve"> “… </w:t>
      </w:r>
      <w:r w:rsidR="00DC1E93" w:rsidRPr="009A69E3">
        <w:rPr>
          <w:rStyle w:val="normaltextrun"/>
          <w:rFonts w:ascii="Times New Roman" w:hAnsi="Times New Roman"/>
        </w:rPr>
        <w:t>the [Secretary of State] is accountable to Parli</w:t>
      </w:r>
      <w:r w:rsidR="00B1525B" w:rsidRPr="009A69E3">
        <w:rPr>
          <w:rStyle w:val="normaltextrun"/>
          <w:rFonts w:ascii="Times New Roman" w:hAnsi="Times New Roman"/>
        </w:rPr>
        <w:t>amen</w:t>
      </w:r>
      <w:r w:rsidR="00DC1E93" w:rsidRPr="009A69E3">
        <w:rPr>
          <w:rStyle w:val="normaltextrun"/>
          <w:rFonts w:ascii="Times New Roman" w:hAnsi="Times New Roman"/>
        </w:rPr>
        <w:t>t for matters of management.</w:t>
      </w:r>
      <w:r w:rsidR="00527F53" w:rsidRPr="009A69E3">
        <w:rPr>
          <w:rStyle w:val="normaltextrun"/>
          <w:rFonts w:ascii="Times New Roman" w:hAnsi="Times New Roman"/>
        </w:rPr>
        <w:t>”</w:t>
      </w:r>
      <w:r w:rsidR="00441291" w:rsidRPr="009A69E3">
        <w:rPr>
          <w:rStyle w:val="normaltextrun"/>
          <w:rFonts w:ascii="Times New Roman" w:hAnsi="Times New Roman"/>
        </w:rPr>
        <w:t>.</w:t>
      </w:r>
      <w:r w:rsidR="00527F53" w:rsidRPr="009A69E3">
        <w:rPr>
          <w:rStyle w:val="normaltextrun"/>
          <w:rFonts w:ascii="Times New Roman" w:hAnsi="Times New Roman"/>
        </w:rPr>
        <w:t xml:space="preserve"> </w:t>
      </w:r>
      <w:r w:rsidR="00F94A2F">
        <w:rPr>
          <w:rStyle w:val="normaltextrun"/>
          <w:rFonts w:ascii="Times New Roman" w:hAnsi="Times New Roman"/>
        </w:rPr>
        <w:t xml:space="preserve">He continued: </w:t>
      </w:r>
      <w:r w:rsidR="00527F53" w:rsidRPr="009A69E3">
        <w:rPr>
          <w:rStyle w:val="normaltextrun"/>
          <w:rFonts w:ascii="Times New Roman" w:hAnsi="Times New Roman"/>
        </w:rPr>
        <w:t>“An argument … about whether the [Secretary of State’s</w:t>
      </w:r>
      <w:r w:rsidR="00441291" w:rsidRPr="009A69E3">
        <w:rPr>
          <w:rStyle w:val="normaltextrun"/>
          <w:rFonts w:ascii="Times New Roman" w:hAnsi="Times New Roman"/>
        </w:rPr>
        <w:t>]</w:t>
      </w:r>
      <w:r w:rsidR="00527F53" w:rsidRPr="009A69E3">
        <w:rPr>
          <w:rStyle w:val="normaltextrun"/>
          <w:rFonts w:ascii="Times New Roman" w:hAnsi="Times New Roman"/>
        </w:rPr>
        <w:t xml:space="preserve"> sy</w:t>
      </w:r>
      <w:r w:rsidR="00F46A79" w:rsidRPr="009A69E3">
        <w:rPr>
          <w:rStyle w:val="normaltextrun"/>
          <w:rFonts w:ascii="Times New Roman" w:hAnsi="Times New Roman"/>
        </w:rPr>
        <w:t>s</w:t>
      </w:r>
      <w:r w:rsidR="00527F53" w:rsidRPr="009A69E3">
        <w:rPr>
          <w:rStyle w:val="normaltextrun"/>
          <w:rFonts w:ascii="Times New Roman" w:hAnsi="Times New Roman"/>
        </w:rPr>
        <w:t xml:space="preserve">tems (or those of its contractors) could be designed or operated </w:t>
      </w:r>
      <w:r w:rsidR="00236B46" w:rsidRPr="009A69E3">
        <w:rPr>
          <w:rStyle w:val="normaltextrun"/>
          <w:rFonts w:ascii="Times New Roman" w:hAnsi="Times New Roman"/>
        </w:rPr>
        <w:t xml:space="preserve">in a </w:t>
      </w:r>
      <w:r w:rsidR="00527F53" w:rsidRPr="009A69E3">
        <w:rPr>
          <w:rStyle w:val="normaltextrun"/>
          <w:rFonts w:ascii="Times New Roman" w:hAnsi="Times New Roman"/>
        </w:rPr>
        <w:t>better</w:t>
      </w:r>
      <w:r w:rsidR="00236B46" w:rsidRPr="009A69E3">
        <w:rPr>
          <w:rStyle w:val="normaltextrun"/>
          <w:rFonts w:ascii="Times New Roman" w:hAnsi="Times New Roman"/>
        </w:rPr>
        <w:t xml:space="preserve"> way is not within the Court’s proper sphere of illegality, but essentially involves questions of maladministration which could be and should (if desired) be made elsewhere.”</w:t>
      </w:r>
      <w:r w:rsidR="00F46A79" w:rsidRPr="009A69E3">
        <w:rPr>
          <w:rStyle w:val="normaltextrun"/>
          <w:rFonts w:ascii="Times New Roman" w:hAnsi="Times New Roman"/>
        </w:rPr>
        <w:t xml:space="preserve"> </w:t>
      </w:r>
    </w:p>
    <w:p w14:paraId="35754B25" w14:textId="0BFE1508" w:rsidR="00B3350D" w:rsidRPr="00602F08" w:rsidRDefault="00527F53" w:rsidP="00B6212D">
      <w:pPr>
        <w:pStyle w:val="ListParagraph"/>
        <w:ind w:left="687"/>
        <w:jc w:val="both"/>
        <w:rPr>
          <w:rStyle w:val="normaltextrun"/>
          <w:rFonts w:ascii="Times New Roman" w:hAnsi="Times New Roman"/>
        </w:rPr>
      </w:pPr>
      <w:r w:rsidRPr="00602F08">
        <w:rPr>
          <w:rStyle w:val="normaltextrun"/>
          <w:rFonts w:ascii="Times New Roman" w:hAnsi="Times New Roman"/>
        </w:rPr>
        <w:t xml:space="preserve"> </w:t>
      </w:r>
      <w:r w:rsidR="00605890" w:rsidRPr="00602F08">
        <w:rPr>
          <w:rStyle w:val="normaltextrun"/>
          <w:rFonts w:ascii="Times New Roman" w:hAnsi="Times New Roman"/>
        </w:rPr>
        <w:t xml:space="preserve"> </w:t>
      </w:r>
    </w:p>
    <w:p w14:paraId="74D7370B" w14:textId="0CFDC86E" w:rsidR="000817B3" w:rsidRPr="00602F08" w:rsidRDefault="000817B3" w:rsidP="00B6212D">
      <w:pPr>
        <w:numPr>
          <w:ilvl w:val="0"/>
          <w:numId w:val="10"/>
        </w:numPr>
        <w:jc w:val="both"/>
        <w:rPr>
          <w:rStyle w:val="normaltextrun"/>
          <w:lang w:val="en-US"/>
        </w:rPr>
      </w:pPr>
      <w:r w:rsidRPr="00602F08">
        <w:rPr>
          <w:rStyle w:val="normaltextrun"/>
        </w:rPr>
        <w:t xml:space="preserve">The </w:t>
      </w:r>
      <w:r w:rsidR="0017344D">
        <w:rPr>
          <w:rStyle w:val="normaltextrun"/>
        </w:rPr>
        <w:t xml:space="preserve">question of </w:t>
      </w:r>
      <w:r w:rsidR="002F602B">
        <w:rPr>
          <w:rStyle w:val="normaltextrun"/>
        </w:rPr>
        <w:t xml:space="preserve">what he termed </w:t>
      </w:r>
      <w:r w:rsidR="0017344D">
        <w:rPr>
          <w:rStyle w:val="normaltextrun"/>
        </w:rPr>
        <w:t xml:space="preserve">the </w:t>
      </w:r>
      <w:r w:rsidRPr="00602F08">
        <w:rPr>
          <w:rStyle w:val="normaltextrun"/>
        </w:rPr>
        <w:t>respective constitutional roles of Government and the Courts formed the first and largest part of Mr Ta</w:t>
      </w:r>
      <w:r w:rsidR="00645A51" w:rsidRPr="00602F08">
        <w:rPr>
          <w:rStyle w:val="normaltextrun"/>
        </w:rPr>
        <w:t>m</w:t>
      </w:r>
      <w:r w:rsidRPr="00602F08">
        <w:rPr>
          <w:rStyle w:val="normaltextrun"/>
        </w:rPr>
        <w:t xml:space="preserve"> QC’s </w:t>
      </w:r>
      <w:r w:rsidR="00B522A6">
        <w:rPr>
          <w:rStyle w:val="normaltextrun"/>
        </w:rPr>
        <w:t xml:space="preserve">oral </w:t>
      </w:r>
      <w:r w:rsidRPr="00602F08">
        <w:rPr>
          <w:rStyle w:val="normaltextrun"/>
        </w:rPr>
        <w:t xml:space="preserve">argument for the Secretary of State.  He described what he termed an “inevitability” about Government work. </w:t>
      </w:r>
      <w:r w:rsidR="00FA0BDE">
        <w:rPr>
          <w:rStyle w:val="normaltextrun"/>
        </w:rPr>
        <w:t>I</w:t>
      </w:r>
      <w:r w:rsidRPr="00602F08">
        <w:rPr>
          <w:rStyle w:val="normaltextrun"/>
        </w:rPr>
        <w:t>t had “big things to do” but with limited resources, coming from taxation. It should work effectively and efficiently, looking to do so at lower cost given that it worked with other people’s money, and lawfully in accordance with the rule of law.</w:t>
      </w:r>
    </w:p>
    <w:p w14:paraId="7F67A996" w14:textId="77777777" w:rsidR="000817B3" w:rsidRPr="00602F08" w:rsidRDefault="000817B3" w:rsidP="00B6212D">
      <w:pPr>
        <w:pStyle w:val="ListParagraph"/>
        <w:jc w:val="both"/>
        <w:rPr>
          <w:rStyle w:val="normaltextrun"/>
          <w:rFonts w:ascii="Times New Roman" w:hAnsi="Times New Roman"/>
        </w:rPr>
      </w:pPr>
    </w:p>
    <w:p w14:paraId="11E04341" w14:textId="7ECF1B87" w:rsidR="009500A1" w:rsidRPr="009500A1" w:rsidRDefault="000817B3" w:rsidP="00B6212D">
      <w:pPr>
        <w:numPr>
          <w:ilvl w:val="0"/>
          <w:numId w:val="10"/>
        </w:numPr>
        <w:jc w:val="both"/>
        <w:rPr>
          <w:rStyle w:val="normaltextrun"/>
          <w:lang w:val="en-US"/>
        </w:rPr>
      </w:pPr>
      <w:r w:rsidRPr="00602F08">
        <w:rPr>
          <w:rStyle w:val="normaltextrun"/>
        </w:rPr>
        <w:t xml:space="preserve">Constitutionally, </w:t>
      </w:r>
      <w:r w:rsidR="00AE1DD5">
        <w:rPr>
          <w:rStyle w:val="normaltextrun"/>
        </w:rPr>
        <w:t xml:space="preserve">Mr Tam QC </w:t>
      </w:r>
      <w:r w:rsidR="006F29C1" w:rsidRPr="00602F08">
        <w:rPr>
          <w:rStyle w:val="normaltextrun"/>
        </w:rPr>
        <w:t xml:space="preserve">argued, </w:t>
      </w:r>
      <w:r w:rsidRPr="00602F08">
        <w:rPr>
          <w:rStyle w:val="normaltextrun"/>
        </w:rPr>
        <w:t>different bodies supervised different aspects of what Government did. It was for Government to make decisions but always there would be criticism of some aspect of these decisions. The fundamental question of how the Government was to do what needs to be done was not a question which the Courts alone could answer</w:t>
      </w:r>
      <w:r w:rsidR="007A506B" w:rsidRPr="00602F08">
        <w:rPr>
          <w:rStyle w:val="normaltextrun"/>
        </w:rPr>
        <w:t>, he argued</w:t>
      </w:r>
      <w:r w:rsidRPr="00602F08">
        <w:rPr>
          <w:rStyle w:val="normaltextrun"/>
        </w:rPr>
        <w:t>.</w:t>
      </w:r>
      <w:r w:rsidR="006F29C1" w:rsidRPr="00602F08">
        <w:rPr>
          <w:rStyle w:val="normaltextrun"/>
        </w:rPr>
        <w:t xml:space="preserve"> </w:t>
      </w:r>
    </w:p>
    <w:p w14:paraId="6380E010" w14:textId="77777777" w:rsidR="009500A1" w:rsidRDefault="009500A1" w:rsidP="009500A1">
      <w:pPr>
        <w:pStyle w:val="ListParagraph"/>
        <w:rPr>
          <w:rStyle w:val="normaltextrun"/>
        </w:rPr>
      </w:pPr>
    </w:p>
    <w:p w14:paraId="46E1E4CA" w14:textId="15E6F325" w:rsidR="000817B3" w:rsidRPr="00602F08" w:rsidRDefault="004576C2" w:rsidP="00B6212D">
      <w:pPr>
        <w:numPr>
          <w:ilvl w:val="0"/>
          <w:numId w:val="10"/>
        </w:numPr>
        <w:jc w:val="both"/>
        <w:rPr>
          <w:rStyle w:val="normaltextrun"/>
          <w:lang w:val="en-US"/>
        </w:rPr>
      </w:pPr>
      <w:r>
        <w:rPr>
          <w:rStyle w:val="normaltextrun"/>
        </w:rPr>
        <w:t>I</w:t>
      </w:r>
      <w:r w:rsidR="000817B3" w:rsidRPr="00602F08">
        <w:rPr>
          <w:rStyle w:val="normaltextrun"/>
        </w:rPr>
        <w:t xml:space="preserve">n cases such as the present </w:t>
      </w:r>
      <w:r w:rsidR="009500A1">
        <w:rPr>
          <w:rStyle w:val="normaltextrun"/>
        </w:rPr>
        <w:t xml:space="preserve">he contended that </w:t>
      </w:r>
      <w:r w:rsidR="000817B3" w:rsidRPr="00602F08">
        <w:rPr>
          <w:rStyle w:val="normaltextrun"/>
        </w:rPr>
        <w:t>the debate had now passed beyond what the Courts can deal with. If the Courts tried to intervene</w:t>
      </w:r>
      <w:r w:rsidR="007A6546">
        <w:rPr>
          <w:rStyle w:val="normaltextrun"/>
        </w:rPr>
        <w:t>,</w:t>
      </w:r>
      <w:r w:rsidR="000817B3" w:rsidRPr="00602F08">
        <w:rPr>
          <w:rStyle w:val="normaltextrun"/>
        </w:rPr>
        <w:t xml:space="preserve"> they would be venturing into areas of supervision. These were areas for others and areas that the Courts were ill-equipped to judge</w:t>
      </w:r>
      <w:r w:rsidR="00D43592" w:rsidRPr="00602F08">
        <w:rPr>
          <w:rStyle w:val="normaltextrun"/>
        </w:rPr>
        <w:t>, argued Mr Ta</w:t>
      </w:r>
      <w:r w:rsidR="00645A51" w:rsidRPr="00602F08">
        <w:rPr>
          <w:rStyle w:val="normaltextrun"/>
        </w:rPr>
        <w:t>m</w:t>
      </w:r>
      <w:r w:rsidR="00D43592" w:rsidRPr="00602F08">
        <w:rPr>
          <w:rStyle w:val="normaltextrun"/>
        </w:rPr>
        <w:t xml:space="preserve"> QC</w:t>
      </w:r>
      <w:r w:rsidR="000817B3" w:rsidRPr="00602F08">
        <w:rPr>
          <w:rStyle w:val="normaltextrun"/>
        </w:rPr>
        <w:t>. Supervision of this part of the system and on a systemic basis was not for the Courts to sort out.</w:t>
      </w:r>
    </w:p>
    <w:p w14:paraId="5B8561CD" w14:textId="77777777" w:rsidR="000817B3" w:rsidRPr="00AE1DD5" w:rsidRDefault="000817B3" w:rsidP="00AE1DD5">
      <w:pPr>
        <w:jc w:val="both"/>
        <w:rPr>
          <w:rStyle w:val="normaltextrun"/>
        </w:rPr>
      </w:pPr>
    </w:p>
    <w:p w14:paraId="2705CE0A" w14:textId="5F7B6D12" w:rsidR="000817B3" w:rsidRPr="00602F08" w:rsidRDefault="000817B3" w:rsidP="00B6212D">
      <w:pPr>
        <w:numPr>
          <w:ilvl w:val="0"/>
          <w:numId w:val="10"/>
        </w:numPr>
        <w:jc w:val="both"/>
        <w:rPr>
          <w:rStyle w:val="normaltextrun"/>
          <w:lang w:val="en-US"/>
        </w:rPr>
      </w:pPr>
      <w:r w:rsidRPr="00602F08">
        <w:rPr>
          <w:rStyle w:val="normaltextrun"/>
        </w:rPr>
        <w:t>Th</w:t>
      </w:r>
      <w:r w:rsidR="001D20B1" w:rsidRPr="00602F08">
        <w:rPr>
          <w:rStyle w:val="normaltextrun"/>
        </w:rPr>
        <w:t>us, argued Mr Ta</w:t>
      </w:r>
      <w:r w:rsidR="00645A51" w:rsidRPr="00602F08">
        <w:rPr>
          <w:rStyle w:val="normaltextrun"/>
        </w:rPr>
        <w:t>m</w:t>
      </w:r>
      <w:r w:rsidR="001D20B1" w:rsidRPr="00602F08">
        <w:rPr>
          <w:rStyle w:val="normaltextrun"/>
        </w:rPr>
        <w:t xml:space="preserve"> QC, the</w:t>
      </w:r>
      <w:r w:rsidRPr="00602F08">
        <w:rPr>
          <w:rStyle w:val="normaltextrun"/>
        </w:rPr>
        <w:t xml:space="preserve"> Secretary of State could have chosen a number of different ways of providing accommodation. She had chosen to enter into a contract with private companies. Any contract</w:t>
      </w:r>
      <w:r w:rsidR="00993EEA">
        <w:rPr>
          <w:rStyle w:val="normaltextrun"/>
        </w:rPr>
        <w:t>, he pointed out,</w:t>
      </w:r>
      <w:r w:rsidRPr="00602F08">
        <w:rPr>
          <w:rStyle w:val="normaltextrun"/>
        </w:rPr>
        <w:t xml:space="preserve"> would have particular features. For example, a contract might have a fixed payment structure requiring anyone to be accommodated regardless of the cost to the contractor, working regionally, with performance monitored with KPIs and with potential financial penalties. This would generate a list of points for possible debate: why use a contractor; was it right to depend on </w:t>
      </w:r>
      <w:r w:rsidR="001D20B1" w:rsidRPr="00602F08">
        <w:rPr>
          <w:rStyle w:val="normaltextrun"/>
        </w:rPr>
        <w:t>t</w:t>
      </w:r>
      <w:r w:rsidRPr="00602F08">
        <w:rPr>
          <w:rStyle w:val="normaltextrun"/>
        </w:rPr>
        <w:t>he contractor’s ability to perform; were the incentives right; how do the incentives influence speed; why compartmentalise the country into regions? These would inform overall questions of fairness or of a systemic nature and the Courts were not well equipped to look at questions like that</w:t>
      </w:r>
      <w:r w:rsidR="007A506B" w:rsidRPr="00602F08">
        <w:rPr>
          <w:rStyle w:val="normaltextrun"/>
        </w:rPr>
        <w:t>, he argued</w:t>
      </w:r>
      <w:r w:rsidRPr="00602F08">
        <w:rPr>
          <w:rStyle w:val="normaltextrun"/>
        </w:rPr>
        <w:t xml:space="preserve">.  </w:t>
      </w:r>
    </w:p>
    <w:p w14:paraId="24BE23EF" w14:textId="77777777" w:rsidR="000817B3" w:rsidRPr="00602F08" w:rsidRDefault="000817B3" w:rsidP="00B6212D">
      <w:pPr>
        <w:pStyle w:val="ListParagraph"/>
        <w:jc w:val="both"/>
        <w:rPr>
          <w:rStyle w:val="normaltextrun"/>
          <w:rFonts w:ascii="Times New Roman" w:hAnsi="Times New Roman"/>
        </w:rPr>
      </w:pPr>
    </w:p>
    <w:p w14:paraId="2D755A8C" w14:textId="475548BD" w:rsidR="000817B3" w:rsidRPr="00602F08" w:rsidRDefault="002B475C" w:rsidP="00B6212D">
      <w:pPr>
        <w:numPr>
          <w:ilvl w:val="0"/>
          <w:numId w:val="10"/>
        </w:numPr>
        <w:jc w:val="both"/>
        <w:rPr>
          <w:rStyle w:val="normaltextrun"/>
          <w:lang w:val="en-US"/>
        </w:rPr>
      </w:pPr>
      <w:r w:rsidRPr="00602F08">
        <w:rPr>
          <w:rStyle w:val="normaltextrun"/>
        </w:rPr>
        <w:t>Mr Ta</w:t>
      </w:r>
      <w:r w:rsidR="00645A51" w:rsidRPr="00602F08">
        <w:rPr>
          <w:rStyle w:val="normaltextrun"/>
        </w:rPr>
        <w:t>m</w:t>
      </w:r>
      <w:r w:rsidRPr="00602F08">
        <w:rPr>
          <w:rStyle w:val="normaltextrun"/>
        </w:rPr>
        <w:t xml:space="preserve"> QC argued that i</w:t>
      </w:r>
      <w:r w:rsidR="000817B3" w:rsidRPr="00602F08">
        <w:rPr>
          <w:rStyle w:val="normaltextrun"/>
        </w:rPr>
        <w:t xml:space="preserve">n the present context the real constraint was not cost as such but the supply of housing. </w:t>
      </w:r>
      <w:r w:rsidR="00BE3C59" w:rsidRPr="00602F08">
        <w:rPr>
          <w:rStyle w:val="normaltextrun"/>
        </w:rPr>
        <w:t xml:space="preserve">There were </w:t>
      </w:r>
      <w:r w:rsidR="007E751A">
        <w:rPr>
          <w:rStyle w:val="normaltextrun"/>
        </w:rPr>
        <w:t>other</w:t>
      </w:r>
      <w:r w:rsidR="000817B3" w:rsidRPr="00602F08">
        <w:rPr>
          <w:rStyle w:val="normaltextrun"/>
        </w:rPr>
        <w:t xml:space="preserve"> authorities seeking to accommodate those with serious disabilities. There was competition from private individuals in what was a market economy. Moreover, </w:t>
      </w:r>
      <w:r w:rsidR="0009421F">
        <w:rPr>
          <w:rStyle w:val="normaltextrun"/>
        </w:rPr>
        <w:t xml:space="preserve">he argued, </w:t>
      </w:r>
      <w:r w:rsidR="000817B3" w:rsidRPr="00602F08">
        <w:rPr>
          <w:rStyle w:val="normaltextrun"/>
        </w:rPr>
        <w:t>it was not simply a question of finding housing. Consultation with local authorities was involved, as was regard to social and cultural considerations and to the availability of services. Some accommodation would take more time, including where work was needed to adapt it. There would be issues of prioritisation. If individual cases reached the point of requiring a pre-action protocol letter or proceedings that might draw attention to an aspect but did not show that there was systemic delay or that everything would be possible across a system</w:t>
      </w:r>
      <w:r w:rsidR="00430429" w:rsidRPr="00602F08">
        <w:rPr>
          <w:rStyle w:val="normaltextrun"/>
        </w:rPr>
        <w:t>.</w:t>
      </w:r>
    </w:p>
    <w:p w14:paraId="0A1F74B8" w14:textId="77777777" w:rsidR="000817B3" w:rsidRPr="00602F08" w:rsidRDefault="000817B3" w:rsidP="00B6212D">
      <w:pPr>
        <w:pStyle w:val="ListParagraph"/>
        <w:jc w:val="both"/>
        <w:rPr>
          <w:rStyle w:val="normaltextrun"/>
          <w:rFonts w:ascii="Times New Roman" w:hAnsi="Times New Roman"/>
        </w:rPr>
      </w:pPr>
    </w:p>
    <w:p w14:paraId="73CD71BC" w14:textId="3C4E0E5A" w:rsidR="000817B3" w:rsidRPr="008B2213" w:rsidRDefault="000817B3" w:rsidP="00B6212D">
      <w:pPr>
        <w:numPr>
          <w:ilvl w:val="0"/>
          <w:numId w:val="10"/>
        </w:numPr>
        <w:jc w:val="both"/>
        <w:rPr>
          <w:rStyle w:val="normaltextrun"/>
          <w:lang w:val="en-US"/>
        </w:rPr>
      </w:pPr>
      <w:r w:rsidRPr="00602F08">
        <w:rPr>
          <w:rStyle w:val="normaltextrun"/>
        </w:rPr>
        <w:t>Mr Ta</w:t>
      </w:r>
      <w:r w:rsidR="00645A51" w:rsidRPr="00602F08">
        <w:rPr>
          <w:rStyle w:val="normaltextrun"/>
        </w:rPr>
        <w:t>m</w:t>
      </w:r>
      <w:r w:rsidRPr="00602F08">
        <w:rPr>
          <w:rStyle w:val="normaltextrun"/>
        </w:rPr>
        <w:t xml:space="preserve"> QC said he was not suggesting all was working perfectly, but why it was not and where it was not was a question that it was very difficult for a Court to answer. Further</w:t>
      </w:r>
      <w:r w:rsidR="009918B5">
        <w:rPr>
          <w:rStyle w:val="normaltextrun"/>
        </w:rPr>
        <w:t>, he asked rhetorically,</w:t>
      </w:r>
      <w:r w:rsidRPr="00602F08">
        <w:rPr>
          <w:rStyle w:val="normaltextrun"/>
        </w:rPr>
        <w:t xml:space="preserve"> how would intervention by the Courts work? If anyone was to undertake a proper systemic review then they would </w:t>
      </w:r>
      <w:r w:rsidRPr="008B2213">
        <w:rPr>
          <w:rStyle w:val="normaltextrun"/>
        </w:rPr>
        <w:t>have to ask many questions: were the</w:t>
      </w:r>
      <w:r w:rsidR="00AC5AF0" w:rsidRPr="008B2213">
        <w:rPr>
          <w:rStyle w:val="normaltextrun"/>
        </w:rPr>
        <w:t>re</w:t>
      </w:r>
      <w:r w:rsidRPr="008B2213">
        <w:rPr>
          <w:rStyle w:val="normaltextrun"/>
        </w:rPr>
        <w:t xml:space="preserve"> better models; what were their disadvantages; should money be “thrown at the problem” and would tha</w:t>
      </w:r>
      <w:r w:rsidR="00902EC6" w:rsidRPr="008B2213">
        <w:rPr>
          <w:rStyle w:val="normaltextrun"/>
        </w:rPr>
        <w:t>t</w:t>
      </w:r>
      <w:r w:rsidRPr="008B2213">
        <w:rPr>
          <w:rStyle w:val="normaltextrun"/>
        </w:rPr>
        <w:t xml:space="preserve"> even work? </w:t>
      </w:r>
    </w:p>
    <w:p w14:paraId="2B9130A9" w14:textId="77777777" w:rsidR="000817B3" w:rsidRPr="008B2213" w:rsidRDefault="000817B3" w:rsidP="00B6212D">
      <w:pPr>
        <w:pStyle w:val="ListParagraph"/>
        <w:jc w:val="both"/>
        <w:rPr>
          <w:rStyle w:val="normaltextrun"/>
          <w:rFonts w:ascii="Times New Roman" w:hAnsi="Times New Roman"/>
        </w:rPr>
      </w:pPr>
    </w:p>
    <w:p w14:paraId="5B524F5C" w14:textId="7814DE8E" w:rsidR="008B2213" w:rsidRPr="008B2213" w:rsidRDefault="00CE5F1F" w:rsidP="008B2213">
      <w:pPr>
        <w:pStyle w:val="ListParagraph"/>
        <w:numPr>
          <w:ilvl w:val="0"/>
          <w:numId w:val="10"/>
        </w:numPr>
        <w:jc w:val="both"/>
        <w:rPr>
          <w:rStyle w:val="normaltextrun"/>
          <w:rFonts w:ascii="Times New Roman" w:hAnsi="Times New Roman"/>
          <w:lang w:val="en-US"/>
        </w:rPr>
      </w:pPr>
      <w:r w:rsidRPr="008B2213">
        <w:rPr>
          <w:rStyle w:val="normaltextrun"/>
          <w:rFonts w:ascii="Times New Roman" w:hAnsi="Times New Roman"/>
        </w:rPr>
        <w:t>Of course</w:t>
      </w:r>
      <w:r w:rsidR="003333A7" w:rsidRPr="008B2213">
        <w:rPr>
          <w:rStyle w:val="normaltextrun"/>
          <w:rFonts w:ascii="Times New Roman" w:hAnsi="Times New Roman"/>
        </w:rPr>
        <w:t>,</w:t>
      </w:r>
      <w:r w:rsidRPr="008B2213">
        <w:rPr>
          <w:rStyle w:val="normaltextrun"/>
          <w:rFonts w:ascii="Times New Roman" w:hAnsi="Times New Roman"/>
        </w:rPr>
        <w:t xml:space="preserve"> Mr Ta</w:t>
      </w:r>
      <w:r w:rsidR="00645A51" w:rsidRPr="008B2213">
        <w:rPr>
          <w:rStyle w:val="normaltextrun"/>
          <w:rFonts w:ascii="Times New Roman" w:hAnsi="Times New Roman"/>
        </w:rPr>
        <w:t>m</w:t>
      </w:r>
      <w:r w:rsidRPr="008B2213">
        <w:rPr>
          <w:rStyle w:val="normaltextrun"/>
          <w:rFonts w:ascii="Times New Roman" w:hAnsi="Times New Roman"/>
        </w:rPr>
        <w:t xml:space="preserve"> QC </w:t>
      </w:r>
      <w:r w:rsidR="000817B3" w:rsidRPr="008B2213">
        <w:rPr>
          <w:rStyle w:val="normaltextrun"/>
          <w:rFonts w:ascii="Times New Roman" w:hAnsi="Times New Roman"/>
        </w:rPr>
        <w:t xml:space="preserve">acknowledged that </w:t>
      </w:r>
      <w:r w:rsidR="00AC5AF0" w:rsidRPr="008B2213">
        <w:rPr>
          <w:rStyle w:val="normaltextrun"/>
          <w:rFonts w:ascii="Times New Roman" w:hAnsi="Times New Roman"/>
        </w:rPr>
        <w:t xml:space="preserve">there were situations </w:t>
      </w:r>
      <w:r w:rsidR="00281B00">
        <w:rPr>
          <w:rStyle w:val="normaltextrun"/>
          <w:rFonts w:ascii="Times New Roman" w:hAnsi="Times New Roman"/>
        </w:rPr>
        <w:t xml:space="preserve">in other fields </w:t>
      </w:r>
      <w:r w:rsidR="00AC5AF0" w:rsidRPr="008B2213">
        <w:rPr>
          <w:rStyle w:val="normaltextrun"/>
          <w:rFonts w:ascii="Times New Roman" w:hAnsi="Times New Roman"/>
        </w:rPr>
        <w:t xml:space="preserve">where </w:t>
      </w:r>
      <w:r w:rsidR="000817B3" w:rsidRPr="008B2213">
        <w:rPr>
          <w:rStyle w:val="normaltextrun"/>
          <w:rFonts w:ascii="Times New Roman" w:hAnsi="Times New Roman"/>
        </w:rPr>
        <w:t xml:space="preserve">the Courts became involved in </w:t>
      </w:r>
      <w:r w:rsidR="00FD083B">
        <w:rPr>
          <w:rStyle w:val="normaltextrun"/>
          <w:rFonts w:ascii="Times New Roman" w:hAnsi="Times New Roman"/>
        </w:rPr>
        <w:t xml:space="preserve">a </w:t>
      </w:r>
      <w:r w:rsidR="000817B3" w:rsidRPr="008B2213">
        <w:rPr>
          <w:rStyle w:val="normaltextrun"/>
          <w:rFonts w:ascii="Times New Roman" w:hAnsi="Times New Roman"/>
        </w:rPr>
        <w:t>review</w:t>
      </w:r>
      <w:r w:rsidR="00513058" w:rsidRPr="008B2213">
        <w:rPr>
          <w:rStyle w:val="normaltextrun"/>
          <w:rFonts w:ascii="Times New Roman" w:hAnsi="Times New Roman"/>
        </w:rPr>
        <w:t xml:space="preserve"> that could be considered systemic</w:t>
      </w:r>
      <w:r w:rsidR="00DC6D11" w:rsidRPr="008B2213">
        <w:rPr>
          <w:rStyle w:val="normaltextrun"/>
          <w:rFonts w:ascii="Times New Roman" w:hAnsi="Times New Roman"/>
        </w:rPr>
        <w:t xml:space="preserve">. </w:t>
      </w:r>
      <w:r w:rsidR="00E32E10" w:rsidRPr="008B2213">
        <w:rPr>
          <w:rStyle w:val="normaltextrun"/>
          <w:rFonts w:ascii="Times New Roman" w:hAnsi="Times New Roman"/>
        </w:rPr>
        <w:t>I gave the example of</w:t>
      </w:r>
      <w:r w:rsidR="000817B3" w:rsidRPr="008B2213">
        <w:rPr>
          <w:rStyle w:val="normaltextrun"/>
          <w:rFonts w:ascii="Times New Roman" w:hAnsi="Times New Roman"/>
        </w:rPr>
        <w:t xml:space="preserve"> competition law</w:t>
      </w:r>
      <w:r w:rsidRPr="008B2213">
        <w:rPr>
          <w:rStyle w:val="normaltextrun"/>
          <w:rFonts w:ascii="Times New Roman" w:hAnsi="Times New Roman"/>
        </w:rPr>
        <w:t xml:space="preserve">. </w:t>
      </w:r>
      <w:r w:rsidR="00A049EC" w:rsidRPr="008B2213">
        <w:rPr>
          <w:rStyle w:val="normaltextrun"/>
          <w:rFonts w:ascii="Times New Roman" w:hAnsi="Times New Roman"/>
        </w:rPr>
        <w:t xml:space="preserve">There will no doubt be better examples. </w:t>
      </w:r>
      <w:r w:rsidR="00765E81" w:rsidRPr="008B2213">
        <w:rPr>
          <w:rStyle w:val="normaltextrun"/>
          <w:rFonts w:ascii="Times New Roman" w:hAnsi="Times New Roman"/>
        </w:rPr>
        <w:t xml:space="preserve">But </w:t>
      </w:r>
      <w:r w:rsidRPr="008B2213">
        <w:rPr>
          <w:rStyle w:val="normaltextrun"/>
          <w:rFonts w:ascii="Times New Roman" w:hAnsi="Times New Roman"/>
        </w:rPr>
        <w:t>Mr Ta</w:t>
      </w:r>
      <w:r w:rsidR="00645A51" w:rsidRPr="008B2213">
        <w:rPr>
          <w:rStyle w:val="normaltextrun"/>
          <w:rFonts w:ascii="Times New Roman" w:hAnsi="Times New Roman"/>
        </w:rPr>
        <w:t>m</w:t>
      </w:r>
      <w:r w:rsidRPr="008B2213">
        <w:rPr>
          <w:rStyle w:val="normaltextrun"/>
          <w:rFonts w:ascii="Times New Roman" w:hAnsi="Times New Roman"/>
        </w:rPr>
        <w:t xml:space="preserve"> QC</w:t>
      </w:r>
      <w:r w:rsidR="00E32E10" w:rsidRPr="008B2213">
        <w:rPr>
          <w:rStyle w:val="normaltextrun"/>
          <w:rFonts w:ascii="Times New Roman" w:hAnsi="Times New Roman"/>
        </w:rPr>
        <w:t xml:space="preserve"> urged the</w:t>
      </w:r>
      <w:r w:rsidR="000817B3" w:rsidRPr="008B2213">
        <w:rPr>
          <w:rStyle w:val="normaltextrun"/>
          <w:rFonts w:ascii="Times New Roman" w:hAnsi="Times New Roman"/>
        </w:rPr>
        <w:t xml:space="preserve"> the</w:t>
      </w:r>
      <w:r w:rsidR="00AC5AF0" w:rsidRPr="008B2213">
        <w:rPr>
          <w:rStyle w:val="normaltextrun"/>
          <w:rFonts w:ascii="Times New Roman" w:hAnsi="Times New Roman"/>
        </w:rPr>
        <w:t>s</w:t>
      </w:r>
      <w:r w:rsidR="000817B3" w:rsidRPr="008B2213">
        <w:rPr>
          <w:rStyle w:val="normaltextrun"/>
          <w:rFonts w:ascii="Times New Roman" w:hAnsi="Times New Roman"/>
        </w:rPr>
        <w:t xml:space="preserve">e were exceptions, and unusual, and </w:t>
      </w:r>
      <w:r w:rsidR="00AC5AF0" w:rsidRPr="008B2213">
        <w:rPr>
          <w:rStyle w:val="normaltextrun"/>
          <w:rFonts w:ascii="Times New Roman" w:hAnsi="Times New Roman"/>
        </w:rPr>
        <w:t xml:space="preserve">were </w:t>
      </w:r>
      <w:r w:rsidR="000817B3" w:rsidRPr="008B2213">
        <w:rPr>
          <w:rStyle w:val="normaltextrun"/>
          <w:rFonts w:ascii="Times New Roman" w:hAnsi="Times New Roman"/>
        </w:rPr>
        <w:t>where the tasks had been given to the Courts by Parliament, and where the operation of private enterprises was examined.</w:t>
      </w:r>
      <w:r w:rsidR="008B2213" w:rsidRPr="008B2213">
        <w:rPr>
          <w:rStyle w:val="normaltextrun"/>
          <w:rFonts w:ascii="Times New Roman" w:hAnsi="Times New Roman"/>
        </w:rPr>
        <w:t xml:space="preserve"> </w:t>
      </w:r>
    </w:p>
    <w:p w14:paraId="7FBB52F6" w14:textId="77777777" w:rsidR="008B2213" w:rsidRPr="008B2213" w:rsidRDefault="008B2213" w:rsidP="008B2213">
      <w:pPr>
        <w:pStyle w:val="ListParagraph"/>
        <w:rPr>
          <w:rStyle w:val="normaltextrun"/>
          <w:rFonts w:ascii="Times New Roman" w:hAnsi="Times New Roman"/>
        </w:rPr>
      </w:pPr>
    </w:p>
    <w:p w14:paraId="5DA0983A" w14:textId="5B669CC5" w:rsidR="008B2213" w:rsidRPr="008B2213" w:rsidRDefault="008B2213" w:rsidP="008B2213">
      <w:pPr>
        <w:pStyle w:val="ListParagraph"/>
        <w:numPr>
          <w:ilvl w:val="0"/>
          <w:numId w:val="10"/>
        </w:numPr>
        <w:jc w:val="both"/>
        <w:rPr>
          <w:rFonts w:ascii="Times New Roman" w:hAnsi="Times New Roman"/>
          <w:lang w:val="en-US"/>
        </w:rPr>
      </w:pPr>
      <w:r w:rsidRPr="008B2213">
        <w:rPr>
          <w:rStyle w:val="normaltextrun"/>
          <w:rFonts w:ascii="Times New Roman" w:hAnsi="Times New Roman"/>
        </w:rPr>
        <w:t>Reviewing some of the authorities on systemic challenges</w:t>
      </w:r>
      <w:r>
        <w:rPr>
          <w:rStyle w:val="normaltextrun"/>
          <w:rFonts w:ascii="Times New Roman" w:hAnsi="Times New Roman"/>
        </w:rPr>
        <w:t xml:space="preserve"> in judicial review</w:t>
      </w:r>
      <w:r w:rsidR="00281B00">
        <w:rPr>
          <w:rStyle w:val="normaltextrun"/>
          <w:rFonts w:ascii="Times New Roman" w:hAnsi="Times New Roman"/>
        </w:rPr>
        <w:t xml:space="preserve"> of administrative action</w:t>
      </w:r>
      <w:r w:rsidRPr="008B2213">
        <w:rPr>
          <w:rStyle w:val="normaltextrun"/>
          <w:rFonts w:ascii="Times New Roman" w:hAnsi="Times New Roman"/>
        </w:rPr>
        <w:t>, Mr Tam QC argued that even</w:t>
      </w:r>
      <w:r w:rsidRPr="008B2213">
        <w:rPr>
          <w:rStyle w:val="normaltextrun"/>
          <w:rFonts w:ascii="Times New Roman" w:hAnsi="Times New Roman"/>
          <w:color w:val="000000"/>
        </w:rPr>
        <w:t xml:space="preserve"> if one were to take the claimants’ case at its highest, the most that they could hope to show is that there may well be “aberrant decisions and unfairness in individual cases”; but that is insufficient to justify a challenge to the system. This draws on language derived from </w:t>
      </w:r>
      <w:r w:rsidRPr="008B2213">
        <w:rPr>
          <w:rFonts w:ascii="Times New Roman" w:hAnsi="Times New Roman"/>
          <w:color w:val="000000"/>
          <w:u w:val="single"/>
          <w:lang w:eastAsia="en-GB"/>
        </w:rPr>
        <w:t>R (Detention Action) v First-tier Tribunal</w:t>
      </w:r>
      <w:r w:rsidRPr="008B2213">
        <w:rPr>
          <w:rFonts w:ascii="Times New Roman" w:hAnsi="Times New Roman"/>
          <w:color w:val="000000"/>
          <w:lang w:eastAsia="en-GB"/>
        </w:rPr>
        <w:t xml:space="preserve"> [2015] EWCA Civ 840, [2015] 1 WLR 5341, Lord Dyson MR (Briggs and Bean LJJ concurring), and see also</w:t>
      </w:r>
      <w:r w:rsidRPr="008B2213">
        <w:rPr>
          <w:rFonts w:ascii="Times New Roman" w:hAnsi="Times New Roman"/>
          <w:lang w:eastAsia="en-GB"/>
        </w:rPr>
        <w:t xml:space="preserve"> </w:t>
      </w:r>
      <w:r w:rsidRPr="008B2213">
        <w:rPr>
          <w:rFonts w:ascii="Times New Roman" w:hAnsi="Times New Roman"/>
          <w:u w:val="single"/>
          <w:lang w:eastAsia="en-GB"/>
        </w:rPr>
        <w:t>R (O &amp; Anor) v Secretary of State for the Home Department</w:t>
      </w:r>
      <w:r w:rsidRPr="008B2213">
        <w:rPr>
          <w:rFonts w:ascii="Times New Roman" w:hAnsi="Times New Roman"/>
          <w:lang w:eastAsia="en-GB"/>
        </w:rPr>
        <w:t xml:space="preserve"> [2019] EWHC 148 (Admin) at [93] (Garnham J). </w:t>
      </w:r>
    </w:p>
    <w:p w14:paraId="74FCDA6F" w14:textId="77777777" w:rsidR="008B2213" w:rsidRPr="008B2213" w:rsidRDefault="008B2213" w:rsidP="008B2213">
      <w:pPr>
        <w:pStyle w:val="ListParagraph"/>
        <w:rPr>
          <w:rStyle w:val="normaltextrun"/>
          <w:rFonts w:ascii="Times New Roman" w:hAnsi="Times New Roman"/>
          <w:color w:val="000000"/>
        </w:rPr>
      </w:pPr>
    </w:p>
    <w:p w14:paraId="2354CDB6" w14:textId="73C988F2" w:rsidR="008B2213" w:rsidRPr="00AA0C52" w:rsidRDefault="008B2213" w:rsidP="008B2213">
      <w:pPr>
        <w:pStyle w:val="ListParagraph"/>
        <w:numPr>
          <w:ilvl w:val="0"/>
          <w:numId w:val="10"/>
        </w:numPr>
        <w:jc w:val="both"/>
        <w:rPr>
          <w:rStyle w:val="eop"/>
          <w:rFonts w:ascii="Times New Roman" w:hAnsi="Times New Roman"/>
          <w:lang w:val="en-US"/>
        </w:rPr>
      </w:pPr>
      <w:r w:rsidRPr="008B2213">
        <w:rPr>
          <w:rStyle w:val="normaltextrun"/>
          <w:rFonts w:ascii="Times New Roman" w:hAnsi="Times New Roman"/>
          <w:color w:val="000000"/>
        </w:rPr>
        <w:t xml:space="preserve">Mr Tam QC cited </w:t>
      </w:r>
      <w:r w:rsidRPr="008B2213">
        <w:rPr>
          <w:rStyle w:val="normaltextrun"/>
          <w:rFonts w:ascii="Times New Roman" w:hAnsi="Times New Roman"/>
          <w:color w:val="000000"/>
          <w:u w:val="single"/>
        </w:rPr>
        <w:t>R (Refugee Legal Centre) v Secretary of State for the Home Department</w:t>
      </w:r>
      <w:r w:rsidRPr="008B2213">
        <w:rPr>
          <w:rStyle w:val="normaltextrun"/>
          <w:rFonts w:ascii="Times New Roman" w:hAnsi="Times New Roman"/>
          <w:color w:val="000000"/>
        </w:rPr>
        <w:t xml:space="preserve"> [2005] 1 WLR 2219 at [20] to support the proposition that the question is whether the system operated by the Secretary of State "considered in the round” carried "an unacceptable risk of unfairness” to asylum seekers and </w:t>
      </w:r>
      <w:r w:rsidRPr="008B2213">
        <w:rPr>
          <w:rStyle w:val="normaltextrun"/>
          <w:rFonts w:ascii="Times New Roman" w:hAnsi="Times New Roman"/>
          <w:color w:val="000000"/>
          <w:u w:val="single"/>
        </w:rPr>
        <w:t>R (Tabbakh) v Staffordshire And West Midlands Probation Trust &amp; Anor</w:t>
      </w:r>
      <w:r w:rsidRPr="008B2213">
        <w:rPr>
          <w:rStyle w:val="normaltextrun"/>
          <w:rFonts w:ascii="Times New Roman" w:hAnsi="Times New Roman"/>
          <w:color w:val="000000"/>
        </w:rPr>
        <w:t xml:space="preserve"> [2014] EWCA Civ 827 at [24] and </w:t>
      </w:r>
      <w:r w:rsidRPr="008B2213">
        <w:rPr>
          <w:rStyle w:val="normaltextrun"/>
          <w:rFonts w:ascii="Times New Roman" w:hAnsi="Times New Roman"/>
          <w:color w:val="000000"/>
          <w:u w:val="single"/>
        </w:rPr>
        <w:t xml:space="preserve">R </w:t>
      </w:r>
      <w:r w:rsidRPr="00AA0C52">
        <w:rPr>
          <w:rStyle w:val="normaltextrun"/>
          <w:rFonts w:ascii="Times New Roman" w:hAnsi="Times New Roman"/>
          <w:color w:val="000000"/>
          <w:u w:val="single"/>
        </w:rPr>
        <w:t>(Detention Action)</w:t>
      </w:r>
      <w:r w:rsidRPr="00AA0C52">
        <w:rPr>
          <w:rStyle w:val="normaltextrun"/>
          <w:rFonts w:ascii="Times New Roman" w:hAnsi="Times New Roman"/>
          <w:color w:val="000000"/>
        </w:rPr>
        <w:t xml:space="preserve"> at [27] to support the proposition that the relevant threshold </w:t>
      </w:r>
      <w:r w:rsidR="005411A2" w:rsidRPr="00AA0C52">
        <w:rPr>
          <w:rStyle w:val="normaltextrun"/>
          <w:rFonts w:ascii="Times New Roman" w:hAnsi="Times New Roman"/>
          <w:color w:val="000000"/>
        </w:rPr>
        <w:t xml:space="preserve">for </w:t>
      </w:r>
      <w:r w:rsidR="00E24C36" w:rsidRPr="00AA0C52">
        <w:rPr>
          <w:rStyle w:val="normaltextrun"/>
          <w:rFonts w:ascii="Times New Roman" w:hAnsi="Times New Roman"/>
          <w:color w:val="000000"/>
        </w:rPr>
        <w:t xml:space="preserve">intervention </w:t>
      </w:r>
      <w:r w:rsidRPr="00AA0C52">
        <w:rPr>
          <w:rStyle w:val="normaltextrun"/>
          <w:rFonts w:ascii="Times New Roman" w:hAnsi="Times New Roman"/>
          <w:color w:val="000000"/>
        </w:rPr>
        <w:t>is high.</w:t>
      </w:r>
      <w:r w:rsidRPr="00AA0C52">
        <w:rPr>
          <w:rStyle w:val="eop"/>
          <w:rFonts w:ascii="Times New Roman" w:hAnsi="Times New Roman"/>
          <w:color w:val="000000"/>
        </w:rPr>
        <w:t xml:space="preserve"> </w:t>
      </w:r>
    </w:p>
    <w:p w14:paraId="07647C7D" w14:textId="77777777" w:rsidR="008B2213" w:rsidRPr="00AA0C52" w:rsidRDefault="008B2213" w:rsidP="008B2213">
      <w:pPr>
        <w:pStyle w:val="ListParagraph"/>
        <w:jc w:val="both"/>
        <w:rPr>
          <w:rStyle w:val="eop"/>
          <w:rFonts w:ascii="Times New Roman" w:hAnsi="Times New Roman"/>
          <w:color w:val="000000"/>
        </w:rPr>
      </w:pPr>
    </w:p>
    <w:p w14:paraId="32978080" w14:textId="34F20692" w:rsidR="001D2659" w:rsidRDefault="008B2213" w:rsidP="005D70DC">
      <w:pPr>
        <w:pStyle w:val="ListParagraph"/>
        <w:widowControl w:val="0"/>
        <w:numPr>
          <w:ilvl w:val="0"/>
          <w:numId w:val="10"/>
        </w:numPr>
        <w:tabs>
          <w:tab w:val="left" w:pos="688"/>
        </w:tabs>
        <w:autoSpaceDE w:val="0"/>
        <w:autoSpaceDN w:val="0"/>
        <w:contextualSpacing w:val="0"/>
        <w:jc w:val="both"/>
        <w:rPr>
          <w:rStyle w:val="eop"/>
          <w:rFonts w:ascii="Times New Roman" w:hAnsi="Times New Roman"/>
        </w:rPr>
      </w:pPr>
      <w:r w:rsidRPr="00AA0C52">
        <w:rPr>
          <w:rStyle w:val="eop"/>
          <w:rFonts w:ascii="Times New Roman" w:hAnsi="Times New Roman"/>
          <w:color w:val="000000"/>
        </w:rPr>
        <w:t xml:space="preserve">The latter authority was also cited by Mr Tam QC to support the proposition that </w:t>
      </w:r>
      <w:r w:rsidRPr="00AA0C52">
        <w:rPr>
          <w:rStyle w:val="normaltextrun"/>
          <w:rFonts w:ascii="Times New Roman" w:hAnsi="Times New Roman"/>
          <w:color w:val="000000"/>
        </w:rPr>
        <w:t xml:space="preserve">in considering whether a system is </w:t>
      </w:r>
      <w:r w:rsidR="00E24C36" w:rsidRPr="00AA0C52">
        <w:rPr>
          <w:rStyle w:val="normaltextrun"/>
          <w:rFonts w:ascii="Times New Roman" w:hAnsi="Times New Roman"/>
          <w:color w:val="000000"/>
        </w:rPr>
        <w:t xml:space="preserve">a </w:t>
      </w:r>
      <w:r w:rsidRPr="00AA0C52">
        <w:rPr>
          <w:rStyle w:val="normaltextrun"/>
          <w:rFonts w:ascii="Times New Roman" w:hAnsi="Times New Roman"/>
          <w:color w:val="000000"/>
        </w:rPr>
        <w:t>fair</w:t>
      </w:r>
      <w:r w:rsidR="00E24C36" w:rsidRPr="00AA0C52">
        <w:rPr>
          <w:rStyle w:val="normaltextrun"/>
          <w:rFonts w:ascii="Times New Roman" w:hAnsi="Times New Roman"/>
          <w:color w:val="000000"/>
        </w:rPr>
        <w:t xml:space="preserve"> system</w:t>
      </w:r>
      <w:r w:rsidRPr="00AA0C52">
        <w:rPr>
          <w:rStyle w:val="normaltextrun"/>
          <w:rFonts w:ascii="Times New Roman" w:hAnsi="Times New Roman"/>
          <w:color w:val="000000"/>
        </w:rPr>
        <w:t>, one must look at the full run of cases that go through the system</w:t>
      </w:r>
      <w:r w:rsidRPr="00AA0C52">
        <w:rPr>
          <w:rStyle w:val="eop"/>
          <w:rFonts w:ascii="Times New Roman" w:hAnsi="Times New Roman"/>
          <w:color w:val="000000"/>
        </w:rPr>
        <w:t xml:space="preserve">. </w:t>
      </w:r>
      <w:r w:rsidRPr="00AA0C52">
        <w:rPr>
          <w:rStyle w:val="normaltextrun"/>
          <w:rFonts w:ascii="Times New Roman" w:hAnsi="Times New Roman"/>
          <w:color w:val="000000"/>
        </w:rPr>
        <w:t xml:space="preserve">In </w:t>
      </w:r>
      <w:r w:rsidRPr="00AA0C52">
        <w:rPr>
          <w:rStyle w:val="normaltextrun"/>
          <w:rFonts w:ascii="Times New Roman" w:hAnsi="Times New Roman"/>
          <w:color w:val="000000"/>
          <w:u w:val="single"/>
        </w:rPr>
        <w:t>Director of Legal Aid Casework &amp; Anor v IS</w:t>
      </w:r>
      <w:r w:rsidRPr="00AA0C52">
        <w:rPr>
          <w:rStyle w:val="normaltextrun"/>
          <w:rFonts w:ascii="Times New Roman" w:hAnsi="Times New Roman"/>
          <w:color w:val="000000"/>
        </w:rPr>
        <w:t xml:space="preserve"> [2016] EWCA Civ 464, Laws LJ added the observation that “proof of a systematic failure is not to be equated with proof of a series of individual failures. There is an obvious but important difference between a scheme or system which is inherently bad and unlawful on that account, and one which is being badly operated.”</w:t>
      </w:r>
      <w:r w:rsidRPr="00AA0C52">
        <w:rPr>
          <w:rFonts w:ascii="Times New Roman" w:hAnsi="Times New Roman"/>
          <w:lang w:eastAsia="en-GB"/>
        </w:rPr>
        <w:t xml:space="preserve"> </w:t>
      </w:r>
      <w:r w:rsidRPr="00AA0C52">
        <w:rPr>
          <w:rFonts w:ascii="Times New Roman" w:hAnsi="Times New Roman"/>
        </w:rPr>
        <w:t xml:space="preserve">The summary of legal principles by Hickinbottom LJ in </w:t>
      </w:r>
      <w:r w:rsidRPr="00AA0C52">
        <w:rPr>
          <w:rFonts w:ascii="Times New Roman" w:hAnsi="Times New Roman"/>
          <w:u w:val="single"/>
        </w:rPr>
        <w:t>R (Woolcock) v Secretary of State for Communities and Local Government and others</w:t>
      </w:r>
      <w:r w:rsidRPr="00AA0C52">
        <w:rPr>
          <w:rFonts w:ascii="Times New Roman" w:hAnsi="Times New Roman"/>
        </w:rPr>
        <w:t xml:space="preserve"> [2018] EWHC 17 (Admin), [2018] 4 WLR 49, at [51]-[68] was also cited.</w:t>
      </w:r>
      <w:r w:rsidRPr="00AA0C52">
        <w:rPr>
          <w:rStyle w:val="eop"/>
          <w:rFonts w:ascii="Times New Roman" w:hAnsi="Times New Roman"/>
        </w:rPr>
        <w:t xml:space="preserve">  </w:t>
      </w:r>
    </w:p>
    <w:p w14:paraId="43F2EE7F" w14:textId="77777777" w:rsidR="00403CDF" w:rsidRPr="00403CDF" w:rsidRDefault="00403CDF" w:rsidP="00403CDF">
      <w:pPr>
        <w:widowControl w:val="0"/>
        <w:tabs>
          <w:tab w:val="left" w:pos="688"/>
        </w:tabs>
        <w:autoSpaceDE w:val="0"/>
        <w:autoSpaceDN w:val="0"/>
        <w:jc w:val="both"/>
        <w:rPr>
          <w:rStyle w:val="eop"/>
        </w:rPr>
      </w:pPr>
    </w:p>
    <w:p w14:paraId="44A3B55C" w14:textId="77777777" w:rsidR="00403CDF" w:rsidRPr="00AA0C52" w:rsidRDefault="00403CDF" w:rsidP="00403CDF">
      <w:pPr>
        <w:pStyle w:val="ListParagraph"/>
        <w:numPr>
          <w:ilvl w:val="0"/>
          <w:numId w:val="10"/>
        </w:numPr>
        <w:jc w:val="both"/>
        <w:rPr>
          <w:rFonts w:ascii="Times New Roman" w:hAnsi="Times New Roman"/>
          <w:lang w:val="en-US"/>
        </w:rPr>
      </w:pPr>
      <w:r w:rsidRPr="00AA0C52">
        <w:rPr>
          <w:rFonts w:ascii="Times New Roman" w:hAnsi="Times New Roman"/>
          <w:lang w:eastAsia="en-GB"/>
        </w:rPr>
        <w:t xml:space="preserve">In </w:t>
      </w:r>
      <w:r w:rsidRPr="00AA0C52">
        <w:rPr>
          <w:rFonts w:ascii="Times New Roman" w:hAnsi="Times New Roman"/>
          <w:u w:val="single"/>
          <w:lang w:eastAsia="en-GB"/>
        </w:rPr>
        <w:t>R(BF (Eritrea) v Secretary of State for the Home Department</w:t>
      </w:r>
      <w:r w:rsidRPr="00AA0C52">
        <w:rPr>
          <w:rFonts w:ascii="Times New Roman" w:hAnsi="Times New Roman"/>
          <w:lang w:eastAsia="en-GB"/>
        </w:rPr>
        <w:t xml:space="preserve"> [2019] EWCA Civ 872, [2020] 4 WLR Underhill LJ, in a case about  policy and guidance, held that “[t]he issue is whether the terms of the policy themselves create a [real] risk [of a more than minimal number of unlawful decisions] which could be avoided if they were better formulated.”. In </w:t>
      </w:r>
      <w:r w:rsidRPr="00AA0C52">
        <w:rPr>
          <w:rFonts w:ascii="Times New Roman" w:hAnsi="Times New Roman"/>
          <w:u w:val="single"/>
          <w:lang w:eastAsia="en-GB"/>
        </w:rPr>
        <w:t>R(W)</w:t>
      </w:r>
      <w:r w:rsidRPr="00AA0C52">
        <w:rPr>
          <w:rFonts w:ascii="Times New Roman" w:hAnsi="Times New Roman"/>
          <w:lang w:eastAsia="en-GB"/>
        </w:rPr>
        <w:t xml:space="preserve"> at [58] a test of this kind was described as “consistent with principle” in “the specific context of challenges to guidance”. </w:t>
      </w:r>
      <w:r w:rsidRPr="00AA0C52">
        <w:rPr>
          <w:rFonts w:ascii="Times New Roman" w:hAnsi="Times New Roman"/>
        </w:rPr>
        <w:t xml:space="preserve">See also </w:t>
      </w:r>
      <w:r w:rsidRPr="00AA0C52">
        <w:rPr>
          <w:rFonts w:ascii="Times New Roman" w:hAnsi="Times New Roman"/>
          <w:u w:val="single"/>
        </w:rPr>
        <w:t>R (MK and AH) v Secretary of State for the Home Department</w:t>
      </w:r>
      <w:r w:rsidRPr="00AA0C52">
        <w:rPr>
          <w:rFonts w:ascii="Times New Roman" w:hAnsi="Times New Roman"/>
        </w:rPr>
        <w:t xml:space="preserve"> [2012] EWHC 1896 (Admin) at [152], citing the House of Lords in </w:t>
      </w:r>
      <w:r w:rsidRPr="00AA0C52">
        <w:rPr>
          <w:rFonts w:ascii="Times New Roman" w:hAnsi="Times New Roman"/>
          <w:u w:val="single"/>
        </w:rPr>
        <w:t>Munjaz v Merseycare NHS Trust</w:t>
      </w:r>
      <w:r w:rsidRPr="00AA0C52">
        <w:rPr>
          <w:rFonts w:ascii="Times New Roman" w:hAnsi="Times New Roman"/>
        </w:rPr>
        <w:t xml:space="preserve"> [2006] 2 AC 148.</w:t>
      </w:r>
    </w:p>
    <w:p w14:paraId="4C9CC59D" w14:textId="77777777" w:rsidR="00D56473" w:rsidRPr="00403CDF" w:rsidRDefault="00D56473" w:rsidP="00403CDF">
      <w:pPr>
        <w:rPr>
          <w:rStyle w:val="normaltextrun"/>
        </w:rPr>
      </w:pPr>
    </w:p>
    <w:p w14:paraId="49EDEDBD" w14:textId="2DD17BB0" w:rsidR="004848D9" w:rsidRPr="00AA0C52" w:rsidRDefault="004848D9" w:rsidP="004848D9">
      <w:pPr>
        <w:pStyle w:val="ListParagraph"/>
        <w:widowControl w:val="0"/>
        <w:numPr>
          <w:ilvl w:val="0"/>
          <w:numId w:val="10"/>
        </w:numPr>
        <w:tabs>
          <w:tab w:val="left" w:pos="688"/>
        </w:tabs>
        <w:autoSpaceDE w:val="0"/>
        <w:autoSpaceDN w:val="0"/>
        <w:contextualSpacing w:val="0"/>
        <w:jc w:val="both"/>
        <w:rPr>
          <w:rFonts w:ascii="Times New Roman" w:hAnsi="Times New Roman"/>
        </w:rPr>
      </w:pPr>
      <w:r w:rsidRPr="00AA0C52">
        <w:rPr>
          <w:rFonts w:ascii="Times New Roman" w:hAnsi="Times New Roman"/>
          <w:bCs/>
        </w:rPr>
        <w:t xml:space="preserve">Both Mr Goodman and Ms Leventhal drew attention to the very recent decision in </w:t>
      </w:r>
      <w:r w:rsidRPr="00AA0C52">
        <w:rPr>
          <w:rFonts w:ascii="Times New Roman" w:hAnsi="Times New Roman"/>
          <w:bCs/>
          <w:u w:val="single"/>
        </w:rPr>
        <w:t>R (Oleh Humnyntskyi and Others)</w:t>
      </w:r>
      <w:r w:rsidRPr="00AA0C52">
        <w:rPr>
          <w:rFonts w:ascii="Times New Roman" w:hAnsi="Times New Roman"/>
          <w:bCs/>
        </w:rPr>
        <w:t xml:space="preserve"> </w:t>
      </w:r>
      <w:r w:rsidR="00134AE6" w:rsidRPr="00AA0C52">
        <w:rPr>
          <w:rFonts w:ascii="Times New Roman" w:hAnsi="Times New Roman"/>
          <w:bCs/>
        </w:rPr>
        <w:t xml:space="preserve">in which </w:t>
      </w:r>
      <w:r w:rsidRPr="00AA0C52">
        <w:rPr>
          <w:rFonts w:ascii="Times New Roman" w:hAnsi="Times New Roman"/>
          <w:bCs/>
        </w:rPr>
        <w:t>Johnson J considered the argument that it was necessary to consider the “full run” of cases where the test was: does the Secretary of State’s policy create a real risk of unfairness in a significant number (that is in more than a minimal number) of cases. He said at [275]:</w:t>
      </w:r>
    </w:p>
    <w:p w14:paraId="47C63A8F" w14:textId="77777777" w:rsidR="004848D9" w:rsidRPr="00AA0C52" w:rsidRDefault="004848D9" w:rsidP="004848D9">
      <w:pPr>
        <w:pStyle w:val="ListParagraph"/>
        <w:widowControl w:val="0"/>
        <w:tabs>
          <w:tab w:val="left" w:pos="688"/>
        </w:tabs>
        <w:autoSpaceDE w:val="0"/>
        <w:autoSpaceDN w:val="0"/>
        <w:ind w:left="687"/>
        <w:contextualSpacing w:val="0"/>
        <w:jc w:val="both"/>
        <w:rPr>
          <w:rFonts w:ascii="Times New Roman" w:hAnsi="Times New Roman"/>
          <w:bCs/>
        </w:rPr>
      </w:pPr>
    </w:p>
    <w:p w14:paraId="1AC1640E" w14:textId="0178354C" w:rsidR="004848D9" w:rsidRPr="00AA0C52" w:rsidRDefault="004848D9" w:rsidP="004848D9">
      <w:pPr>
        <w:pStyle w:val="ListParagraph"/>
        <w:widowControl w:val="0"/>
        <w:tabs>
          <w:tab w:val="left" w:pos="688"/>
        </w:tabs>
        <w:autoSpaceDE w:val="0"/>
        <w:autoSpaceDN w:val="0"/>
        <w:ind w:left="1440" w:hanging="753"/>
        <w:contextualSpacing w:val="0"/>
        <w:jc w:val="both"/>
        <w:rPr>
          <w:rFonts w:ascii="Times New Roman" w:hAnsi="Times New Roman"/>
          <w:bCs/>
        </w:rPr>
      </w:pPr>
      <w:r w:rsidRPr="00AA0C52">
        <w:rPr>
          <w:rFonts w:ascii="Times New Roman" w:hAnsi="Times New Roman"/>
          <w:bCs/>
        </w:rPr>
        <w:tab/>
      </w:r>
      <w:r w:rsidRPr="00AA0C52">
        <w:rPr>
          <w:rFonts w:ascii="Times New Roman" w:hAnsi="Times New Roman"/>
          <w:bCs/>
        </w:rPr>
        <w:tab/>
        <w:t>“… I agree that it may not be sufficient to consider decision making in isolated cases, without reference to the policy. Errors in such decision making might be “aberrant”. I also agree that a finding of systemic unfairness should not be made unless there is a sufficient evidential basis for concluding that the unfairness is inherent in the system … I do not, however, agree that it is necessary to consider the application of the policy against every possible factual permutation. Once it is demonstrated that there are legally significant categories of case where there is (as a result of the terms of the policy) a real risk of a more than minimal number of procedurally unfair decisions, the policy will be shown to be systemically unfair. In some cases it may be possible to demonstrate that the test is met by reference to the wording of the policy: for example, whether the written policy patently creates an unfair process and it is accepted that the written policy is applied in practice. The cases show that systemic illegality can sometimes be demonstrated without reference to the facts of a large number of cases – see [</w:t>
      </w:r>
      <w:r w:rsidRPr="00AA0C52">
        <w:rPr>
          <w:rFonts w:ascii="Times New Roman" w:hAnsi="Times New Roman"/>
          <w:bCs/>
          <w:u w:val="single"/>
        </w:rPr>
        <w:t>R(Razai) v Secretary of State for the Home Department</w:t>
      </w:r>
      <w:r w:rsidRPr="00AA0C52">
        <w:rPr>
          <w:rFonts w:ascii="Times New Roman" w:hAnsi="Times New Roman"/>
          <w:bCs/>
        </w:rPr>
        <w:t xml:space="preserve"> [2010] EWHC (Admin) (Nichol J) and [</w:t>
      </w:r>
      <w:r w:rsidRPr="00AA0C52">
        <w:rPr>
          <w:rFonts w:ascii="Times New Roman" w:hAnsi="Times New Roman"/>
          <w:bCs/>
          <w:u w:val="single"/>
        </w:rPr>
        <w:t>R(Q) v Secretary of State for the Home Department</w:t>
      </w:r>
      <w:r w:rsidRPr="00AA0C52">
        <w:rPr>
          <w:rFonts w:ascii="Times New Roman" w:hAnsi="Times New Roman"/>
          <w:bCs/>
        </w:rPr>
        <w:t xml:space="preserve"> [2003] EWCA Civ 364; [2004] QB 36] and [</w:t>
      </w:r>
      <w:r w:rsidRPr="00AA0C52">
        <w:rPr>
          <w:rFonts w:ascii="Times New Roman" w:hAnsi="Times New Roman"/>
          <w:bCs/>
          <w:u w:val="single"/>
        </w:rPr>
        <w:t>R (Help Refugees) v Secretary of State for the Home Department</w:t>
      </w:r>
      <w:r w:rsidRPr="00AA0C52">
        <w:rPr>
          <w:rFonts w:ascii="Times New Roman" w:hAnsi="Times New Roman"/>
          <w:bCs/>
        </w:rPr>
        <w:t xml:space="preserve"> [2018] EWCA Civ 2098; [2018] 4 WLR 168.]” </w:t>
      </w:r>
    </w:p>
    <w:p w14:paraId="7BA16844" w14:textId="77777777" w:rsidR="00134AE6" w:rsidRPr="00AA0C52" w:rsidRDefault="00134AE6" w:rsidP="004848D9">
      <w:pPr>
        <w:pStyle w:val="ListParagraph"/>
        <w:widowControl w:val="0"/>
        <w:tabs>
          <w:tab w:val="left" w:pos="688"/>
        </w:tabs>
        <w:autoSpaceDE w:val="0"/>
        <w:autoSpaceDN w:val="0"/>
        <w:ind w:left="1440" w:hanging="753"/>
        <w:contextualSpacing w:val="0"/>
        <w:jc w:val="both"/>
        <w:rPr>
          <w:rStyle w:val="normaltextrun"/>
          <w:rFonts w:ascii="Times New Roman" w:hAnsi="Times New Roman"/>
        </w:rPr>
      </w:pPr>
    </w:p>
    <w:p w14:paraId="5882DA77" w14:textId="1517AD40" w:rsidR="00134AE6" w:rsidRPr="00AA0C52" w:rsidRDefault="00D9050F" w:rsidP="00134AE6">
      <w:pPr>
        <w:pStyle w:val="ListParagraph"/>
        <w:widowControl w:val="0"/>
        <w:numPr>
          <w:ilvl w:val="0"/>
          <w:numId w:val="10"/>
        </w:numPr>
        <w:tabs>
          <w:tab w:val="left" w:pos="688"/>
        </w:tabs>
        <w:autoSpaceDE w:val="0"/>
        <w:autoSpaceDN w:val="0"/>
        <w:contextualSpacing w:val="0"/>
        <w:jc w:val="both"/>
        <w:rPr>
          <w:rFonts w:ascii="Times New Roman" w:hAnsi="Times New Roman"/>
        </w:rPr>
      </w:pPr>
      <w:r w:rsidRPr="00AA0C52">
        <w:rPr>
          <w:rFonts w:ascii="Times New Roman" w:hAnsi="Times New Roman"/>
        </w:rPr>
        <w:t>On the other hand</w:t>
      </w:r>
      <w:r w:rsidR="00134AE6" w:rsidRPr="00AA0C52">
        <w:rPr>
          <w:rFonts w:ascii="Times New Roman" w:hAnsi="Times New Roman"/>
        </w:rPr>
        <w:t xml:space="preserve">, in </w:t>
      </w:r>
      <w:r w:rsidR="00134AE6" w:rsidRPr="00AA0C52">
        <w:rPr>
          <w:rFonts w:ascii="Times New Roman" w:hAnsi="Times New Roman"/>
          <w:u w:val="single"/>
        </w:rPr>
        <w:t>R (MK) v Secretary of State for the Home Department</w:t>
      </w:r>
      <w:r w:rsidR="00134AE6" w:rsidRPr="00AA0C52">
        <w:rPr>
          <w:rFonts w:ascii="Times New Roman" w:hAnsi="Times New Roman"/>
        </w:rPr>
        <w:t xml:space="preserve"> [2019] EWHC 3593 (Admin), [2020] 4 WLR 37, Saini J addressed an allegation that the scale and extent of the delays in determining asylum applications by unaccompanied children was such that the court could conclude that the system itself was unlawful</w:t>
      </w:r>
      <w:r w:rsidR="00134AE6" w:rsidRPr="00AA0C52">
        <w:rPr>
          <w:rFonts w:ascii="Times New Roman" w:hAnsi="Times New Roman"/>
          <w:lang w:eastAsia="en-GB"/>
        </w:rPr>
        <w:t>. After analysing the evidence, Saini J concluded at paragraph [121] and [125] that: </w:t>
      </w:r>
    </w:p>
    <w:p w14:paraId="2F03E4AB" w14:textId="77777777" w:rsidR="00134AE6" w:rsidRPr="00AA0C52" w:rsidRDefault="00134AE6" w:rsidP="00134AE6">
      <w:pPr>
        <w:spacing w:before="100" w:beforeAutospacing="1" w:after="100" w:afterAutospacing="1"/>
        <w:ind w:left="1440"/>
        <w:jc w:val="both"/>
        <w:textAlignment w:val="baseline"/>
        <w:rPr>
          <w:lang w:eastAsia="en-GB"/>
        </w:rPr>
      </w:pPr>
      <w:r w:rsidRPr="00AA0C52">
        <w:rPr>
          <w:lang w:eastAsia="en-GB"/>
        </w:rPr>
        <w:t>“I find that the evidence before me as to the serious delays in the making of asylum decisions in UASC cases does not enable me to infer that the system is unlawful. The evidence base relied upon by the claimant does not identify any safe average for the processing of such cases, and they are in themselves cases which may be more complex than adult cases. Indeed, the best interests of children in fact mandate the need for more complex procedures. […]” </w:t>
      </w:r>
    </w:p>
    <w:p w14:paraId="79296B1D" w14:textId="32D2AAC0" w:rsidR="001D2659" w:rsidRPr="00AA0C52" w:rsidRDefault="00134AE6" w:rsidP="00D9050F">
      <w:pPr>
        <w:spacing w:before="100" w:beforeAutospacing="1" w:after="100" w:afterAutospacing="1"/>
        <w:ind w:left="1440"/>
        <w:jc w:val="both"/>
        <w:textAlignment w:val="baseline"/>
        <w:rPr>
          <w:rStyle w:val="normaltextrun"/>
          <w:lang w:eastAsia="en-GB"/>
        </w:rPr>
      </w:pPr>
      <w:r w:rsidRPr="00AA0C52">
        <w:rPr>
          <w:lang w:eastAsia="en-GB"/>
        </w:rPr>
        <w:t>“… what the courts cannot do is embark upon a macro-economic and social policy designing exercise. At its core that is the real basis of the claimant’s systemic attack, albeit finely and persuasively dressed in the clothes of a public law challenge.</w:t>
      </w:r>
      <w:r w:rsidR="00D9050F" w:rsidRPr="00AA0C52">
        <w:rPr>
          <w:lang w:eastAsia="en-GB"/>
        </w:rPr>
        <w:t>”</w:t>
      </w:r>
    </w:p>
    <w:p w14:paraId="7288CD10" w14:textId="6F3E1DDB" w:rsidR="000817B3" w:rsidRDefault="000817B3" w:rsidP="00B6212D">
      <w:pPr>
        <w:pStyle w:val="BodyText"/>
        <w:numPr>
          <w:ilvl w:val="0"/>
          <w:numId w:val="10"/>
        </w:numPr>
        <w:jc w:val="both"/>
        <w:rPr>
          <w:rStyle w:val="normaltextrun"/>
        </w:rPr>
      </w:pPr>
      <w:r w:rsidRPr="00AA0C52">
        <w:rPr>
          <w:rStyle w:val="normaltextrun"/>
        </w:rPr>
        <w:t>The present case</w:t>
      </w:r>
      <w:r w:rsidR="009A01E8" w:rsidRPr="00AA0C52">
        <w:rPr>
          <w:rStyle w:val="normaltextrun"/>
        </w:rPr>
        <w:t>,</w:t>
      </w:r>
      <w:r w:rsidR="0037795B" w:rsidRPr="00AA0C52">
        <w:rPr>
          <w:rStyle w:val="normaltextrun"/>
        </w:rPr>
        <w:t xml:space="preserve"> urged Mr Ta</w:t>
      </w:r>
      <w:r w:rsidR="00645A51" w:rsidRPr="00AA0C52">
        <w:rPr>
          <w:rStyle w:val="normaltextrun"/>
        </w:rPr>
        <w:t>m</w:t>
      </w:r>
      <w:r w:rsidR="0037795B" w:rsidRPr="00AA0C52">
        <w:rPr>
          <w:rStyle w:val="normaltextrun"/>
        </w:rPr>
        <w:t xml:space="preserve"> QC,</w:t>
      </w:r>
      <w:r w:rsidRPr="00AA0C52">
        <w:rPr>
          <w:rStyle w:val="normaltextrun"/>
        </w:rPr>
        <w:t xml:space="preserve"> concerned the discharge of Government functions and where there are overall established mechanisms for examining systemic issues. Parliament was very closely connected with issues of resources and the Courts are not. Parliament also worked through committees, inquiries, statutory investigations and reports from inspectors, with real change coming from these lines of work.</w:t>
      </w:r>
      <w:r w:rsidR="00E170D5" w:rsidRPr="00AA0C52">
        <w:rPr>
          <w:rStyle w:val="normaltextrun"/>
        </w:rPr>
        <w:t xml:space="preserve"> </w:t>
      </w:r>
      <w:r w:rsidRPr="00AA0C52">
        <w:rPr>
          <w:rStyle w:val="normaltextrun"/>
        </w:rPr>
        <w:t>The Courts could only work on what he termed a binary basis of what was lawful and what was not.</w:t>
      </w:r>
    </w:p>
    <w:p w14:paraId="3D0C5BA9" w14:textId="1E253B09" w:rsidR="00393E2A" w:rsidRDefault="00393E2A" w:rsidP="00393E2A">
      <w:pPr>
        <w:pStyle w:val="BodyText"/>
        <w:jc w:val="both"/>
        <w:rPr>
          <w:rStyle w:val="normaltextrun"/>
        </w:rPr>
      </w:pPr>
    </w:p>
    <w:p w14:paraId="488C20EC" w14:textId="32BBABBE" w:rsidR="00697047" w:rsidRPr="00BF6AFF" w:rsidRDefault="00393E2A" w:rsidP="00BF6AFF">
      <w:pPr>
        <w:numPr>
          <w:ilvl w:val="0"/>
          <w:numId w:val="10"/>
        </w:numPr>
        <w:jc w:val="both"/>
        <w:rPr>
          <w:rStyle w:val="normaltextrun"/>
        </w:rPr>
      </w:pPr>
      <w:r w:rsidRPr="008B2213">
        <w:rPr>
          <w:rStyle w:val="normaltextrun"/>
        </w:rPr>
        <w:t>I fully understand these points</w:t>
      </w:r>
      <w:r w:rsidR="007F3D5E">
        <w:rPr>
          <w:rStyle w:val="normaltextrun"/>
        </w:rPr>
        <w:t xml:space="preserve">, and </w:t>
      </w:r>
      <w:r w:rsidR="00E57581">
        <w:rPr>
          <w:rStyle w:val="normaltextrun"/>
        </w:rPr>
        <w:t>the debate is valuable</w:t>
      </w:r>
      <w:r w:rsidRPr="008B2213">
        <w:rPr>
          <w:rStyle w:val="normaltextrun"/>
        </w:rPr>
        <w:t xml:space="preserve">. </w:t>
      </w:r>
      <w:r w:rsidR="00697047" w:rsidRPr="00BF6AFF">
        <w:rPr>
          <w:rStyle w:val="normaltextrun"/>
          <w:lang w:val="en-US"/>
        </w:rPr>
        <w:t>In my judgment</w:t>
      </w:r>
      <w:r w:rsidR="00B40A77" w:rsidRPr="00BF6AFF">
        <w:rPr>
          <w:rStyle w:val="normaltextrun"/>
          <w:lang w:val="en-US"/>
        </w:rPr>
        <w:t>,</w:t>
      </w:r>
      <w:r w:rsidR="00697047" w:rsidRPr="00BF6AFF">
        <w:rPr>
          <w:rStyle w:val="normaltextrun"/>
          <w:lang w:val="en-US"/>
        </w:rPr>
        <w:t xml:space="preserve"> in the present case the Court can appropriately confine its work. The Court is well equipped to deal with the question of the legal requirements on the Secretary of State by reason of her duty, the meaning of “reasonable time”</w:t>
      </w:r>
      <w:r w:rsidR="00DE45BF">
        <w:rPr>
          <w:rStyle w:val="normaltextrun"/>
          <w:lang w:val="en-US"/>
        </w:rPr>
        <w:t xml:space="preserve"> in context</w:t>
      </w:r>
      <w:r w:rsidR="00697047" w:rsidRPr="00BF6AFF">
        <w:rPr>
          <w:rStyle w:val="normaltextrun"/>
          <w:lang w:val="en-US"/>
        </w:rPr>
        <w:t xml:space="preserve">, the legal significance of monitoring, and the Equality Act issues. </w:t>
      </w:r>
      <w:r w:rsidR="00B40A77" w:rsidRPr="00BF6AFF">
        <w:rPr>
          <w:rStyle w:val="normaltextrun"/>
          <w:lang w:val="en-US"/>
        </w:rPr>
        <w:t>However</w:t>
      </w:r>
      <w:r w:rsidR="00C364AA" w:rsidRPr="00BF6AFF">
        <w:rPr>
          <w:rStyle w:val="normaltextrun"/>
          <w:lang w:val="en-US"/>
        </w:rPr>
        <w:t>,</w:t>
      </w:r>
      <w:r w:rsidR="00B40A77" w:rsidRPr="00BF6AFF">
        <w:rPr>
          <w:rStyle w:val="normaltextrun"/>
          <w:lang w:val="en-US"/>
        </w:rPr>
        <w:t xml:space="preserve"> I also</w:t>
      </w:r>
      <w:r w:rsidR="00B40A77" w:rsidRPr="008B2213">
        <w:rPr>
          <w:rStyle w:val="normaltextrun"/>
        </w:rPr>
        <w:t xml:space="preserve"> agree with Mr Goodman that the Courts may need to adapt, albeit carefully, so that they are able to address complex systems if that is what is required.</w:t>
      </w:r>
    </w:p>
    <w:p w14:paraId="39334237" w14:textId="77777777" w:rsidR="00D238FE" w:rsidRPr="00BF6AFF" w:rsidRDefault="00D238FE" w:rsidP="00BF6AFF">
      <w:pPr>
        <w:rPr>
          <w:rStyle w:val="normaltextrun"/>
          <w:lang w:val="en-US"/>
        </w:rPr>
      </w:pPr>
    </w:p>
    <w:p w14:paraId="64A8C24F" w14:textId="59F5C0E2" w:rsidR="00D238FE" w:rsidRPr="00050EB0" w:rsidRDefault="00050EB0" w:rsidP="00050EB0">
      <w:pPr>
        <w:numPr>
          <w:ilvl w:val="0"/>
          <w:numId w:val="10"/>
        </w:numPr>
        <w:jc w:val="both"/>
        <w:rPr>
          <w:rStyle w:val="normaltextrun"/>
          <w:lang w:val="en-US"/>
        </w:rPr>
      </w:pPr>
      <w:r>
        <w:rPr>
          <w:rStyle w:val="normaltextrun"/>
        </w:rPr>
        <w:t xml:space="preserve">Ultimately, </w:t>
      </w:r>
      <w:r w:rsidR="00B950CB" w:rsidRPr="008B2213">
        <w:rPr>
          <w:rStyle w:val="normaltextrun"/>
        </w:rPr>
        <w:t xml:space="preserve">where the Secretary of State’s systems work in a way that cause her to be in breach of her legal duty it is proper for the Court to say that, because the law is not being complied with. </w:t>
      </w:r>
      <w:r w:rsidR="00D238FE" w:rsidRPr="00050EB0">
        <w:rPr>
          <w:rStyle w:val="normaltextrun"/>
          <w:lang w:val="en-US"/>
        </w:rPr>
        <w:t xml:space="preserve">The Court need </w:t>
      </w:r>
      <w:r w:rsidR="007E6FF2" w:rsidRPr="00050EB0">
        <w:rPr>
          <w:rStyle w:val="normaltextrun"/>
          <w:lang w:val="en-US"/>
        </w:rPr>
        <w:t xml:space="preserve">not </w:t>
      </w:r>
      <w:r w:rsidR="00DC6FB4" w:rsidRPr="00050EB0">
        <w:rPr>
          <w:rStyle w:val="normaltextrun"/>
          <w:lang w:val="en-US"/>
        </w:rPr>
        <w:t>in the present case involve itself</w:t>
      </w:r>
      <w:r w:rsidR="00D238FE" w:rsidRPr="00050EB0">
        <w:rPr>
          <w:rStyle w:val="normaltextrun"/>
          <w:lang w:val="en-US"/>
        </w:rPr>
        <w:t xml:space="preserve"> in </w:t>
      </w:r>
      <w:r w:rsidR="004D6255" w:rsidRPr="00050EB0">
        <w:rPr>
          <w:rStyle w:val="normaltextrun"/>
          <w:lang w:val="en-US"/>
        </w:rPr>
        <w:t xml:space="preserve">an </w:t>
      </w:r>
      <w:r w:rsidR="0025763F" w:rsidRPr="00050EB0">
        <w:rPr>
          <w:rStyle w:val="normaltextrun"/>
          <w:lang w:val="en-US"/>
        </w:rPr>
        <w:t>area that w</w:t>
      </w:r>
      <w:r w:rsidR="004D6255" w:rsidRPr="00050EB0">
        <w:rPr>
          <w:rStyle w:val="normaltextrun"/>
          <w:lang w:val="en-US"/>
        </w:rPr>
        <w:t>as</w:t>
      </w:r>
      <w:r w:rsidR="0025763F" w:rsidRPr="00050EB0">
        <w:rPr>
          <w:rStyle w:val="normaltextrun"/>
          <w:lang w:val="en-US"/>
        </w:rPr>
        <w:t xml:space="preserve"> of </w:t>
      </w:r>
      <w:r w:rsidR="004D6255" w:rsidRPr="00050EB0">
        <w:rPr>
          <w:rStyle w:val="normaltextrun"/>
          <w:lang w:val="en-US"/>
        </w:rPr>
        <w:t xml:space="preserve">particular </w:t>
      </w:r>
      <w:r w:rsidR="0025763F" w:rsidRPr="00050EB0">
        <w:rPr>
          <w:rStyle w:val="normaltextrun"/>
          <w:lang w:val="en-US"/>
        </w:rPr>
        <w:t xml:space="preserve">concern to Mr Tam QC, namely </w:t>
      </w:r>
      <w:r w:rsidR="00D238FE" w:rsidRPr="00050EB0">
        <w:rPr>
          <w:rStyle w:val="normaltextrun"/>
          <w:lang w:val="en-US"/>
        </w:rPr>
        <w:t xml:space="preserve">the </w:t>
      </w:r>
      <w:r w:rsidR="00D238FE" w:rsidRPr="008B2213">
        <w:rPr>
          <w:rStyle w:val="normaltextrun"/>
        </w:rPr>
        <w:t xml:space="preserve">choice of the Secretary of State to enter into contracts with private </w:t>
      </w:r>
      <w:r w:rsidR="009B0F5A" w:rsidRPr="008B2213">
        <w:rPr>
          <w:rStyle w:val="normaltextrun"/>
        </w:rPr>
        <w:t>contractors</w:t>
      </w:r>
      <w:r w:rsidR="00D238FE" w:rsidRPr="008B2213">
        <w:rPr>
          <w:rStyle w:val="normaltextrun"/>
        </w:rPr>
        <w:t xml:space="preserve">, </w:t>
      </w:r>
      <w:r w:rsidR="004D6255" w:rsidRPr="008B2213">
        <w:rPr>
          <w:rStyle w:val="normaltextrun"/>
        </w:rPr>
        <w:t>and</w:t>
      </w:r>
      <w:r w:rsidR="00D238FE" w:rsidRPr="008B2213">
        <w:rPr>
          <w:rStyle w:val="normaltextrun"/>
        </w:rPr>
        <w:t xml:space="preserve"> the particular features</w:t>
      </w:r>
      <w:r w:rsidR="0025763F" w:rsidRPr="008B2213">
        <w:rPr>
          <w:rStyle w:val="normaltextrun"/>
        </w:rPr>
        <w:t xml:space="preserve"> of those contracts</w:t>
      </w:r>
      <w:r w:rsidR="00D238FE" w:rsidRPr="008B2213">
        <w:rPr>
          <w:rStyle w:val="normaltextrun"/>
        </w:rPr>
        <w:t xml:space="preserve">. The question for the Court </w:t>
      </w:r>
      <w:r w:rsidR="00136EAE" w:rsidRPr="008B2213">
        <w:rPr>
          <w:rStyle w:val="normaltextrun"/>
        </w:rPr>
        <w:t>is</w:t>
      </w:r>
      <w:r w:rsidR="00D238FE" w:rsidRPr="008B2213">
        <w:rPr>
          <w:rStyle w:val="normaltextrun"/>
        </w:rPr>
        <w:t xml:space="preserve"> whether the Secretary of State </w:t>
      </w:r>
      <w:r w:rsidR="00136EAE" w:rsidRPr="008B2213">
        <w:rPr>
          <w:rStyle w:val="normaltextrun"/>
        </w:rPr>
        <w:t>is</w:t>
      </w:r>
      <w:r w:rsidR="00D238FE" w:rsidRPr="008B2213">
        <w:rPr>
          <w:rStyle w:val="normaltextrun"/>
        </w:rPr>
        <w:t xml:space="preserve"> complying with her duty</w:t>
      </w:r>
      <w:r w:rsidR="00260319" w:rsidRPr="008B2213">
        <w:rPr>
          <w:rStyle w:val="normaltextrun"/>
        </w:rPr>
        <w:t xml:space="preserve">, not whether </w:t>
      </w:r>
      <w:r w:rsidR="009424A5" w:rsidRPr="008B2213">
        <w:rPr>
          <w:rStyle w:val="normaltextrun"/>
        </w:rPr>
        <w:t xml:space="preserve">the </w:t>
      </w:r>
      <w:r w:rsidR="009B0F5A" w:rsidRPr="008B2213">
        <w:rPr>
          <w:rStyle w:val="normaltextrun"/>
        </w:rPr>
        <w:t>contractors</w:t>
      </w:r>
      <w:r w:rsidR="009424A5" w:rsidRPr="008B2213">
        <w:rPr>
          <w:rStyle w:val="normaltextrun"/>
        </w:rPr>
        <w:t xml:space="preserve"> are </w:t>
      </w:r>
      <w:r w:rsidR="009B0F5A" w:rsidRPr="008B2213">
        <w:rPr>
          <w:rStyle w:val="normaltextrun"/>
        </w:rPr>
        <w:t xml:space="preserve">complying with their contractual duties to her. </w:t>
      </w:r>
      <w:r w:rsidR="00183074" w:rsidRPr="008B2213">
        <w:rPr>
          <w:rStyle w:val="normaltextrun"/>
        </w:rPr>
        <w:t>Of course</w:t>
      </w:r>
      <w:r w:rsidR="00730D5E" w:rsidRPr="008B2213">
        <w:rPr>
          <w:rStyle w:val="normaltextrun"/>
        </w:rPr>
        <w:t>,</w:t>
      </w:r>
      <w:r w:rsidR="00183074" w:rsidRPr="008B2213">
        <w:rPr>
          <w:rStyle w:val="normaltextrun"/>
        </w:rPr>
        <w:t xml:space="preserve"> t</w:t>
      </w:r>
      <w:r w:rsidR="009B0F5A" w:rsidRPr="008B2213">
        <w:rPr>
          <w:rStyle w:val="normaltextrun"/>
        </w:rPr>
        <w:t xml:space="preserve">his does not mean </w:t>
      </w:r>
      <w:r w:rsidR="00547C35" w:rsidRPr="008B2213">
        <w:rPr>
          <w:rStyle w:val="normaltextrun"/>
        </w:rPr>
        <w:t xml:space="preserve">that </w:t>
      </w:r>
      <w:r w:rsidR="009B0F5A" w:rsidRPr="008B2213">
        <w:rPr>
          <w:rStyle w:val="normaltextrun"/>
        </w:rPr>
        <w:t>the Court should not say if the reason why the Secret</w:t>
      </w:r>
      <w:r w:rsidR="009B0F5A">
        <w:rPr>
          <w:rStyle w:val="normaltextrun"/>
        </w:rPr>
        <w:t>ary of State is not meeting her duty is because of something th</w:t>
      </w:r>
      <w:r w:rsidR="00547C35">
        <w:rPr>
          <w:rStyle w:val="normaltextrun"/>
        </w:rPr>
        <w:t>at</w:t>
      </w:r>
      <w:r w:rsidR="009B0F5A">
        <w:rPr>
          <w:rStyle w:val="normaltextrun"/>
        </w:rPr>
        <w:t xml:space="preserve"> private contractors are doing</w:t>
      </w:r>
      <w:r w:rsidR="00730D5E">
        <w:rPr>
          <w:rStyle w:val="normaltextrun"/>
        </w:rPr>
        <w:t xml:space="preserve"> that prevents </w:t>
      </w:r>
      <w:r w:rsidR="007F79BA">
        <w:rPr>
          <w:rStyle w:val="normaltextrun"/>
        </w:rPr>
        <w:t xml:space="preserve">or may be preventing </w:t>
      </w:r>
      <w:r w:rsidR="00730D5E">
        <w:rPr>
          <w:rStyle w:val="normaltextrun"/>
        </w:rPr>
        <w:t>her from meeting her duty</w:t>
      </w:r>
      <w:r w:rsidR="00183074">
        <w:rPr>
          <w:rStyle w:val="normaltextrun"/>
        </w:rPr>
        <w:t>.</w:t>
      </w:r>
    </w:p>
    <w:p w14:paraId="267D65ED" w14:textId="77777777" w:rsidR="00641374" w:rsidRPr="00602F08" w:rsidRDefault="00641374" w:rsidP="00B6212D">
      <w:pPr>
        <w:jc w:val="both"/>
        <w:rPr>
          <w:rStyle w:val="normaltextrun"/>
        </w:rPr>
      </w:pPr>
    </w:p>
    <w:p w14:paraId="2A5C001F" w14:textId="321E6637" w:rsidR="00641374" w:rsidRPr="00602F08" w:rsidRDefault="00C720FD" w:rsidP="00B6212D">
      <w:pPr>
        <w:numPr>
          <w:ilvl w:val="0"/>
          <w:numId w:val="10"/>
        </w:numPr>
        <w:jc w:val="both"/>
        <w:rPr>
          <w:rStyle w:val="normaltextrun"/>
          <w:lang w:val="en-US"/>
        </w:rPr>
      </w:pPr>
      <w:r w:rsidRPr="00602F08">
        <w:rPr>
          <w:rStyle w:val="normaltextrun"/>
        </w:rPr>
        <w:t>What of Mr Tam QC’s point that</w:t>
      </w:r>
      <w:r w:rsidR="00546C22" w:rsidRPr="00602F08">
        <w:rPr>
          <w:rStyle w:val="normaltextrun"/>
        </w:rPr>
        <w:t xml:space="preserve"> </w:t>
      </w:r>
      <w:r w:rsidR="00C7633E">
        <w:rPr>
          <w:rStyle w:val="normaltextrun"/>
        </w:rPr>
        <w:t xml:space="preserve">it is enough that </w:t>
      </w:r>
      <w:r w:rsidRPr="00602F08">
        <w:rPr>
          <w:rStyle w:val="normaltextrun"/>
        </w:rPr>
        <w:t>a</w:t>
      </w:r>
      <w:r w:rsidR="00641374" w:rsidRPr="00602F08">
        <w:rPr>
          <w:rStyle w:val="normaltextrun"/>
        </w:rPr>
        <w:t xml:space="preserve">t each point a </w:t>
      </w:r>
      <w:r w:rsidRPr="00602F08">
        <w:rPr>
          <w:rStyle w:val="normaltextrun"/>
        </w:rPr>
        <w:t>c</w:t>
      </w:r>
      <w:r w:rsidR="00641374" w:rsidRPr="00602F08">
        <w:rPr>
          <w:rStyle w:val="normaltextrun"/>
        </w:rPr>
        <w:t xml:space="preserve">laimant </w:t>
      </w:r>
      <w:r w:rsidRPr="00602F08">
        <w:rPr>
          <w:rStyle w:val="normaltextrun"/>
        </w:rPr>
        <w:t>is</w:t>
      </w:r>
      <w:r w:rsidR="00641374" w:rsidRPr="00602F08">
        <w:rPr>
          <w:rStyle w:val="normaltextrun"/>
        </w:rPr>
        <w:t xml:space="preserve"> entitled to come to the Court and say that one of the steps had gone wrong</w:t>
      </w:r>
      <w:r w:rsidR="00C7633E">
        <w:rPr>
          <w:rStyle w:val="normaltextrun"/>
        </w:rPr>
        <w:t>,</w:t>
      </w:r>
      <w:r w:rsidR="00F8391D" w:rsidRPr="00602F08">
        <w:rPr>
          <w:rStyle w:val="normaltextrun"/>
        </w:rPr>
        <w:t xml:space="preserve"> with the Court deciding the matter by order if the matter was not resolved? </w:t>
      </w:r>
      <w:r w:rsidR="00E5628F" w:rsidRPr="00602F08">
        <w:rPr>
          <w:rStyle w:val="normaltextrun"/>
        </w:rPr>
        <w:t>Obviously</w:t>
      </w:r>
      <w:r w:rsidR="001621D7" w:rsidRPr="00602F08">
        <w:rPr>
          <w:rStyle w:val="normaltextrun"/>
        </w:rPr>
        <w:t>,</w:t>
      </w:r>
      <w:r w:rsidR="00E5628F" w:rsidRPr="00602F08">
        <w:rPr>
          <w:rStyle w:val="normaltextrun"/>
        </w:rPr>
        <w:t xml:space="preserve"> this is what happens </w:t>
      </w:r>
      <w:r w:rsidR="001B2127" w:rsidRPr="00602F08">
        <w:rPr>
          <w:rStyle w:val="normaltextrun"/>
        </w:rPr>
        <w:t xml:space="preserve">regularly, but </w:t>
      </w:r>
      <w:r w:rsidR="00E30D44" w:rsidRPr="00602F08">
        <w:rPr>
          <w:rStyle w:val="normaltextrun"/>
        </w:rPr>
        <w:t xml:space="preserve">the Court should be vigilant to </w:t>
      </w:r>
      <w:r w:rsidR="002D4643" w:rsidRPr="00602F08">
        <w:rPr>
          <w:rStyle w:val="normaltextrun"/>
        </w:rPr>
        <w:t xml:space="preserve">identify </w:t>
      </w:r>
      <w:r w:rsidR="00DE2F20" w:rsidRPr="00602F08">
        <w:rPr>
          <w:rStyle w:val="normaltextrun"/>
        </w:rPr>
        <w:t xml:space="preserve">where case by case decisions are necessary not because of </w:t>
      </w:r>
      <w:r w:rsidR="009D3B96" w:rsidRPr="00602F08">
        <w:rPr>
          <w:rStyle w:val="normaltextrun"/>
        </w:rPr>
        <w:t xml:space="preserve">a case specific dispute but because the system </w:t>
      </w:r>
      <w:r w:rsidR="00F60CF0" w:rsidRPr="00602F08">
        <w:rPr>
          <w:rStyle w:val="normaltextrun"/>
        </w:rPr>
        <w:t xml:space="preserve">is operating unlawfully. If the system is operating unlawfully </w:t>
      </w:r>
      <w:r w:rsidR="000640B2" w:rsidRPr="00602F08">
        <w:rPr>
          <w:rStyle w:val="normaltextrun"/>
        </w:rPr>
        <w:t>and the Court does not address that</w:t>
      </w:r>
      <w:r w:rsidR="00702425" w:rsidRPr="00602F08">
        <w:rPr>
          <w:rStyle w:val="normaltextrun"/>
        </w:rPr>
        <w:t xml:space="preserve"> then its case</w:t>
      </w:r>
      <w:r w:rsidR="00316302">
        <w:rPr>
          <w:rStyle w:val="normaltextrun"/>
        </w:rPr>
        <w:t>-</w:t>
      </w:r>
      <w:r w:rsidR="00702425" w:rsidRPr="00602F08">
        <w:rPr>
          <w:rStyle w:val="normaltextrun"/>
        </w:rPr>
        <w:t>by</w:t>
      </w:r>
      <w:r w:rsidR="00316302">
        <w:rPr>
          <w:rStyle w:val="normaltextrun"/>
        </w:rPr>
        <w:t>-</w:t>
      </w:r>
      <w:r w:rsidR="00702425" w:rsidRPr="00602F08">
        <w:rPr>
          <w:rStyle w:val="normaltextrun"/>
        </w:rPr>
        <w:t>case</w:t>
      </w:r>
      <w:r w:rsidR="0063561A" w:rsidRPr="00602F08">
        <w:rPr>
          <w:rStyle w:val="normaltextrun"/>
        </w:rPr>
        <w:t xml:space="preserve"> involvement simply</w:t>
      </w:r>
      <w:r w:rsidR="00702425" w:rsidRPr="00602F08">
        <w:rPr>
          <w:rStyle w:val="normaltextrun"/>
        </w:rPr>
        <w:t xml:space="preserve"> become</w:t>
      </w:r>
      <w:r w:rsidR="0063561A" w:rsidRPr="00602F08">
        <w:rPr>
          <w:rStyle w:val="normaltextrun"/>
        </w:rPr>
        <w:t>s</w:t>
      </w:r>
      <w:r w:rsidR="00702425" w:rsidRPr="00602F08">
        <w:rPr>
          <w:rStyle w:val="normaltextrun"/>
        </w:rPr>
        <w:t xml:space="preserve"> part of the system.</w:t>
      </w:r>
      <w:r w:rsidR="0063561A" w:rsidRPr="00602F08">
        <w:rPr>
          <w:rStyle w:val="normaltextrun"/>
        </w:rPr>
        <w:t xml:space="preserve"> </w:t>
      </w:r>
      <w:r w:rsidR="00E309EC" w:rsidRPr="00602F08">
        <w:rPr>
          <w:rStyle w:val="normaltextrun"/>
        </w:rPr>
        <w:t>A</w:t>
      </w:r>
      <w:r w:rsidR="009C1BC3" w:rsidRPr="00602F08">
        <w:rPr>
          <w:rStyle w:val="normaltextrun"/>
        </w:rPr>
        <w:t xml:space="preserve"> system </w:t>
      </w:r>
      <w:r w:rsidR="00E309EC" w:rsidRPr="00602F08">
        <w:rPr>
          <w:rStyle w:val="normaltextrun"/>
        </w:rPr>
        <w:t xml:space="preserve">that </w:t>
      </w:r>
      <w:r w:rsidR="005753F7" w:rsidRPr="00602F08">
        <w:rPr>
          <w:rStyle w:val="normaltextrun"/>
        </w:rPr>
        <w:t xml:space="preserve">reaches the point of </w:t>
      </w:r>
      <w:r w:rsidR="009C1BC3" w:rsidRPr="00602F08">
        <w:rPr>
          <w:rStyle w:val="normaltextrun"/>
        </w:rPr>
        <w:t>depend</w:t>
      </w:r>
      <w:r w:rsidR="005753F7" w:rsidRPr="00602F08">
        <w:rPr>
          <w:rStyle w:val="normaltextrun"/>
        </w:rPr>
        <w:t>ing</w:t>
      </w:r>
      <w:r w:rsidR="009C1BC3" w:rsidRPr="00602F08">
        <w:rPr>
          <w:rStyle w:val="normaltextrun"/>
        </w:rPr>
        <w:t xml:space="preserve"> </w:t>
      </w:r>
      <w:r w:rsidR="00A312B7" w:rsidRPr="00602F08">
        <w:rPr>
          <w:rStyle w:val="normaltextrun"/>
        </w:rPr>
        <w:t xml:space="preserve">on applications for judicial review to </w:t>
      </w:r>
      <w:r w:rsidR="005B7B33" w:rsidRPr="00602F08">
        <w:rPr>
          <w:rStyle w:val="normaltextrun"/>
        </w:rPr>
        <w:t>make it work</w:t>
      </w:r>
      <w:r w:rsidR="006B06AC" w:rsidRPr="00602F08">
        <w:rPr>
          <w:rStyle w:val="normaltextrun"/>
        </w:rPr>
        <w:t xml:space="preserve"> </w:t>
      </w:r>
      <w:r w:rsidR="005753F7" w:rsidRPr="00602F08">
        <w:rPr>
          <w:rStyle w:val="normaltextrun"/>
        </w:rPr>
        <w:t>may require particular scrutiny.</w:t>
      </w:r>
    </w:p>
    <w:p w14:paraId="510A3318" w14:textId="77777777" w:rsidR="002A7B3B" w:rsidRPr="00A24C89" w:rsidRDefault="002A7B3B" w:rsidP="00A24C89">
      <w:pPr>
        <w:jc w:val="both"/>
        <w:rPr>
          <w:rStyle w:val="normaltextrun"/>
          <w:lang w:val="en-US"/>
        </w:rPr>
      </w:pPr>
    </w:p>
    <w:p w14:paraId="0C258DFE" w14:textId="77B3F452" w:rsidR="00154A96" w:rsidRPr="00602F08" w:rsidRDefault="006F0E00" w:rsidP="00B6212D">
      <w:pPr>
        <w:numPr>
          <w:ilvl w:val="0"/>
          <w:numId w:val="10"/>
        </w:numPr>
        <w:jc w:val="both"/>
        <w:rPr>
          <w:rStyle w:val="normaltextrun"/>
          <w:lang w:val="en-US"/>
        </w:rPr>
      </w:pPr>
      <w:r>
        <w:rPr>
          <w:rStyle w:val="normaltextrun"/>
          <w:lang w:val="en-US"/>
        </w:rPr>
        <w:t>As some of the authorities cited show, t</w:t>
      </w:r>
      <w:r w:rsidR="00596CA5" w:rsidRPr="00602F08">
        <w:rPr>
          <w:rStyle w:val="normaltextrun"/>
          <w:lang w:val="en-US"/>
        </w:rPr>
        <w:t xml:space="preserve">he Court may be surer in </w:t>
      </w:r>
      <w:r w:rsidR="003E1684" w:rsidRPr="00602F08">
        <w:rPr>
          <w:rStyle w:val="normaltextrun"/>
          <w:lang w:val="en-US"/>
        </w:rPr>
        <w:t xml:space="preserve">examining a contention of </w:t>
      </w:r>
      <w:r w:rsidR="00596CA5" w:rsidRPr="00602F08">
        <w:rPr>
          <w:rStyle w:val="normaltextrun"/>
          <w:lang w:val="en-US"/>
        </w:rPr>
        <w:t xml:space="preserve">systemic unlawfulness </w:t>
      </w:r>
      <w:r w:rsidR="003E1684" w:rsidRPr="00602F08">
        <w:rPr>
          <w:rStyle w:val="normaltextrun"/>
          <w:lang w:val="en-US"/>
        </w:rPr>
        <w:t>where what is involved is guidance or a policy</w:t>
      </w:r>
      <w:r w:rsidR="00640453" w:rsidRPr="00602F08">
        <w:rPr>
          <w:rStyle w:val="normaltextrun"/>
          <w:lang w:val="en-US"/>
        </w:rPr>
        <w:t xml:space="preserve">, rather than the operation of a </w:t>
      </w:r>
      <w:r w:rsidR="0030117F">
        <w:rPr>
          <w:rStyle w:val="normaltextrun"/>
          <w:lang w:val="en-US"/>
        </w:rPr>
        <w:t xml:space="preserve">whole </w:t>
      </w:r>
      <w:r w:rsidR="00640453" w:rsidRPr="00602F08">
        <w:rPr>
          <w:rStyle w:val="normaltextrun"/>
          <w:lang w:val="en-US"/>
        </w:rPr>
        <w:t>system.</w:t>
      </w:r>
      <w:r w:rsidR="00C35B4D" w:rsidRPr="00602F08">
        <w:rPr>
          <w:rStyle w:val="normaltextrun"/>
          <w:lang w:val="en-US"/>
        </w:rPr>
        <w:t xml:space="preserve"> </w:t>
      </w:r>
      <w:r w:rsidR="00150976">
        <w:rPr>
          <w:rStyle w:val="eop"/>
        </w:rPr>
        <w:t>To take a recent example, i</w:t>
      </w:r>
      <w:r w:rsidR="00154A96" w:rsidRPr="00602F08">
        <w:rPr>
          <w:rStyle w:val="eop"/>
        </w:rPr>
        <w:t xml:space="preserve">n </w:t>
      </w:r>
      <w:r w:rsidR="00154A96" w:rsidRPr="00602F08">
        <w:rPr>
          <w:rStyle w:val="eop"/>
          <w:u w:val="single"/>
        </w:rPr>
        <w:t>R (W)</w:t>
      </w:r>
      <w:r w:rsidR="00154A96" w:rsidRPr="00602F08">
        <w:rPr>
          <w:rStyle w:val="eop"/>
        </w:rPr>
        <w:t xml:space="preserve"> the “no recourse to public funds” regime under consideration by the Divisional Court was one that </w:t>
      </w:r>
      <w:r w:rsidR="00154A96" w:rsidRPr="00602F08">
        <w:t>gave rise to a real risk of unlawful decisions in a significant number of cases</w:t>
      </w:r>
      <w:r w:rsidR="003B6EF9" w:rsidRPr="00602F08">
        <w:t>, but this was because</w:t>
      </w:r>
      <w:r w:rsidR="001A6F79" w:rsidRPr="00602F08">
        <w:t xml:space="preserve"> </w:t>
      </w:r>
      <w:r w:rsidR="00531F03" w:rsidRPr="00602F08">
        <w:t>the re</w:t>
      </w:r>
      <w:r w:rsidR="00B90B0B" w:rsidRPr="00602F08">
        <w:t>gim</w:t>
      </w:r>
      <w:r w:rsidR="00531F03" w:rsidRPr="00602F08">
        <w:t>e “comprising [a rule</w:t>
      </w:r>
      <w:r w:rsidR="00A91000" w:rsidRPr="00602F08">
        <w:t xml:space="preserve"> and an instruction] read together</w:t>
      </w:r>
      <w:r w:rsidR="001A6F79" w:rsidRPr="00602F08">
        <w:t xml:space="preserve"> was </w:t>
      </w:r>
      <w:r w:rsidR="00A91000" w:rsidRPr="00602F08">
        <w:t>“</w:t>
      </w:r>
      <w:r w:rsidR="001A6F79" w:rsidRPr="00602F08">
        <w:t xml:space="preserve">apt to </w:t>
      </w:r>
      <w:r w:rsidR="00CE528D" w:rsidRPr="00602F08">
        <w:t>mislead caseworkers</w:t>
      </w:r>
      <w:r w:rsidR="00D76F6F" w:rsidRPr="00602F08">
        <w:t xml:space="preserve"> in [a] critical respect</w:t>
      </w:r>
      <w:r w:rsidR="00A91000" w:rsidRPr="00602F08">
        <w:t>”</w:t>
      </w:r>
      <w:r w:rsidR="00D76F6F" w:rsidRPr="00602F08">
        <w:t xml:space="preserve"> (see in particular [14]-[27] and [[73])</w:t>
      </w:r>
      <w:r w:rsidR="00CE528D" w:rsidRPr="00602F08">
        <w:t>.</w:t>
      </w:r>
      <w:r w:rsidR="00154A96" w:rsidRPr="00602F08">
        <w:t xml:space="preserve"> </w:t>
      </w:r>
    </w:p>
    <w:p w14:paraId="79A8945C" w14:textId="77777777" w:rsidR="00154A96" w:rsidRPr="00602F08" w:rsidRDefault="00154A96" w:rsidP="00B6212D">
      <w:pPr>
        <w:pStyle w:val="ListParagraph"/>
        <w:widowControl w:val="0"/>
        <w:tabs>
          <w:tab w:val="left" w:pos="688"/>
        </w:tabs>
        <w:autoSpaceDE w:val="0"/>
        <w:autoSpaceDN w:val="0"/>
        <w:ind w:left="687"/>
        <w:contextualSpacing w:val="0"/>
        <w:jc w:val="both"/>
        <w:rPr>
          <w:rStyle w:val="normaltextrun"/>
          <w:rFonts w:ascii="Times New Roman" w:hAnsi="Times New Roman"/>
        </w:rPr>
      </w:pPr>
    </w:p>
    <w:p w14:paraId="746E9A51" w14:textId="6895F9A4" w:rsidR="00D3629E" w:rsidRPr="00D3629E" w:rsidRDefault="00C7044A" w:rsidP="00B6212D">
      <w:pPr>
        <w:pStyle w:val="ListParagraph"/>
        <w:widowControl w:val="0"/>
        <w:numPr>
          <w:ilvl w:val="0"/>
          <w:numId w:val="10"/>
        </w:numPr>
        <w:tabs>
          <w:tab w:val="left" w:pos="688"/>
        </w:tabs>
        <w:autoSpaceDE w:val="0"/>
        <w:autoSpaceDN w:val="0"/>
        <w:contextualSpacing w:val="0"/>
        <w:jc w:val="both"/>
        <w:rPr>
          <w:rStyle w:val="normaltextrun"/>
          <w:rFonts w:ascii="Times New Roman" w:hAnsi="Times New Roman"/>
        </w:rPr>
      </w:pPr>
      <w:r w:rsidRPr="00602F08">
        <w:rPr>
          <w:rStyle w:val="normaltextrun"/>
          <w:rFonts w:ascii="Times New Roman" w:hAnsi="Times New Roman"/>
          <w:lang w:val="en-US"/>
        </w:rPr>
        <w:t>The</w:t>
      </w:r>
      <w:r w:rsidR="0090592F">
        <w:rPr>
          <w:rStyle w:val="normaltextrun"/>
          <w:rFonts w:ascii="Times New Roman" w:hAnsi="Times New Roman"/>
          <w:lang w:val="en-US"/>
        </w:rPr>
        <w:t xml:space="preserve"> </w:t>
      </w:r>
      <w:r w:rsidR="004C762B">
        <w:rPr>
          <w:rStyle w:val="normaltextrun"/>
          <w:rFonts w:ascii="Times New Roman" w:hAnsi="Times New Roman"/>
          <w:lang w:val="en-US"/>
        </w:rPr>
        <w:t xml:space="preserve">challenges in the </w:t>
      </w:r>
      <w:r w:rsidR="0090592F">
        <w:rPr>
          <w:rStyle w:val="normaltextrun"/>
          <w:rFonts w:ascii="Times New Roman" w:hAnsi="Times New Roman"/>
          <w:lang w:val="en-US"/>
        </w:rPr>
        <w:t>present proceedings</w:t>
      </w:r>
      <w:r w:rsidRPr="00602F08">
        <w:rPr>
          <w:rStyle w:val="normaltextrun"/>
          <w:rFonts w:ascii="Times New Roman" w:hAnsi="Times New Roman"/>
          <w:lang w:val="en-US"/>
        </w:rPr>
        <w:t xml:space="preserve"> </w:t>
      </w:r>
      <w:r w:rsidR="0099121F">
        <w:rPr>
          <w:rStyle w:val="normaltextrun"/>
          <w:rFonts w:ascii="Times New Roman" w:hAnsi="Times New Roman"/>
          <w:lang w:val="en-US"/>
        </w:rPr>
        <w:t>admittedly</w:t>
      </w:r>
      <w:r w:rsidR="00D76F6F" w:rsidRPr="00602F08">
        <w:rPr>
          <w:rStyle w:val="normaltextrun"/>
          <w:rFonts w:ascii="Times New Roman" w:hAnsi="Times New Roman"/>
          <w:lang w:val="en-US"/>
        </w:rPr>
        <w:t xml:space="preserve"> concern the operation of a </w:t>
      </w:r>
      <w:r w:rsidR="0099121F">
        <w:rPr>
          <w:rStyle w:val="normaltextrun"/>
          <w:rFonts w:ascii="Times New Roman" w:hAnsi="Times New Roman"/>
          <w:lang w:val="en-US"/>
        </w:rPr>
        <w:t xml:space="preserve">whole </w:t>
      </w:r>
      <w:r w:rsidR="00D76F6F" w:rsidRPr="00602F08">
        <w:rPr>
          <w:rStyle w:val="normaltextrun"/>
          <w:rFonts w:ascii="Times New Roman" w:hAnsi="Times New Roman"/>
          <w:lang w:val="en-US"/>
        </w:rPr>
        <w:t>system, and specifically a system to implement decisions</w:t>
      </w:r>
      <w:r w:rsidR="007E538F" w:rsidRPr="00602F08">
        <w:rPr>
          <w:rStyle w:val="normaltextrun"/>
          <w:rFonts w:ascii="Times New Roman" w:hAnsi="Times New Roman"/>
          <w:lang w:val="en-US"/>
        </w:rPr>
        <w:t xml:space="preserve"> made</w:t>
      </w:r>
      <w:r w:rsidR="00D76F6F" w:rsidRPr="00602F08">
        <w:rPr>
          <w:rStyle w:val="normaltextrun"/>
          <w:rFonts w:ascii="Times New Roman" w:hAnsi="Times New Roman"/>
          <w:lang w:val="en-US"/>
        </w:rPr>
        <w:t xml:space="preserve">. </w:t>
      </w:r>
      <w:r w:rsidR="00896E2E">
        <w:rPr>
          <w:rStyle w:val="normaltextrun"/>
          <w:rFonts w:ascii="Times New Roman" w:hAnsi="Times New Roman"/>
          <w:lang w:val="en-US"/>
        </w:rPr>
        <w:t>T</w:t>
      </w:r>
      <w:r w:rsidR="00E72DFE" w:rsidRPr="00602F08">
        <w:rPr>
          <w:rStyle w:val="normaltextrun"/>
          <w:rFonts w:ascii="Times New Roman" w:hAnsi="Times New Roman"/>
          <w:lang w:val="en-US"/>
        </w:rPr>
        <w:t xml:space="preserve">he individual cases of the </w:t>
      </w:r>
      <w:r w:rsidRPr="00602F08">
        <w:rPr>
          <w:rStyle w:val="normaltextrun"/>
          <w:rFonts w:ascii="Times New Roman" w:hAnsi="Times New Roman"/>
          <w:lang w:val="en-US"/>
        </w:rPr>
        <w:t>c</w:t>
      </w:r>
      <w:r w:rsidR="00E72DFE" w:rsidRPr="00602F08">
        <w:rPr>
          <w:rStyle w:val="normaltextrun"/>
          <w:rFonts w:ascii="Times New Roman" w:hAnsi="Times New Roman"/>
          <w:lang w:val="en-US"/>
        </w:rPr>
        <w:t xml:space="preserve">laimants in these proceedings </w:t>
      </w:r>
      <w:r w:rsidR="00896E2E">
        <w:rPr>
          <w:rStyle w:val="normaltextrun"/>
          <w:rFonts w:ascii="Times New Roman" w:hAnsi="Times New Roman"/>
          <w:lang w:val="en-US"/>
        </w:rPr>
        <w:t>revea</w:t>
      </w:r>
      <w:r w:rsidR="007E4793">
        <w:rPr>
          <w:rStyle w:val="normaltextrun"/>
          <w:rFonts w:ascii="Times New Roman" w:hAnsi="Times New Roman"/>
          <w:lang w:val="en-US"/>
        </w:rPr>
        <w:t>l a good deal</w:t>
      </w:r>
      <w:r w:rsidR="00DB2C53">
        <w:rPr>
          <w:rStyle w:val="normaltextrun"/>
          <w:rFonts w:ascii="Times New Roman" w:hAnsi="Times New Roman"/>
          <w:lang w:val="en-US"/>
        </w:rPr>
        <w:t xml:space="preserve">, </w:t>
      </w:r>
      <w:r w:rsidR="004C762B">
        <w:rPr>
          <w:rStyle w:val="normaltextrun"/>
          <w:rFonts w:ascii="Times New Roman" w:hAnsi="Times New Roman"/>
          <w:lang w:val="en-US"/>
        </w:rPr>
        <w:t>and</w:t>
      </w:r>
      <w:r w:rsidR="00DB2C53">
        <w:rPr>
          <w:rStyle w:val="normaltextrun"/>
          <w:rFonts w:ascii="Times New Roman" w:hAnsi="Times New Roman"/>
          <w:lang w:val="en-US"/>
        </w:rPr>
        <w:t xml:space="preserve"> </w:t>
      </w:r>
      <w:r w:rsidR="00477B29">
        <w:rPr>
          <w:rStyle w:val="normaltextrun"/>
          <w:rFonts w:ascii="Times New Roman" w:hAnsi="Times New Roman"/>
          <w:lang w:val="en-US"/>
        </w:rPr>
        <w:t xml:space="preserve">it can be debated whether </w:t>
      </w:r>
      <w:r w:rsidR="00DB2C53">
        <w:rPr>
          <w:rStyle w:val="normaltextrun"/>
          <w:rFonts w:ascii="Times New Roman" w:hAnsi="Times New Roman"/>
          <w:lang w:val="en-US"/>
        </w:rPr>
        <w:t>that</w:t>
      </w:r>
      <w:r w:rsidR="00477B29">
        <w:rPr>
          <w:rStyle w:val="normaltextrun"/>
          <w:rFonts w:ascii="Times New Roman" w:hAnsi="Times New Roman"/>
          <w:lang w:val="en-US"/>
        </w:rPr>
        <w:t xml:space="preserve"> is</w:t>
      </w:r>
      <w:r w:rsidR="00DB2C53">
        <w:rPr>
          <w:rStyle w:val="normaltextrun"/>
          <w:rFonts w:ascii="Times New Roman" w:hAnsi="Times New Roman"/>
          <w:lang w:val="en-US"/>
        </w:rPr>
        <w:t xml:space="preserve"> enough</w:t>
      </w:r>
      <w:r w:rsidR="00B2278C">
        <w:rPr>
          <w:rStyle w:val="normaltextrun"/>
          <w:rFonts w:ascii="Times New Roman" w:hAnsi="Times New Roman"/>
          <w:lang w:val="en-US"/>
        </w:rPr>
        <w:t xml:space="preserve"> to </w:t>
      </w:r>
      <w:r w:rsidR="00335CE8">
        <w:rPr>
          <w:rStyle w:val="normaltextrun"/>
          <w:rFonts w:ascii="Times New Roman" w:hAnsi="Times New Roman"/>
          <w:lang w:val="en-US"/>
        </w:rPr>
        <w:t>show a systemic issue</w:t>
      </w:r>
      <w:r w:rsidR="00E72DFE" w:rsidRPr="00602F08">
        <w:rPr>
          <w:rStyle w:val="normaltextrun"/>
          <w:rFonts w:ascii="Times New Roman" w:hAnsi="Times New Roman"/>
          <w:lang w:val="en-US"/>
        </w:rPr>
        <w:t xml:space="preserve">. </w:t>
      </w:r>
      <w:r w:rsidR="00477B29">
        <w:rPr>
          <w:rStyle w:val="normaltextrun"/>
          <w:rFonts w:ascii="Times New Roman" w:hAnsi="Times New Roman"/>
          <w:lang w:val="en-US"/>
        </w:rPr>
        <w:t>However</w:t>
      </w:r>
      <w:r w:rsidR="00331862">
        <w:rPr>
          <w:rStyle w:val="normaltextrun"/>
          <w:rFonts w:ascii="Times New Roman" w:hAnsi="Times New Roman"/>
          <w:lang w:val="en-US"/>
        </w:rPr>
        <w:t>,</w:t>
      </w:r>
      <w:r w:rsidR="00A2416D" w:rsidRPr="00602F08">
        <w:rPr>
          <w:rStyle w:val="normaltextrun"/>
          <w:rFonts w:ascii="Times New Roman" w:hAnsi="Times New Roman"/>
          <w:lang w:val="en-US"/>
        </w:rPr>
        <w:t xml:space="preserve"> t</w:t>
      </w:r>
      <w:r w:rsidR="00E72DFE" w:rsidRPr="00602F08">
        <w:rPr>
          <w:rStyle w:val="normaltextrun"/>
          <w:rFonts w:ascii="Times New Roman" w:hAnsi="Times New Roman"/>
          <w:lang w:val="en-US"/>
        </w:rPr>
        <w:t>he system-wide figures</w:t>
      </w:r>
      <w:r w:rsidR="00E549E4">
        <w:rPr>
          <w:rStyle w:val="normaltextrun"/>
          <w:rFonts w:ascii="Times New Roman" w:hAnsi="Times New Roman"/>
          <w:lang w:val="en-US"/>
        </w:rPr>
        <w:t xml:space="preserve"> </w:t>
      </w:r>
      <w:r w:rsidR="00E72DFE" w:rsidRPr="00602F08">
        <w:rPr>
          <w:rStyle w:val="normaltextrun"/>
          <w:rFonts w:ascii="Times New Roman" w:hAnsi="Times New Roman"/>
          <w:lang w:val="en-US"/>
        </w:rPr>
        <w:t>provided by the Secretary of State</w:t>
      </w:r>
      <w:r w:rsidR="00D50AF3" w:rsidRPr="00602F08">
        <w:rPr>
          <w:rStyle w:val="normaltextrun"/>
          <w:rFonts w:ascii="Times New Roman" w:hAnsi="Times New Roman"/>
          <w:lang w:val="en-US"/>
        </w:rPr>
        <w:t xml:space="preserve"> through her officials</w:t>
      </w:r>
      <w:r w:rsidR="00E72DFE" w:rsidRPr="00602F08">
        <w:rPr>
          <w:rStyle w:val="normaltextrun"/>
          <w:rFonts w:ascii="Times New Roman" w:hAnsi="Times New Roman"/>
          <w:lang w:val="en-US"/>
        </w:rPr>
        <w:t xml:space="preserve"> indicate t</w:t>
      </w:r>
      <w:r w:rsidR="00E549E4">
        <w:rPr>
          <w:rStyle w:val="normaltextrun"/>
          <w:rFonts w:ascii="Times New Roman" w:hAnsi="Times New Roman"/>
          <w:lang w:val="en-US"/>
        </w:rPr>
        <w:t>he position</w:t>
      </w:r>
      <w:r w:rsidR="00E72DFE" w:rsidRPr="00602F08">
        <w:rPr>
          <w:rStyle w:val="normaltextrun"/>
          <w:rFonts w:ascii="Times New Roman" w:hAnsi="Times New Roman"/>
          <w:lang w:val="en-US"/>
        </w:rPr>
        <w:t xml:space="preserve"> </w:t>
      </w:r>
      <w:r w:rsidR="001C08D9">
        <w:rPr>
          <w:rStyle w:val="normaltextrun"/>
          <w:rFonts w:ascii="Times New Roman" w:hAnsi="Times New Roman"/>
          <w:lang w:val="en-US"/>
        </w:rPr>
        <w:t>across the system</w:t>
      </w:r>
      <w:r w:rsidR="00430A56">
        <w:rPr>
          <w:rStyle w:val="normaltextrun"/>
          <w:rFonts w:ascii="Times New Roman" w:hAnsi="Times New Roman"/>
          <w:lang w:val="en-US"/>
        </w:rPr>
        <w:t xml:space="preserve">, and that the Secretary of State did not know </w:t>
      </w:r>
      <w:r w:rsidR="00976B3E">
        <w:rPr>
          <w:rStyle w:val="normaltextrun"/>
          <w:rFonts w:ascii="Times New Roman" w:hAnsi="Times New Roman"/>
          <w:lang w:val="en-US"/>
        </w:rPr>
        <w:t xml:space="preserve">the true position </w:t>
      </w:r>
      <w:r w:rsidR="00CC7D65">
        <w:rPr>
          <w:rStyle w:val="normaltextrun"/>
          <w:rFonts w:ascii="Times New Roman" w:hAnsi="Times New Roman"/>
          <w:lang w:val="en-US"/>
        </w:rPr>
        <w:t>across the system</w:t>
      </w:r>
      <w:r w:rsidR="00067DEC">
        <w:rPr>
          <w:rStyle w:val="normaltextrun"/>
          <w:rFonts w:ascii="Times New Roman" w:hAnsi="Times New Roman"/>
          <w:lang w:val="en-US"/>
        </w:rPr>
        <w:t>; she believed the position to be one thing when in fact it was another</w:t>
      </w:r>
      <w:r w:rsidR="00E72DFE" w:rsidRPr="00602F08">
        <w:rPr>
          <w:rStyle w:val="normaltextrun"/>
          <w:rFonts w:ascii="Times New Roman" w:hAnsi="Times New Roman"/>
          <w:lang w:val="en-US"/>
        </w:rPr>
        <w:t xml:space="preserve">. </w:t>
      </w:r>
      <w:r w:rsidR="00FE7B5A" w:rsidRPr="00602F08">
        <w:rPr>
          <w:rStyle w:val="normaltextrun"/>
          <w:rFonts w:ascii="Times New Roman" w:hAnsi="Times New Roman"/>
          <w:lang w:val="en-US"/>
        </w:rPr>
        <w:t xml:space="preserve">This is evidence from the full run of cases. </w:t>
      </w:r>
    </w:p>
    <w:p w14:paraId="64D24188" w14:textId="77777777" w:rsidR="00F84570" w:rsidRPr="00202DAC" w:rsidRDefault="00F84570" w:rsidP="00202DAC">
      <w:pPr>
        <w:jc w:val="both"/>
      </w:pPr>
    </w:p>
    <w:p w14:paraId="47D170FD" w14:textId="7A213745" w:rsidR="00F84570" w:rsidRPr="00602F08" w:rsidRDefault="003550CD" w:rsidP="00B6212D">
      <w:pPr>
        <w:numPr>
          <w:ilvl w:val="0"/>
          <w:numId w:val="10"/>
        </w:numPr>
        <w:jc w:val="both"/>
        <w:rPr>
          <w:lang w:val="en-US"/>
        </w:rPr>
      </w:pPr>
      <w:r w:rsidRPr="00602F08">
        <w:t>I</w:t>
      </w:r>
      <w:r w:rsidR="00790B22" w:rsidRPr="00602F08">
        <w:t>t is also true that</w:t>
      </w:r>
      <w:r w:rsidR="00EB2FC5" w:rsidRPr="00602F08">
        <w:t xml:space="preserve"> while the process is a</w:t>
      </w:r>
      <w:r w:rsidR="00A85BE9" w:rsidRPr="00602F08">
        <w:t>s</w:t>
      </w:r>
      <w:r w:rsidR="00EB2FC5" w:rsidRPr="00602F08">
        <w:t xml:space="preserve"> it is th</w:t>
      </w:r>
      <w:r w:rsidR="00C1497A" w:rsidRPr="00602F08">
        <w:t xml:space="preserve">ere is a </w:t>
      </w:r>
      <w:r w:rsidR="00A750CB" w:rsidRPr="00602F08">
        <w:t>risk</w:t>
      </w:r>
      <w:r w:rsidR="00C1497A" w:rsidRPr="00602F08">
        <w:t xml:space="preserve"> </w:t>
      </w:r>
      <w:r w:rsidR="00A750CB" w:rsidRPr="00602F08">
        <w:t>to</w:t>
      </w:r>
      <w:r w:rsidR="00C1497A" w:rsidRPr="00602F08">
        <w:t xml:space="preserve"> decision</w:t>
      </w:r>
      <w:r w:rsidR="00E662DB" w:rsidRPr="00602F08">
        <w:t xml:space="preserve"> </w:t>
      </w:r>
      <w:r w:rsidR="00732327" w:rsidRPr="00602F08">
        <w:t>making</w:t>
      </w:r>
      <w:r w:rsidR="006603AA" w:rsidRPr="00602F08">
        <w:t>. This is because</w:t>
      </w:r>
      <w:r w:rsidR="00732327" w:rsidRPr="00602F08">
        <w:t xml:space="preserve"> </w:t>
      </w:r>
      <w:r w:rsidR="00E662DB" w:rsidRPr="00602F08">
        <w:t>where section 4</w:t>
      </w:r>
      <w:r w:rsidR="00DB678F" w:rsidRPr="00602F08">
        <w:t>(2)</w:t>
      </w:r>
      <w:r w:rsidR="00E662DB" w:rsidRPr="00602F08">
        <w:t xml:space="preserve"> accomm</w:t>
      </w:r>
      <w:r w:rsidR="00A01CA3" w:rsidRPr="00602F08">
        <w:t xml:space="preserve">odation is not being provided </w:t>
      </w:r>
      <w:r w:rsidR="008D775A" w:rsidRPr="00602F08">
        <w:t xml:space="preserve">within a reasonable time </w:t>
      </w:r>
      <w:r w:rsidR="00732327" w:rsidRPr="00602F08">
        <w:t>after a section 4</w:t>
      </w:r>
      <w:r w:rsidR="00DB678F" w:rsidRPr="00602F08">
        <w:t>(2)</w:t>
      </w:r>
      <w:r w:rsidR="00732327" w:rsidRPr="00602F08">
        <w:t xml:space="preserve"> deci</w:t>
      </w:r>
      <w:r w:rsidR="00ED5902" w:rsidRPr="00602F08">
        <w:t>si</w:t>
      </w:r>
      <w:r w:rsidR="00732327" w:rsidRPr="00602F08">
        <w:t xml:space="preserve">on that there is a duty to provide it, </w:t>
      </w:r>
      <w:r w:rsidR="00041B27" w:rsidRPr="00602F08">
        <w:t xml:space="preserve">and caseworkers are </w:t>
      </w:r>
      <w:r w:rsidR="008D775A" w:rsidRPr="00602F08">
        <w:t>making the section 4</w:t>
      </w:r>
      <w:r w:rsidR="00DB678F" w:rsidRPr="00602F08">
        <w:t xml:space="preserve">(2) </w:t>
      </w:r>
      <w:r w:rsidR="008D775A" w:rsidRPr="00602F08">
        <w:t>decision on an assumption that the section 4</w:t>
      </w:r>
      <w:r w:rsidR="00DB678F" w:rsidRPr="00602F08">
        <w:t>(2)</w:t>
      </w:r>
      <w:r w:rsidR="008D775A" w:rsidRPr="00602F08">
        <w:t xml:space="preserve"> accommodation will be provided within a reasonable time, </w:t>
      </w:r>
      <w:r w:rsidR="0031539B" w:rsidRPr="00602F08">
        <w:t xml:space="preserve">the effect is that </w:t>
      </w:r>
      <w:r w:rsidR="00A01CA3" w:rsidRPr="00602F08">
        <w:t xml:space="preserve">consideration is not being given </w:t>
      </w:r>
      <w:r w:rsidR="00E31DBB" w:rsidRPr="00602F08">
        <w:t>“</w:t>
      </w:r>
      <w:r w:rsidR="00AA4878" w:rsidRPr="00602F08">
        <w:t xml:space="preserve">adequately </w:t>
      </w:r>
      <w:r w:rsidR="00E31DBB" w:rsidRPr="00602F08">
        <w:t>[</w:t>
      </w:r>
      <w:r w:rsidR="00E76185" w:rsidRPr="00602F08">
        <w:t>to</w:t>
      </w:r>
      <w:r w:rsidR="00E31DBB" w:rsidRPr="00602F08">
        <w:t>]</w:t>
      </w:r>
      <w:r w:rsidR="00E76185" w:rsidRPr="00602F08">
        <w:t xml:space="preserve"> </w:t>
      </w:r>
      <w:r w:rsidR="00AA4878" w:rsidRPr="00602F08">
        <w:t>recognise, reflect or give effect to the Secretary of State’s obligation not to impose, or to lift, the condition of</w:t>
      </w:r>
      <w:r w:rsidR="00B142EA" w:rsidRPr="00602F08">
        <w:t xml:space="preserve"> </w:t>
      </w:r>
      <w:r w:rsidR="00AA4878" w:rsidRPr="00602F08">
        <w:t>“no recourse to public funds”</w:t>
      </w:r>
      <w:r w:rsidR="0040281C">
        <w:t>”</w:t>
      </w:r>
      <w:r w:rsidR="0031539B" w:rsidRPr="00602F08">
        <w:t xml:space="preserve"> </w:t>
      </w:r>
      <w:r w:rsidR="00E31DBB" w:rsidRPr="00602F08">
        <w:t>(see</w:t>
      </w:r>
      <w:r w:rsidR="00681F18" w:rsidRPr="00602F08">
        <w:t xml:space="preserve"> </w:t>
      </w:r>
      <w:r w:rsidR="00681F18" w:rsidRPr="00602F08">
        <w:rPr>
          <w:u w:val="single"/>
        </w:rPr>
        <w:t>R (W)</w:t>
      </w:r>
      <w:r w:rsidR="00E31DBB" w:rsidRPr="00602F08">
        <w:t xml:space="preserve"> at </w:t>
      </w:r>
      <w:r w:rsidR="001448AB" w:rsidRPr="00602F08">
        <w:t>[73])</w:t>
      </w:r>
      <w:r w:rsidR="00681F18" w:rsidRPr="00602F08">
        <w:t>.</w:t>
      </w:r>
    </w:p>
    <w:p w14:paraId="48E8753F" w14:textId="77777777" w:rsidR="00F84570" w:rsidRPr="00602F08" w:rsidRDefault="00F84570" w:rsidP="00B6212D">
      <w:pPr>
        <w:pStyle w:val="ListParagraph"/>
        <w:jc w:val="both"/>
        <w:rPr>
          <w:rFonts w:ascii="Times New Roman" w:hAnsi="Times New Roman"/>
        </w:rPr>
      </w:pPr>
    </w:p>
    <w:p w14:paraId="1F3DDACD" w14:textId="3A087D9A" w:rsidR="009F6C4E" w:rsidRPr="001A6B7A" w:rsidRDefault="001A6B7A" w:rsidP="001A6B7A">
      <w:pPr>
        <w:numPr>
          <w:ilvl w:val="0"/>
          <w:numId w:val="10"/>
        </w:numPr>
        <w:jc w:val="both"/>
        <w:rPr>
          <w:rStyle w:val="normaltextrun"/>
          <w:lang w:val="en-US"/>
        </w:rPr>
      </w:pPr>
      <w:r>
        <w:rPr>
          <w:lang w:val="en-US"/>
        </w:rPr>
        <w:t>W</w:t>
      </w:r>
      <w:r w:rsidR="009F6C4E" w:rsidRPr="008B2213">
        <w:rPr>
          <w:rStyle w:val="normaltextrun"/>
        </w:rPr>
        <w:t xml:space="preserve">here the Secretary of State’s systems work in a way that cause her to be in breach of her legal duty it is proper for the Court to say that, because the law is not being complied with. </w:t>
      </w:r>
      <w:r w:rsidRPr="00602F08">
        <w:t>Where there is an aspect of the process that will necessarily cause or contribute to the real risk, both of unlawful decisions and of breach of duty, the Court should be prepared to declare it.</w:t>
      </w:r>
    </w:p>
    <w:p w14:paraId="7682FA3A" w14:textId="77777777" w:rsidR="00AC3B51" w:rsidRPr="00602F08" w:rsidRDefault="00AC3B51" w:rsidP="00AC3B51">
      <w:pPr>
        <w:pStyle w:val="ListParagraph"/>
        <w:rPr>
          <w:rFonts w:ascii="Times New Roman" w:hAnsi="Times New Roman"/>
          <w:lang w:val="en-US"/>
        </w:rPr>
      </w:pPr>
    </w:p>
    <w:p w14:paraId="0643EA5F" w14:textId="19C67A5C" w:rsidR="00AC3B51" w:rsidRPr="00602F08" w:rsidRDefault="00AC3B51" w:rsidP="00AC3B51">
      <w:pPr>
        <w:ind w:left="687"/>
        <w:jc w:val="both"/>
        <w:rPr>
          <w:lang w:val="en-US"/>
        </w:rPr>
      </w:pPr>
    </w:p>
    <w:p w14:paraId="6E50D57D" w14:textId="10AD428B" w:rsidR="00AC3B51" w:rsidRPr="00602F08" w:rsidRDefault="00AC3B51" w:rsidP="00AC3B51">
      <w:pPr>
        <w:ind w:left="687"/>
        <w:jc w:val="both"/>
        <w:rPr>
          <w:u w:val="single"/>
          <w:lang w:val="en-US"/>
        </w:rPr>
      </w:pPr>
      <w:r w:rsidRPr="00602F08">
        <w:rPr>
          <w:u w:val="single"/>
          <w:lang w:val="en-US"/>
        </w:rPr>
        <w:t>Failing properly to monitor</w:t>
      </w:r>
    </w:p>
    <w:p w14:paraId="3EACC7F3" w14:textId="77777777" w:rsidR="00AC3B51" w:rsidRPr="00602F08" w:rsidRDefault="00AC3B51" w:rsidP="00AC3B51">
      <w:pPr>
        <w:pStyle w:val="ListParagraph"/>
        <w:rPr>
          <w:rFonts w:ascii="Times New Roman" w:hAnsi="Times New Roman"/>
        </w:rPr>
      </w:pPr>
    </w:p>
    <w:p w14:paraId="620C4C4E" w14:textId="6ECD0274" w:rsidR="00130FC0" w:rsidRPr="00130FC0" w:rsidRDefault="007B04C2" w:rsidP="00130FC0">
      <w:pPr>
        <w:numPr>
          <w:ilvl w:val="0"/>
          <w:numId w:val="10"/>
        </w:numPr>
        <w:jc w:val="both"/>
        <w:rPr>
          <w:lang w:val="en-US"/>
        </w:rPr>
      </w:pPr>
      <w:r w:rsidRPr="00602F08">
        <w:t xml:space="preserve">The </w:t>
      </w:r>
      <w:r w:rsidR="004A0759">
        <w:t xml:space="preserve">relevant </w:t>
      </w:r>
      <w:r w:rsidRPr="00602F08">
        <w:t xml:space="preserve">aspect </w:t>
      </w:r>
      <w:r w:rsidR="006E1EC9">
        <w:t xml:space="preserve">of the process </w:t>
      </w:r>
      <w:r w:rsidR="00271B4E" w:rsidRPr="00602F08">
        <w:t xml:space="preserve">in the present case is the failure to </w:t>
      </w:r>
      <w:r w:rsidR="006860DD" w:rsidRPr="00602F08">
        <w:t xml:space="preserve">capture data </w:t>
      </w:r>
      <w:r w:rsidR="00B46900" w:rsidRPr="00602F08">
        <w:t xml:space="preserve">properly </w:t>
      </w:r>
      <w:r w:rsidR="006860DD" w:rsidRPr="00602F08">
        <w:t>and</w:t>
      </w:r>
      <w:r w:rsidR="004427FC" w:rsidRPr="00602F08">
        <w:t>, using that data,</w:t>
      </w:r>
      <w:r w:rsidR="006860DD" w:rsidRPr="00602F08">
        <w:t xml:space="preserve"> to </w:t>
      </w:r>
      <w:r w:rsidR="00271B4E" w:rsidRPr="00602F08">
        <w:t>moni</w:t>
      </w:r>
      <w:r w:rsidR="00AC3B51" w:rsidRPr="00602F08">
        <w:t xml:space="preserve">tor </w:t>
      </w:r>
      <w:r w:rsidR="004427FC" w:rsidRPr="00602F08">
        <w:t>properly</w:t>
      </w:r>
      <w:r w:rsidR="00B96E1D" w:rsidRPr="00602F08">
        <w:t xml:space="preserve">, so </w:t>
      </w:r>
      <w:r w:rsidR="00786CD2" w:rsidRPr="00602F08">
        <w:t>that the Secretary of State can</w:t>
      </w:r>
      <w:r w:rsidR="00B96E1D" w:rsidRPr="00602F08">
        <w:t xml:space="preserve"> </w:t>
      </w:r>
      <w:r w:rsidR="009C4C85" w:rsidRPr="00602F08">
        <w:t xml:space="preserve">know </w:t>
      </w:r>
      <w:r w:rsidR="007A506B" w:rsidRPr="00602F08">
        <w:t xml:space="preserve">whether she is acting lawfully </w:t>
      </w:r>
      <w:r w:rsidR="00786CD2" w:rsidRPr="00602F08">
        <w:t xml:space="preserve">and </w:t>
      </w:r>
      <w:r w:rsidR="00C81406" w:rsidRPr="00602F08">
        <w:t>in accordance with</w:t>
      </w:r>
      <w:r w:rsidR="00786CD2" w:rsidRPr="00602F08">
        <w:t xml:space="preserve"> her duty</w:t>
      </w:r>
      <w:r w:rsidR="00C81406" w:rsidRPr="00602F08">
        <w:t>,</w:t>
      </w:r>
      <w:r w:rsidR="00786CD2" w:rsidRPr="00602F08">
        <w:t xml:space="preserve"> and can act immediately i</w:t>
      </w:r>
      <w:r w:rsidR="007A506B" w:rsidRPr="00602F08">
        <w:t>f there is a sign that either is not the case</w:t>
      </w:r>
      <w:r w:rsidR="00271B4E" w:rsidRPr="00602F08">
        <w:t xml:space="preserve">. </w:t>
      </w:r>
    </w:p>
    <w:p w14:paraId="5E315C01" w14:textId="77777777" w:rsidR="00130FC0" w:rsidRDefault="00130FC0" w:rsidP="00130FC0">
      <w:pPr>
        <w:ind w:left="687"/>
        <w:jc w:val="both"/>
        <w:rPr>
          <w:lang w:val="en-US"/>
        </w:rPr>
      </w:pPr>
    </w:p>
    <w:p w14:paraId="193DC457" w14:textId="56556180" w:rsidR="00786CD2" w:rsidRDefault="00130FC0" w:rsidP="00F047BB">
      <w:pPr>
        <w:numPr>
          <w:ilvl w:val="0"/>
          <w:numId w:val="10"/>
        </w:numPr>
        <w:jc w:val="both"/>
        <w:rPr>
          <w:lang w:val="en-US"/>
        </w:rPr>
      </w:pPr>
      <w:r>
        <w:rPr>
          <w:lang w:val="en-US"/>
        </w:rPr>
        <w:t>For all t</w:t>
      </w:r>
      <w:r w:rsidR="00FC3C63" w:rsidRPr="00130FC0">
        <w:rPr>
          <w:lang w:val="en-US"/>
        </w:rPr>
        <w:t xml:space="preserve">he </w:t>
      </w:r>
      <w:r w:rsidR="008067D2" w:rsidRPr="00130FC0">
        <w:rPr>
          <w:lang w:val="en-US"/>
        </w:rPr>
        <w:t xml:space="preserve">performance management, provider monitoring </w:t>
      </w:r>
      <w:r w:rsidR="00DA5001" w:rsidRPr="00130FC0">
        <w:rPr>
          <w:lang w:val="en-US"/>
        </w:rPr>
        <w:t xml:space="preserve">and “hourly checks” described at </w:t>
      </w:r>
      <w:r w:rsidR="004A0759">
        <w:rPr>
          <w:lang w:val="en-US"/>
        </w:rPr>
        <w:t xml:space="preserve">paragraphs </w:t>
      </w:r>
      <w:r w:rsidR="00DA5001" w:rsidRPr="00130FC0">
        <w:rPr>
          <w:lang w:val="en-US"/>
        </w:rPr>
        <w:t>[</w:t>
      </w:r>
      <w:r w:rsidR="0075410B">
        <w:rPr>
          <w:lang w:val="en-US"/>
        </w:rPr>
        <w:t>121</w:t>
      </w:r>
      <w:r w:rsidR="00DA5001" w:rsidRPr="00130FC0">
        <w:rPr>
          <w:lang w:val="en-US"/>
        </w:rPr>
        <w:t>] to [</w:t>
      </w:r>
      <w:r w:rsidR="0075410B">
        <w:rPr>
          <w:lang w:val="en-US"/>
        </w:rPr>
        <w:t>138</w:t>
      </w:r>
      <w:r w:rsidR="00DA5001" w:rsidRPr="00130FC0">
        <w:rPr>
          <w:lang w:val="en-US"/>
        </w:rPr>
        <w:t>] above</w:t>
      </w:r>
      <w:r w:rsidR="00340E92">
        <w:rPr>
          <w:rStyle w:val="normaltextrun"/>
          <w:lang w:val="en-US"/>
        </w:rPr>
        <w:t xml:space="preserve"> the Secretary of State</w:t>
      </w:r>
      <w:r w:rsidR="008745EB">
        <w:rPr>
          <w:rStyle w:val="normaltextrun"/>
          <w:lang w:val="en-US"/>
        </w:rPr>
        <w:t xml:space="preserve"> through</w:t>
      </w:r>
      <w:r w:rsidR="00340E92">
        <w:rPr>
          <w:rStyle w:val="normaltextrun"/>
          <w:lang w:val="en-US"/>
        </w:rPr>
        <w:t xml:space="preserve"> her officials</w:t>
      </w:r>
      <w:r w:rsidR="00707181">
        <w:rPr>
          <w:rStyle w:val="normaltextrun"/>
          <w:lang w:val="en-US"/>
        </w:rPr>
        <w:t xml:space="preserve"> w</w:t>
      </w:r>
      <w:r w:rsidR="008745EB">
        <w:rPr>
          <w:rStyle w:val="normaltextrun"/>
          <w:lang w:val="en-US"/>
        </w:rPr>
        <w:t>as</w:t>
      </w:r>
      <w:r w:rsidR="00707181">
        <w:rPr>
          <w:rStyle w:val="normaltextrun"/>
          <w:lang w:val="en-US"/>
        </w:rPr>
        <w:t xml:space="preserve"> not aware</w:t>
      </w:r>
      <w:r w:rsidR="00340E92">
        <w:rPr>
          <w:rStyle w:val="normaltextrun"/>
          <w:lang w:val="en-US"/>
        </w:rPr>
        <w:t xml:space="preserve"> </w:t>
      </w:r>
      <w:r w:rsidR="00816190">
        <w:rPr>
          <w:rStyle w:val="normaltextrun"/>
          <w:lang w:val="en-US"/>
        </w:rPr>
        <w:t xml:space="preserve">that </w:t>
      </w:r>
      <w:r w:rsidR="00C114A6">
        <w:rPr>
          <w:rStyle w:val="normaltextrun"/>
          <w:lang w:val="en-US"/>
        </w:rPr>
        <w:t xml:space="preserve">in </w:t>
      </w:r>
      <w:r w:rsidR="00226531">
        <w:rPr>
          <w:rStyle w:val="normaltextrun"/>
          <w:lang w:val="en-US"/>
        </w:rPr>
        <w:t>the Midland and East of England</w:t>
      </w:r>
      <w:r w:rsidR="00F047BB">
        <w:rPr>
          <w:rStyle w:val="normaltextrun"/>
          <w:lang w:val="en-US"/>
        </w:rPr>
        <w:t>,</w:t>
      </w:r>
      <w:r w:rsidR="00050C63">
        <w:rPr>
          <w:rStyle w:val="normaltextrun"/>
          <w:lang w:val="en-US"/>
        </w:rPr>
        <w:t xml:space="preserve"> accommodation was </w:t>
      </w:r>
      <w:r w:rsidR="00F047BB">
        <w:rPr>
          <w:rStyle w:val="normaltextrun"/>
          <w:lang w:val="en-US"/>
        </w:rPr>
        <w:t xml:space="preserve">not </w:t>
      </w:r>
      <w:r w:rsidR="00050C63">
        <w:rPr>
          <w:rStyle w:val="normaltextrun"/>
          <w:lang w:val="en-US"/>
        </w:rPr>
        <w:t xml:space="preserve">being provided </w:t>
      </w:r>
      <w:r w:rsidR="00926A8F">
        <w:rPr>
          <w:rStyle w:val="normaltextrun"/>
          <w:lang w:val="en-US"/>
        </w:rPr>
        <w:t xml:space="preserve">within timescales </w:t>
      </w:r>
      <w:r w:rsidR="00FE30A5">
        <w:rPr>
          <w:rStyle w:val="normaltextrun"/>
          <w:lang w:val="en-US"/>
        </w:rPr>
        <w:t xml:space="preserve">she had set in </w:t>
      </w:r>
      <w:r w:rsidR="00F047BB">
        <w:rPr>
          <w:rStyle w:val="normaltextrun"/>
          <w:lang w:val="en-US"/>
        </w:rPr>
        <w:t>36</w:t>
      </w:r>
      <w:r w:rsidR="00FE30A5">
        <w:rPr>
          <w:rStyle w:val="normaltextrun"/>
          <w:lang w:val="en-US"/>
        </w:rPr>
        <w:t xml:space="preserve">% </w:t>
      </w:r>
      <w:r w:rsidR="00D04E51">
        <w:rPr>
          <w:rStyle w:val="normaltextrun"/>
          <w:lang w:val="en-US"/>
        </w:rPr>
        <w:t xml:space="preserve">of </w:t>
      </w:r>
      <w:r w:rsidR="00575713">
        <w:rPr>
          <w:rStyle w:val="normaltextrun"/>
          <w:lang w:val="en-US"/>
        </w:rPr>
        <w:t xml:space="preserve">all cases where a </w:t>
      </w:r>
      <w:r w:rsidR="00306475">
        <w:rPr>
          <w:rStyle w:val="normaltextrun"/>
          <w:lang w:val="en-US"/>
        </w:rPr>
        <w:t>section 4(2) decision</w:t>
      </w:r>
      <w:r w:rsidR="00575713">
        <w:rPr>
          <w:rStyle w:val="normaltextrun"/>
          <w:lang w:val="en-US"/>
        </w:rPr>
        <w:t xml:space="preserve"> had been made on her behalf.</w:t>
      </w:r>
      <w:r w:rsidR="00306475">
        <w:rPr>
          <w:rStyle w:val="normaltextrun"/>
          <w:lang w:val="en-US"/>
        </w:rPr>
        <w:t xml:space="preserve"> </w:t>
      </w:r>
      <w:r w:rsidR="008F5E29" w:rsidRPr="000E6F68">
        <w:rPr>
          <w:lang w:val="en-US"/>
        </w:rPr>
        <w:t>The claiman</w:t>
      </w:r>
      <w:r w:rsidR="006765A1" w:rsidRPr="000E6F68">
        <w:rPr>
          <w:lang w:val="en-US"/>
        </w:rPr>
        <w:t>ts</w:t>
      </w:r>
      <w:r w:rsidR="00707181">
        <w:rPr>
          <w:lang w:val="en-US"/>
        </w:rPr>
        <w:t xml:space="preserve">’ cases </w:t>
      </w:r>
      <w:r w:rsidR="000E65B9">
        <w:rPr>
          <w:lang w:val="en-US"/>
        </w:rPr>
        <w:t>provide</w:t>
      </w:r>
      <w:r w:rsidR="006765A1" w:rsidRPr="000E6F68">
        <w:rPr>
          <w:lang w:val="en-US"/>
        </w:rPr>
        <w:t xml:space="preserve"> examples</w:t>
      </w:r>
      <w:r w:rsidR="000E65B9">
        <w:rPr>
          <w:lang w:val="en-US"/>
        </w:rPr>
        <w:t xml:space="preserve">, </w:t>
      </w:r>
      <w:r w:rsidR="00BD43BB">
        <w:rPr>
          <w:lang w:val="en-US"/>
        </w:rPr>
        <w:t>and</w:t>
      </w:r>
      <w:r w:rsidR="006F1C60">
        <w:rPr>
          <w:lang w:val="en-US"/>
        </w:rPr>
        <w:t>, as best they can,</w:t>
      </w:r>
      <w:r w:rsidR="00BD43BB">
        <w:rPr>
          <w:lang w:val="en-US"/>
        </w:rPr>
        <w:t xml:space="preserve"> they offer other examples</w:t>
      </w:r>
      <w:r w:rsidR="006F1C60">
        <w:rPr>
          <w:lang w:val="en-US"/>
        </w:rPr>
        <w:t xml:space="preserve"> in the evidence provided on their behalf</w:t>
      </w:r>
      <w:r w:rsidR="00850EAB" w:rsidRPr="000E6F68">
        <w:rPr>
          <w:lang w:val="en-US"/>
        </w:rPr>
        <w:t>.</w:t>
      </w:r>
      <w:r w:rsidR="006765A1" w:rsidRPr="00F047BB">
        <w:rPr>
          <w:lang w:val="en-US"/>
        </w:rPr>
        <w:t xml:space="preserve"> </w:t>
      </w:r>
      <w:r w:rsidR="00575713">
        <w:rPr>
          <w:lang w:val="en-US"/>
        </w:rPr>
        <w:t xml:space="preserve">The </w:t>
      </w:r>
      <w:r w:rsidR="000659A8">
        <w:rPr>
          <w:lang w:val="en-US"/>
        </w:rPr>
        <w:t xml:space="preserve">degree of excess </w:t>
      </w:r>
      <w:r w:rsidR="00EB4B30">
        <w:rPr>
          <w:lang w:val="en-US"/>
        </w:rPr>
        <w:t xml:space="preserve">time </w:t>
      </w:r>
      <w:r w:rsidR="00557B13">
        <w:rPr>
          <w:lang w:val="en-US"/>
        </w:rPr>
        <w:t xml:space="preserve">across the 36% of cases is not known, </w:t>
      </w:r>
      <w:r w:rsidR="00D271BB">
        <w:rPr>
          <w:lang w:val="en-US"/>
        </w:rPr>
        <w:t xml:space="preserve">and nor are the consequences for the individuals involved, </w:t>
      </w:r>
      <w:r w:rsidR="00557B13">
        <w:rPr>
          <w:lang w:val="en-US"/>
        </w:rPr>
        <w:t xml:space="preserve">and that </w:t>
      </w:r>
      <w:r w:rsidR="00EB4B30">
        <w:rPr>
          <w:lang w:val="en-US"/>
        </w:rPr>
        <w:t>reinforces the point</w:t>
      </w:r>
      <w:r w:rsidR="001C2D41">
        <w:rPr>
          <w:lang w:val="en-US"/>
        </w:rPr>
        <w:t>.</w:t>
      </w:r>
    </w:p>
    <w:p w14:paraId="7A0F8097" w14:textId="77777777" w:rsidR="00094E17" w:rsidRDefault="00094E17" w:rsidP="00094E17">
      <w:pPr>
        <w:pStyle w:val="ListParagraph"/>
        <w:rPr>
          <w:lang w:val="en-US"/>
        </w:rPr>
      </w:pPr>
    </w:p>
    <w:p w14:paraId="20A1CBAD" w14:textId="69B2AF2F" w:rsidR="00094E17" w:rsidRPr="004E6BEF" w:rsidRDefault="004E6BEF" w:rsidP="004E6BEF">
      <w:pPr>
        <w:pStyle w:val="ListParagraph"/>
        <w:widowControl w:val="0"/>
        <w:numPr>
          <w:ilvl w:val="0"/>
          <w:numId w:val="10"/>
        </w:numPr>
        <w:tabs>
          <w:tab w:val="left" w:pos="688"/>
        </w:tabs>
        <w:autoSpaceDE w:val="0"/>
        <w:autoSpaceDN w:val="0"/>
        <w:contextualSpacing w:val="0"/>
        <w:jc w:val="both"/>
        <w:rPr>
          <w:rFonts w:ascii="Times New Roman" w:hAnsi="Times New Roman"/>
        </w:rPr>
      </w:pPr>
      <w:r>
        <w:rPr>
          <w:rStyle w:val="normaltextrun"/>
          <w:rFonts w:ascii="Times New Roman" w:hAnsi="Times New Roman"/>
          <w:lang w:val="en-US"/>
        </w:rPr>
        <w:t>Without proper monitoring</w:t>
      </w:r>
      <w:r w:rsidR="00094E17" w:rsidRPr="00602F08">
        <w:rPr>
          <w:rStyle w:val="normaltextrun"/>
          <w:rFonts w:ascii="Times New Roman" w:hAnsi="Times New Roman"/>
          <w:lang w:val="en-US"/>
        </w:rPr>
        <w:t xml:space="preserve"> the system is without a key means by which to identify and correct failure and to inform change to enable it to meet its purpose, to be found in section 4(2). </w:t>
      </w:r>
      <w:r w:rsidR="00094E17" w:rsidRPr="00602F08">
        <w:rPr>
          <w:rFonts w:ascii="Times New Roman" w:hAnsi="Times New Roman"/>
        </w:rPr>
        <w:t>It is a systemic issue that puts all those entitled to the “safety net” of section 4(2) accommodation at unnecessary risk. In the present case there is evidence of a real risk of a breach of the Secretary of State’s statutory duty in a significant number of cases.</w:t>
      </w:r>
    </w:p>
    <w:p w14:paraId="5D8A4497" w14:textId="77777777" w:rsidR="00F047BB" w:rsidRDefault="00F047BB" w:rsidP="00F047BB">
      <w:pPr>
        <w:pStyle w:val="ListParagraph"/>
        <w:ind w:left="687"/>
        <w:jc w:val="both"/>
        <w:rPr>
          <w:rStyle w:val="normaltextrun"/>
          <w:rFonts w:ascii="Times New Roman" w:hAnsi="Times New Roman"/>
          <w:lang w:val="en-US"/>
        </w:rPr>
      </w:pPr>
    </w:p>
    <w:p w14:paraId="33A2B492" w14:textId="610BE1D2" w:rsidR="00BD4F26" w:rsidRPr="00602F08" w:rsidRDefault="00861BF8" w:rsidP="00B6212D">
      <w:pPr>
        <w:numPr>
          <w:ilvl w:val="0"/>
          <w:numId w:val="10"/>
        </w:numPr>
        <w:jc w:val="both"/>
        <w:rPr>
          <w:lang w:val="en-US"/>
        </w:rPr>
      </w:pPr>
      <w:r>
        <w:t>In identifying this aspect of the process</w:t>
      </w:r>
      <w:r w:rsidR="004A0759">
        <w:t>,</w:t>
      </w:r>
      <w:r>
        <w:t xml:space="preserve"> I am </w:t>
      </w:r>
      <w:r w:rsidR="00271B4E" w:rsidRPr="00602F08">
        <w:t xml:space="preserve">not </w:t>
      </w:r>
      <w:r>
        <w:t>to be taken as saying</w:t>
      </w:r>
      <w:r w:rsidR="00271B4E" w:rsidRPr="00602F08">
        <w:t xml:space="preserve"> that there are no other failings in the system</w:t>
      </w:r>
      <w:r w:rsidR="00555A4B" w:rsidRPr="00602F08">
        <w:t>, which if not corrected will place the Secretary of State in breach of her duties</w:t>
      </w:r>
      <w:r w:rsidR="006860DD" w:rsidRPr="00602F08">
        <w:t>. It is simply that this is the aspect that</w:t>
      </w:r>
      <w:r w:rsidR="001D22B8" w:rsidRPr="00602F08">
        <w:t xml:space="preserve"> will </w:t>
      </w:r>
      <w:r w:rsidR="00EC1B97" w:rsidRPr="00602F08">
        <w:t xml:space="preserve">need to change, whatever </w:t>
      </w:r>
      <w:r w:rsidR="00EC69E1">
        <w:t xml:space="preserve">other </w:t>
      </w:r>
      <w:r w:rsidR="00834098" w:rsidRPr="00602F08">
        <w:t>choices the Secretary of State will make in correcti</w:t>
      </w:r>
      <w:r w:rsidR="00FF4B03" w:rsidRPr="00602F08">
        <w:t>ng the system so that she is not place</w:t>
      </w:r>
      <w:r w:rsidR="007D3B73" w:rsidRPr="00602F08">
        <w:t>d</w:t>
      </w:r>
      <w:r w:rsidR="00FF4B03" w:rsidRPr="00602F08">
        <w:t xml:space="preserve"> in breach of her duties</w:t>
      </w:r>
      <w:r w:rsidR="00EC1B97" w:rsidRPr="00602F08">
        <w:t>.</w:t>
      </w:r>
      <w:r w:rsidR="00555A4B" w:rsidRPr="00602F08">
        <w:t xml:space="preserve"> </w:t>
      </w:r>
      <w:r w:rsidR="007E2113">
        <w:t xml:space="preserve">It is the foundation of </w:t>
      </w:r>
      <w:r w:rsidR="00CC57E2">
        <w:t>ensuring</w:t>
      </w:r>
      <w:r w:rsidR="00AB3D3D">
        <w:t xml:space="preserve"> that </w:t>
      </w:r>
      <w:r w:rsidR="000D73E3">
        <w:t xml:space="preserve">her </w:t>
      </w:r>
      <w:r w:rsidR="00AB3D3D">
        <w:t>duty is met</w:t>
      </w:r>
      <w:r w:rsidR="00CC57E2">
        <w:t>.</w:t>
      </w:r>
      <w:r w:rsidR="007E2113">
        <w:t xml:space="preserve"> </w:t>
      </w:r>
      <w:r w:rsidR="009241A7" w:rsidRPr="00602F08">
        <w:t>Given the context</w:t>
      </w:r>
      <w:r w:rsidR="00C47C9A" w:rsidRPr="00602F08">
        <w:t xml:space="preserve"> of </w:t>
      </w:r>
      <w:r w:rsidR="00CC3746" w:rsidRPr="00602F08">
        <w:t xml:space="preserve">(present or imminent) </w:t>
      </w:r>
      <w:r w:rsidR="00C47C9A" w:rsidRPr="00602F08">
        <w:t>inhuman or degrading treatment</w:t>
      </w:r>
      <w:r w:rsidR="007B1074" w:rsidRPr="00602F08">
        <w:t>,</w:t>
      </w:r>
      <w:r w:rsidR="009241A7" w:rsidRPr="00602F08">
        <w:t xml:space="preserve"> and the </w:t>
      </w:r>
      <w:r w:rsidR="0041259A" w:rsidRPr="00602F08">
        <w:t xml:space="preserve">real </w:t>
      </w:r>
      <w:r w:rsidR="009241A7" w:rsidRPr="00602F08">
        <w:t>risks involved</w:t>
      </w:r>
      <w:r w:rsidR="00CC3746" w:rsidRPr="00602F08">
        <w:t xml:space="preserve"> (of unlawful </w:t>
      </w:r>
      <w:r w:rsidR="0041259A" w:rsidRPr="00602F08">
        <w:t>breach of duty)</w:t>
      </w:r>
      <w:r w:rsidR="009241A7" w:rsidRPr="00602F08">
        <w:t>, t</w:t>
      </w:r>
      <w:r w:rsidR="007D6AE7" w:rsidRPr="00602F08">
        <w:t xml:space="preserve">here is no </w:t>
      </w:r>
      <w:r w:rsidR="007D3B73" w:rsidRPr="00602F08">
        <w:t xml:space="preserve">lawful system that does not </w:t>
      </w:r>
      <w:r w:rsidR="007D6AE7" w:rsidRPr="00602F08">
        <w:t>capture data properly and, using that data, monitor properly</w:t>
      </w:r>
      <w:r w:rsidR="009241A7" w:rsidRPr="00602F08">
        <w:t>.</w:t>
      </w:r>
    </w:p>
    <w:p w14:paraId="391B80D4" w14:textId="77777777" w:rsidR="00206D70" w:rsidRPr="00602F08" w:rsidRDefault="00206D70" w:rsidP="00B6212D">
      <w:pPr>
        <w:pStyle w:val="ListParagraph"/>
        <w:jc w:val="both"/>
        <w:rPr>
          <w:rStyle w:val="normaltextrun"/>
          <w:rFonts w:ascii="Times New Roman" w:hAnsi="Times New Roman"/>
          <w:lang w:val="en-US"/>
        </w:rPr>
      </w:pPr>
    </w:p>
    <w:p w14:paraId="40668B7C" w14:textId="23052A87" w:rsidR="003F6E55" w:rsidRPr="00602F08" w:rsidRDefault="004E1606" w:rsidP="00EF0DC9">
      <w:pPr>
        <w:numPr>
          <w:ilvl w:val="0"/>
          <w:numId w:val="10"/>
        </w:numPr>
        <w:jc w:val="both"/>
        <w:rPr>
          <w:rStyle w:val="normaltextrun"/>
          <w:lang w:val="en-US"/>
        </w:rPr>
      </w:pPr>
      <w:r w:rsidRPr="00602F08">
        <w:rPr>
          <w:rStyle w:val="normaltextrun"/>
          <w:lang w:val="en-US"/>
        </w:rPr>
        <w:t>A</w:t>
      </w:r>
      <w:r w:rsidR="00A56E9F" w:rsidRPr="00602F08">
        <w:rPr>
          <w:rStyle w:val="normaltextrun"/>
          <w:lang w:val="en-US"/>
        </w:rPr>
        <w:t xml:space="preserve"> point to emphasise is that the monitoring negotiated </w:t>
      </w:r>
      <w:r w:rsidR="003A087E" w:rsidRPr="00602F08">
        <w:rPr>
          <w:rStyle w:val="normaltextrun"/>
          <w:lang w:val="en-US"/>
        </w:rPr>
        <w:t>for a contract will not necessarily be the same as the monitoring required</w:t>
      </w:r>
      <w:r w:rsidR="00855BA0" w:rsidRPr="00602F08">
        <w:rPr>
          <w:rStyle w:val="normaltextrun"/>
          <w:lang w:val="en-US"/>
        </w:rPr>
        <w:t xml:space="preserve"> to enable a Minister to perform his or her duty</w:t>
      </w:r>
      <w:r w:rsidR="005A7241">
        <w:rPr>
          <w:rStyle w:val="normaltextrun"/>
          <w:lang w:val="en-US"/>
        </w:rPr>
        <w:t>, assisted by officials</w:t>
      </w:r>
      <w:r w:rsidR="00855BA0" w:rsidRPr="00602F08">
        <w:rPr>
          <w:rStyle w:val="normaltextrun"/>
          <w:lang w:val="en-US"/>
        </w:rPr>
        <w:t xml:space="preserve">. </w:t>
      </w:r>
      <w:r w:rsidR="00FB4E85" w:rsidRPr="00602F08">
        <w:rPr>
          <w:rStyle w:val="normaltextrun"/>
          <w:lang w:val="en-US"/>
        </w:rPr>
        <w:t>These proceedings illustrate this point well</w:t>
      </w:r>
      <w:r w:rsidR="00EF0DC9" w:rsidRPr="00602F08">
        <w:rPr>
          <w:rStyle w:val="normaltextrun"/>
          <w:lang w:val="en-US"/>
        </w:rPr>
        <w:t>, and</w:t>
      </w:r>
      <w:r w:rsidR="00C90F65" w:rsidRPr="00602F08">
        <w:rPr>
          <w:rStyle w:val="normaltextrun"/>
          <w:lang w:val="en-US"/>
        </w:rPr>
        <w:t>, with respect</w:t>
      </w:r>
      <w:r w:rsidR="00927948" w:rsidRPr="00602F08">
        <w:rPr>
          <w:rStyle w:val="normaltextrun"/>
          <w:lang w:val="en-US"/>
        </w:rPr>
        <w:t>,</w:t>
      </w:r>
      <w:r w:rsidR="00EF0DC9" w:rsidRPr="00602F08">
        <w:rPr>
          <w:rStyle w:val="normaltextrun"/>
          <w:lang w:val="en-US"/>
        </w:rPr>
        <w:t xml:space="preserve"> </w:t>
      </w:r>
      <w:r w:rsidR="00D859B7">
        <w:rPr>
          <w:rStyle w:val="normaltextrun"/>
          <w:lang w:val="en-US"/>
        </w:rPr>
        <w:t xml:space="preserve">when I stand back from the detail of this case, </w:t>
      </w:r>
      <w:r w:rsidR="00EF0DC9" w:rsidRPr="00602F08">
        <w:rPr>
          <w:rStyle w:val="normaltextrun"/>
          <w:lang w:val="en-US"/>
        </w:rPr>
        <w:t xml:space="preserve">I have every sense that </w:t>
      </w:r>
      <w:r w:rsidR="00747A03" w:rsidRPr="00602F08">
        <w:rPr>
          <w:rStyle w:val="normaltextrun"/>
          <w:lang w:val="en-US"/>
        </w:rPr>
        <w:t xml:space="preserve">this point </w:t>
      </w:r>
      <w:r w:rsidR="005D30B4">
        <w:rPr>
          <w:rStyle w:val="normaltextrun"/>
          <w:lang w:val="en-US"/>
        </w:rPr>
        <w:t>was</w:t>
      </w:r>
      <w:r w:rsidR="00747A03" w:rsidRPr="00602F08">
        <w:rPr>
          <w:rStyle w:val="normaltextrun"/>
          <w:lang w:val="en-US"/>
        </w:rPr>
        <w:t xml:space="preserve"> be</w:t>
      </w:r>
      <w:r w:rsidR="005D30B4">
        <w:rPr>
          <w:rStyle w:val="normaltextrun"/>
          <w:lang w:val="en-US"/>
        </w:rPr>
        <w:t xml:space="preserve">ing </w:t>
      </w:r>
      <w:r w:rsidR="00747A03" w:rsidRPr="00602F08">
        <w:rPr>
          <w:rStyle w:val="normaltextrun"/>
          <w:lang w:val="en-US"/>
        </w:rPr>
        <w:t>overlooked</w:t>
      </w:r>
      <w:r w:rsidR="000309D1">
        <w:rPr>
          <w:rStyle w:val="normaltextrun"/>
          <w:lang w:val="en-US"/>
        </w:rPr>
        <w:t xml:space="preserve"> at the time</w:t>
      </w:r>
      <w:r w:rsidR="002F6AF0">
        <w:rPr>
          <w:rStyle w:val="normaltextrun"/>
          <w:lang w:val="en-US"/>
        </w:rPr>
        <w:t>,</w:t>
      </w:r>
      <w:r w:rsidR="005D30B4">
        <w:rPr>
          <w:rStyle w:val="normaltextrun"/>
          <w:lang w:val="en-US"/>
        </w:rPr>
        <w:t xml:space="preserve"> although </w:t>
      </w:r>
      <w:r w:rsidR="00BC6228">
        <w:rPr>
          <w:rStyle w:val="normaltextrun"/>
          <w:lang w:val="en-US"/>
        </w:rPr>
        <w:t xml:space="preserve">in these proceedings </w:t>
      </w:r>
      <w:r w:rsidR="005D30B4">
        <w:rPr>
          <w:rStyle w:val="normaltextrun"/>
          <w:lang w:val="en-US"/>
        </w:rPr>
        <w:t xml:space="preserve">it is now </w:t>
      </w:r>
      <w:r w:rsidR="00BC6228">
        <w:rPr>
          <w:rStyle w:val="normaltextrun"/>
          <w:lang w:val="en-US"/>
        </w:rPr>
        <w:t>emphasi</w:t>
      </w:r>
      <w:r w:rsidR="00480683">
        <w:rPr>
          <w:rStyle w:val="normaltextrun"/>
          <w:lang w:val="en-US"/>
        </w:rPr>
        <w:t>s</w:t>
      </w:r>
      <w:r w:rsidR="00BC6228">
        <w:rPr>
          <w:rStyle w:val="normaltextrun"/>
          <w:lang w:val="en-US"/>
        </w:rPr>
        <w:t>e</w:t>
      </w:r>
      <w:r w:rsidR="002F6AF0">
        <w:rPr>
          <w:rStyle w:val="normaltextrun"/>
          <w:lang w:val="en-US"/>
        </w:rPr>
        <w:t>d on behalf of the Secretary of State</w:t>
      </w:r>
      <w:r w:rsidR="00BC6228">
        <w:rPr>
          <w:rStyle w:val="normaltextrun"/>
          <w:lang w:val="en-US"/>
        </w:rPr>
        <w:t xml:space="preserve"> (see paragraph [</w:t>
      </w:r>
      <w:r w:rsidR="000309D1">
        <w:rPr>
          <w:rStyle w:val="normaltextrun"/>
          <w:lang w:val="en-US"/>
        </w:rPr>
        <w:t>208</w:t>
      </w:r>
      <w:r w:rsidR="00BC6228">
        <w:rPr>
          <w:rStyle w:val="normaltextrun"/>
          <w:lang w:val="en-US"/>
        </w:rPr>
        <w:t>] above)</w:t>
      </w:r>
      <w:r w:rsidR="00FB4E85" w:rsidRPr="00602F08">
        <w:rPr>
          <w:rStyle w:val="normaltextrun"/>
          <w:lang w:val="en-US"/>
        </w:rPr>
        <w:t>.</w:t>
      </w:r>
      <w:r w:rsidR="00A30320" w:rsidRPr="00602F08">
        <w:rPr>
          <w:rStyle w:val="normaltextrun"/>
          <w:lang w:val="en-US"/>
        </w:rPr>
        <w:t xml:space="preserve"> </w:t>
      </w:r>
    </w:p>
    <w:p w14:paraId="3901E259" w14:textId="77777777" w:rsidR="003F6E55" w:rsidRPr="00602F08" w:rsidRDefault="003F6E55" w:rsidP="003F6E55">
      <w:pPr>
        <w:pStyle w:val="ListParagraph"/>
        <w:rPr>
          <w:rStyle w:val="normaltextrun"/>
          <w:rFonts w:ascii="Times New Roman" w:hAnsi="Times New Roman"/>
          <w:lang w:val="en-US"/>
        </w:rPr>
      </w:pPr>
    </w:p>
    <w:p w14:paraId="646963C1" w14:textId="05B2F5AD" w:rsidR="00EF0DC9" w:rsidRDefault="00A30320" w:rsidP="00EF0DC9">
      <w:pPr>
        <w:numPr>
          <w:ilvl w:val="0"/>
          <w:numId w:val="10"/>
        </w:numPr>
        <w:jc w:val="both"/>
        <w:rPr>
          <w:rStyle w:val="normaltextrun"/>
          <w:lang w:val="en-US"/>
        </w:rPr>
      </w:pPr>
      <w:r w:rsidRPr="00602F08">
        <w:rPr>
          <w:rStyle w:val="normaltextrun"/>
          <w:lang w:val="en-US"/>
        </w:rPr>
        <w:t xml:space="preserve">The </w:t>
      </w:r>
      <w:r w:rsidR="00260DAC">
        <w:rPr>
          <w:rStyle w:val="normaltextrun"/>
          <w:lang w:val="en-US"/>
        </w:rPr>
        <w:t xml:space="preserve">AASC </w:t>
      </w:r>
      <w:r w:rsidRPr="00602F08">
        <w:rPr>
          <w:rStyle w:val="normaltextrun"/>
          <w:lang w:val="en-US"/>
        </w:rPr>
        <w:t>contracts with providers</w:t>
      </w:r>
      <w:r w:rsidR="00B00CE9" w:rsidRPr="00602F08">
        <w:rPr>
          <w:rStyle w:val="normaltextrun"/>
          <w:lang w:val="en-US"/>
        </w:rPr>
        <w:t xml:space="preserve"> </w:t>
      </w:r>
      <w:r w:rsidR="00D36910" w:rsidRPr="00602F08">
        <w:rPr>
          <w:rStyle w:val="normaltextrun"/>
          <w:lang w:val="en-US"/>
        </w:rPr>
        <w:t xml:space="preserve">are set in a commercial context </w:t>
      </w:r>
      <w:r w:rsidR="00DE38CA">
        <w:rPr>
          <w:rStyle w:val="normaltextrun"/>
          <w:lang w:val="en-US"/>
        </w:rPr>
        <w:t>where the parties choose what obligations to take on</w:t>
      </w:r>
      <w:r w:rsidR="00612E3C" w:rsidRPr="00602F08">
        <w:rPr>
          <w:rStyle w:val="normaltextrun"/>
          <w:lang w:val="en-US"/>
        </w:rPr>
        <w:t xml:space="preserve">. </w:t>
      </w:r>
      <w:r w:rsidR="000C77A0">
        <w:rPr>
          <w:rStyle w:val="normaltextrun"/>
          <w:lang w:val="en-US"/>
        </w:rPr>
        <w:t>Regardless of the contract, t</w:t>
      </w:r>
      <w:r w:rsidR="004E0222" w:rsidRPr="00602F08">
        <w:rPr>
          <w:rStyle w:val="normaltextrun"/>
          <w:lang w:val="en-US"/>
        </w:rPr>
        <w:t xml:space="preserve">he </w:t>
      </w:r>
      <w:r w:rsidR="00612E3C" w:rsidRPr="00602F08">
        <w:rPr>
          <w:rStyle w:val="normaltextrun"/>
          <w:lang w:val="en-US"/>
        </w:rPr>
        <w:t xml:space="preserve">Secretary of State has </w:t>
      </w:r>
      <w:r w:rsidR="000C77A0">
        <w:rPr>
          <w:rStyle w:val="normaltextrun"/>
          <w:lang w:val="en-US"/>
        </w:rPr>
        <w:t>her legal dut</w:t>
      </w:r>
      <w:r w:rsidR="004D292F">
        <w:rPr>
          <w:rStyle w:val="normaltextrun"/>
          <w:lang w:val="en-US"/>
        </w:rPr>
        <w:t>y</w:t>
      </w:r>
      <w:r w:rsidR="00612E3C" w:rsidRPr="00602F08">
        <w:rPr>
          <w:rStyle w:val="normaltextrun"/>
          <w:lang w:val="en-US"/>
        </w:rPr>
        <w:t xml:space="preserve">; the providers do not. </w:t>
      </w:r>
      <w:r w:rsidR="00467BA4" w:rsidRPr="00602F08">
        <w:rPr>
          <w:rStyle w:val="normaltextrun"/>
          <w:lang w:val="en-US"/>
        </w:rPr>
        <w:t>The contracts have their incentive structures</w:t>
      </w:r>
      <w:r w:rsidR="00C715D9" w:rsidRPr="00602F08">
        <w:rPr>
          <w:rStyle w:val="normaltextrun"/>
          <w:lang w:val="en-US"/>
        </w:rPr>
        <w:t xml:space="preserve"> for the provider</w:t>
      </w:r>
      <w:r w:rsidR="004E0222" w:rsidRPr="00602F08">
        <w:rPr>
          <w:rStyle w:val="normaltextrun"/>
          <w:lang w:val="en-US"/>
        </w:rPr>
        <w:t>,</w:t>
      </w:r>
      <w:r w:rsidR="00C715D9" w:rsidRPr="00602F08">
        <w:rPr>
          <w:rStyle w:val="normaltextrun"/>
          <w:lang w:val="en-US"/>
        </w:rPr>
        <w:t xml:space="preserve"> but incentive has no place for the Secretary of State who has a legal duty.</w:t>
      </w:r>
      <w:r w:rsidR="00467BA4" w:rsidRPr="00602F08">
        <w:rPr>
          <w:rStyle w:val="normaltextrun"/>
          <w:lang w:val="en-US"/>
        </w:rPr>
        <w:t xml:space="preserve"> </w:t>
      </w:r>
      <w:r w:rsidR="00F214EA" w:rsidRPr="00602F08">
        <w:rPr>
          <w:rStyle w:val="normaltextrun"/>
          <w:lang w:val="en-US"/>
        </w:rPr>
        <w:t xml:space="preserve">The contracts </w:t>
      </w:r>
      <w:r w:rsidR="007F04F2" w:rsidRPr="00602F08">
        <w:rPr>
          <w:rStyle w:val="normaltextrun"/>
          <w:lang w:val="en-US"/>
        </w:rPr>
        <w:t xml:space="preserve">negotiated have chosen to fix </w:t>
      </w:r>
      <w:r w:rsidR="00C90F65" w:rsidRPr="00602F08">
        <w:rPr>
          <w:rStyle w:val="normaltextrun"/>
          <w:lang w:val="en-US"/>
        </w:rPr>
        <w:t xml:space="preserve">the providers’ </w:t>
      </w:r>
      <w:r w:rsidR="007F04F2" w:rsidRPr="00602F08">
        <w:rPr>
          <w:rStyle w:val="normaltextrun"/>
          <w:lang w:val="en-US"/>
        </w:rPr>
        <w:t>performance times when the Secretary of State</w:t>
      </w:r>
      <w:r w:rsidR="00C90F65" w:rsidRPr="00602F08">
        <w:rPr>
          <w:rStyle w:val="normaltextrun"/>
          <w:lang w:val="en-US"/>
        </w:rPr>
        <w:t>’</w:t>
      </w:r>
      <w:r w:rsidR="007F04F2" w:rsidRPr="00602F08">
        <w:rPr>
          <w:rStyle w:val="normaltextrun"/>
          <w:lang w:val="en-US"/>
        </w:rPr>
        <w:t xml:space="preserve">s duty is not </w:t>
      </w:r>
      <w:r w:rsidR="00C90F65" w:rsidRPr="00602F08">
        <w:rPr>
          <w:rStyle w:val="normaltextrun"/>
          <w:lang w:val="en-US"/>
        </w:rPr>
        <w:t xml:space="preserve">similarly fixed. </w:t>
      </w:r>
      <w:r w:rsidR="000F49F9" w:rsidRPr="00602F08">
        <w:rPr>
          <w:rStyle w:val="normaltextrun"/>
          <w:lang w:val="en-US"/>
        </w:rPr>
        <w:t xml:space="preserve">The contracts negotiated </w:t>
      </w:r>
      <w:r w:rsidR="00FE09BE" w:rsidRPr="00602F08">
        <w:rPr>
          <w:rStyle w:val="normaltextrun"/>
          <w:lang w:val="en-US"/>
        </w:rPr>
        <w:t>tolerate a degree of underperformance</w:t>
      </w:r>
      <w:r w:rsidR="000F49F9" w:rsidRPr="00602F08">
        <w:rPr>
          <w:rStyle w:val="normaltextrun"/>
          <w:lang w:val="en-US"/>
        </w:rPr>
        <w:t xml:space="preserve"> </w:t>
      </w:r>
      <w:r w:rsidR="004D292F">
        <w:rPr>
          <w:rStyle w:val="normaltextrun"/>
          <w:lang w:val="en-US"/>
        </w:rPr>
        <w:t xml:space="preserve">on the part of </w:t>
      </w:r>
      <w:r w:rsidR="004E0222" w:rsidRPr="00602F08">
        <w:rPr>
          <w:rStyle w:val="normaltextrun"/>
          <w:lang w:val="en-US"/>
        </w:rPr>
        <w:t xml:space="preserve">the provider by </w:t>
      </w:r>
      <w:r w:rsidR="000F49F9" w:rsidRPr="00602F08">
        <w:rPr>
          <w:rStyle w:val="normaltextrun"/>
          <w:lang w:val="en-US"/>
        </w:rPr>
        <w:t>using KPIs; no like tolerance is available to the Secretary of State</w:t>
      </w:r>
      <w:r w:rsidR="004B08C7" w:rsidRPr="00602F08">
        <w:rPr>
          <w:rStyle w:val="normaltextrun"/>
          <w:lang w:val="en-US"/>
        </w:rPr>
        <w:t xml:space="preserve"> under the law</w:t>
      </w:r>
      <w:r w:rsidR="000F49F9" w:rsidRPr="00602F08">
        <w:rPr>
          <w:rStyle w:val="normaltextrun"/>
          <w:lang w:val="en-US"/>
        </w:rPr>
        <w:t>.</w:t>
      </w:r>
      <w:r w:rsidR="00FB2FD1" w:rsidRPr="00602F08">
        <w:rPr>
          <w:rStyle w:val="normaltextrun"/>
          <w:lang w:val="en-US"/>
        </w:rPr>
        <w:t xml:space="preserve"> </w:t>
      </w:r>
      <w:r w:rsidR="007D64D7">
        <w:rPr>
          <w:rStyle w:val="normaltextrun"/>
          <w:lang w:val="en-US"/>
        </w:rPr>
        <w:t xml:space="preserve">The contracts </w:t>
      </w:r>
      <w:r w:rsidR="0027574E">
        <w:rPr>
          <w:rStyle w:val="normaltextrun"/>
          <w:lang w:val="en-US"/>
        </w:rPr>
        <w:t xml:space="preserve">at times </w:t>
      </w:r>
      <w:r w:rsidR="007D64D7">
        <w:rPr>
          <w:rStyle w:val="normaltextrun"/>
          <w:lang w:val="en-US"/>
        </w:rPr>
        <w:t>deal in averages</w:t>
      </w:r>
      <w:r w:rsidR="00235305">
        <w:rPr>
          <w:rStyle w:val="normaltextrun"/>
          <w:lang w:val="en-US"/>
        </w:rPr>
        <w:t>, numbers and categories</w:t>
      </w:r>
      <w:r w:rsidR="0027574E">
        <w:rPr>
          <w:rStyle w:val="normaltextrun"/>
          <w:lang w:val="en-US"/>
        </w:rPr>
        <w:t xml:space="preserve"> whilst the Secretary of State must deal with </w:t>
      </w:r>
      <w:r w:rsidR="00376FBB">
        <w:rPr>
          <w:rStyle w:val="normaltextrun"/>
          <w:lang w:val="en-US"/>
        </w:rPr>
        <w:t xml:space="preserve">all relevant features of </w:t>
      </w:r>
      <w:r w:rsidR="0027574E">
        <w:rPr>
          <w:rStyle w:val="normaltextrun"/>
          <w:lang w:val="en-US"/>
        </w:rPr>
        <w:t xml:space="preserve">individual cases. </w:t>
      </w:r>
      <w:r w:rsidR="00FB2FD1" w:rsidRPr="00602F08">
        <w:rPr>
          <w:rStyle w:val="normaltextrun"/>
          <w:lang w:val="en-US"/>
        </w:rPr>
        <w:t xml:space="preserve">The contracts </w:t>
      </w:r>
      <w:r w:rsidR="008A2B7F" w:rsidRPr="00602F08">
        <w:rPr>
          <w:rStyle w:val="normaltextrun"/>
          <w:lang w:val="en-US"/>
        </w:rPr>
        <w:t xml:space="preserve">envisage financial correction </w:t>
      </w:r>
      <w:r w:rsidR="004B08C7" w:rsidRPr="00602F08">
        <w:rPr>
          <w:rStyle w:val="normaltextrun"/>
          <w:lang w:val="en-US"/>
        </w:rPr>
        <w:t>by the provider</w:t>
      </w:r>
      <w:r w:rsidR="00546C90">
        <w:rPr>
          <w:rStyle w:val="normaltextrun"/>
          <w:lang w:val="en-US"/>
        </w:rPr>
        <w:t>,</w:t>
      </w:r>
      <w:r w:rsidR="004B08C7" w:rsidRPr="00602F08">
        <w:rPr>
          <w:rStyle w:val="normaltextrun"/>
          <w:lang w:val="en-US"/>
        </w:rPr>
        <w:t xml:space="preserve"> </w:t>
      </w:r>
      <w:r w:rsidR="00197F69" w:rsidRPr="00602F08">
        <w:rPr>
          <w:rStyle w:val="normaltextrun"/>
          <w:lang w:val="en-US"/>
        </w:rPr>
        <w:t xml:space="preserve">and </w:t>
      </w:r>
      <w:r w:rsidR="008A2B7F" w:rsidRPr="00602F08">
        <w:rPr>
          <w:rStyle w:val="normaltextrun"/>
          <w:lang w:val="en-US"/>
        </w:rPr>
        <w:t>after the event</w:t>
      </w:r>
      <w:r w:rsidR="00197F69" w:rsidRPr="00602F08">
        <w:rPr>
          <w:rStyle w:val="normaltextrun"/>
          <w:lang w:val="en-US"/>
        </w:rPr>
        <w:t>,</w:t>
      </w:r>
      <w:r w:rsidR="008A2B7F" w:rsidRPr="00602F08">
        <w:rPr>
          <w:rStyle w:val="normaltextrun"/>
          <w:lang w:val="en-US"/>
        </w:rPr>
        <w:t xml:space="preserve"> whereas the first concern of the Secretary of State is </w:t>
      </w:r>
      <w:r w:rsidR="00C67534" w:rsidRPr="00602F08">
        <w:rPr>
          <w:rStyle w:val="normaltextrun"/>
          <w:lang w:val="en-US"/>
        </w:rPr>
        <w:t xml:space="preserve">securing </w:t>
      </w:r>
      <w:r w:rsidR="00197F69" w:rsidRPr="00602F08">
        <w:rPr>
          <w:rStyle w:val="normaltextrun"/>
          <w:lang w:val="en-US"/>
        </w:rPr>
        <w:t>the provision of accommodation</w:t>
      </w:r>
      <w:r w:rsidR="00C67534" w:rsidRPr="00602F08">
        <w:rPr>
          <w:rStyle w:val="normaltextrun"/>
          <w:lang w:val="en-US"/>
        </w:rPr>
        <w:t xml:space="preserve"> at the time </w:t>
      </w:r>
      <w:r w:rsidR="00107998" w:rsidRPr="00602F08">
        <w:rPr>
          <w:rStyle w:val="normaltextrun"/>
          <w:lang w:val="en-US"/>
        </w:rPr>
        <w:t xml:space="preserve">and in the individual case </w:t>
      </w:r>
      <w:r w:rsidR="00C67534" w:rsidRPr="00602F08">
        <w:rPr>
          <w:rStyle w:val="normaltextrun"/>
          <w:lang w:val="en-US"/>
        </w:rPr>
        <w:t xml:space="preserve">because </w:t>
      </w:r>
      <w:r w:rsidR="00A83574" w:rsidRPr="00602F08">
        <w:rPr>
          <w:rStyle w:val="normaltextrun"/>
          <w:lang w:val="en-US"/>
        </w:rPr>
        <w:t>a breach of Article 3 is imminent</w:t>
      </w:r>
      <w:r w:rsidR="00107998" w:rsidRPr="00602F08">
        <w:rPr>
          <w:rStyle w:val="normaltextrun"/>
          <w:lang w:val="en-US"/>
        </w:rPr>
        <w:t>.</w:t>
      </w:r>
    </w:p>
    <w:p w14:paraId="6AEFA969" w14:textId="77777777" w:rsidR="00750783" w:rsidRDefault="00750783" w:rsidP="00750783">
      <w:pPr>
        <w:pStyle w:val="ListParagraph"/>
        <w:rPr>
          <w:rStyle w:val="normaltextrun"/>
          <w:lang w:val="en-US"/>
        </w:rPr>
      </w:pPr>
    </w:p>
    <w:p w14:paraId="08D473B2" w14:textId="59451202" w:rsidR="00750783" w:rsidRPr="00602F08" w:rsidRDefault="00750783" w:rsidP="00EF0DC9">
      <w:pPr>
        <w:numPr>
          <w:ilvl w:val="0"/>
          <w:numId w:val="10"/>
        </w:numPr>
        <w:jc w:val="both"/>
        <w:rPr>
          <w:rStyle w:val="normaltextrun"/>
          <w:lang w:val="en-US"/>
        </w:rPr>
      </w:pPr>
      <w:r>
        <w:rPr>
          <w:rStyle w:val="normaltextrun"/>
          <w:lang w:val="en-US"/>
        </w:rPr>
        <w:t xml:space="preserve">Seen in </w:t>
      </w:r>
      <w:r w:rsidR="00DB797B">
        <w:rPr>
          <w:rStyle w:val="normaltextrun"/>
          <w:lang w:val="en-US"/>
        </w:rPr>
        <w:t xml:space="preserve">its proper context, </w:t>
      </w:r>
      <w:r w:rsidR="003E1515">
        <w:rPr>
          <w:rStyle w:val="normaltextrun"/>
          <w:lang w:val="en-US"/>
        </w:rPr>
        <w:t xml:space="preserve">at least </w:t>
      </w:r>
      <w:r w:rsidR="00EB43D3">
        <w:rPr>
          <w:rStyle w:val="normaltextrun"/>
          <w:lang w:val="en-US"/>
        </w:rPr>
        <w:t>where a system is involved</w:t>
      </w:r>
      <w:r w:rsidR="003E1515">
        <w:rPr>
          <w:rStyle w:val="normaltextrun"/>
          <w:lang w:val="en-US"/>
        </w:rPr>
        <w:t>,</w:t>
      </w:r>
      <w:r w:rsidR="00EB43D3">
        <w:rPr>
          <w:rStyle w:val="normaltextrun"/>
          <w:lang w:val="en-US"/>
        </w:rPr>
        <w:t xml:space="preserve"> </w:t>
      </w:r>
      <w:r w:rsidR="00DB797B">
        <w:rPr>
          <w:rStyle w:val="normaltextrun"/>
          <w:lang w:val="en-US"/>
        </w:rPr>
        <w:t xml:space="preserve">monitoring is an essential element of </w:t>
      </w:r>
      <w:r w:rsidR="005E7AD9">
        <w:rPr>
          <w:rStyle w:val="normaltextrun"/>
          <w:lang w:val="en-US"/>
        </w:rPr>
        <w:t>a Minister’s strategy to deliver as Parliament intend</w:t>
      </w:r>
      <w:r w:rsidR="004C05EF">
        <w:rPr>
          <w:rStyle w:val="normaltextrun"/>
          <w:lang w:val="en-US"/>
        </w:rPr>
        <w:t>ed by its legislation</w:t>
      </w:r>
      <w:r w:rsidR="002418DB">
        <w:rPr>
          <w:rStyle w:val="normaltextrun"/>
          <w:lang w:val="en-US"/>
        </w:rPr>
        <w:t>; to deliver as the law requires</w:t>
      </w:r>
      <w:r w:rsidR="005E7AD9">
        <w:rPr>
          <w:rStyle w:val="normaltextrun"/>
          <w:lang w:val="en-US"/>
        </w:rPr>
        <w:t xml:space="preserve">. </w:t>
      </w:r>
    </w:p>
    <w:p w14:paraId="0EAD315A" w14:textId="77777777" w:rsidR="00180F1A" w:rsidRPr="00602F08" w:rsidRDefault="00180F1A" w:rsidP="00180F1A">
      <w:pPr>
        <w:ind w:left="687"/>
        <w:jc w:val="both"/>
        <w:rPr>
          <w:rStyle w:val="normaltextrun"/>
          <w:lang w:val="en-US"/>
        </w:rPr>
      </w:pPr>
    </w:p>
    <w:p w14:paraId="1EFB8EAD" w14:textId="03F3D34F" w:rsidR="00BE6D9B" w:rsidRPr="00BC6228" w:rsidRDefault="00BC6228" w:rsidP="00BC6228">
      <w:pPr>
        <w:numPr>
          <w:ilvl w:val="0"/>
          <w:numId w:val="10"/>
        </w:numPr>
        <w:jc w:val="both"/>
        <w:rPr>
          <w:rStyle w:val="normaltextrun"/>
          <w:lang w:val="en-US"/>
        </w:rPr>
      </w:pPr>
      <w:r w:rsidRPr="00602F08">
        <w:rPr>
          <w:rStyle w:val="normaltextrun"/>
          <w:lang w:val="en-US"/>
        </w:rPr>
        <w:t>What is monitoring “properly”? It is not of course for the Court to provide a design, but it is appropriate for the Court to say what it means.</w:t>
      </w:r>
      <w:r>
        <w:rPr>
          <w:rStyle w:val="normaltextrun"/>
          <w:lang w:val="en-US"/>
        </w:rPr>
        <w:t xml:space="preserve"> </w:t>
      </w:r>
      <w:r w:rsidR="00BE6D9B" w:rsidRPr="00BC6228">
        <w:rPr>
          <w:rStyle w:val="normaltextrun"/>
          <w:lang w:val="en-US"/>
        </w:rPr>
        <w:t>In the present case</w:t>
      </w:r>
      <w:r w:rsidR="00927ACF" w:rsidRPr="00BC6228">
        <w:rPr>
          <w:rStyle w:val="normaltextrun"/>
          <w:lang w:val="en-US"/>
        </w:rPr>
        <w:t>,</w:t>
      </w:r>
      <w:r w:rsidR="00BE6D9B" w:rsidRPr="00BC6228">
        <w:rPr>
          <w:rStyle w:val="normaltextrun"/>
          <w:lang w:val="en-US"/>
        </w:rPr>
        <w:t xml:space="preserve"> </w:t>
      </w:r>
      <w:r w:rsidR="00927948" w:rsidRPr="00BC6228">
        <w:rPr>
          <w:rStyle w:val="normaltextrun"/>
          <w:lang w:val="en-US"/>
        </w:rPr>
        <w:t xml:space="preserve">it is not for the Court to provide a complete list or regime, but I am prepared to say that </w:t>
      </w:r>
      <w:r w:rsidR="00BE6D9B" w:rsidRPr="00BC6228">
        <w:rPr>
          <w:rStyle w:val="normaltextrun"/>
          <w:lang w:val="en-US"/>
        </w:rPr>
        <w:t xml:space="preserve">monitoring </w:t>
      </w:r>
      <w:r w:rsidR="00180F1A" w:rsidRPr="00BC6228">
        <w:rPr>
          <w:rStyle w:val="normaltextrun"/>
          <w:lang w:val="en-US"/>
        </w:rPr>
        <w:t>properly</w:t>
      </w:r>
      <w:r w:rsidR="00040A64" w:rsidRPr="00BC6228">
        <w:rPr>
          <w:rStyle w:val="normaltextrun"/>
          <w:lang w:val="en-US"/>
        </w:rPr>
        <w:t xml:space="preserve"> in relation to section 4(2)</w:t>
      </w:r>
      <w:r w:rsidR="006C3135" w:rsidRPr="00BC6228">
        <w:rPr>
          <w:rStyle w:val="normaltextrun"/>
          <w:lang w:val="en-US"/>
        </w:rPr>
        <w:t xml:space="preserve"> includes these features</w:t>
      </w:r>
      <w:r w:rsidR="00F04794" w:rsidRPr="00BC6228">
        <w:rPr>
          <w:rStyle w:val="normaltextrun"/>
          <w:lang w:val="en-US"/>
        </w:rPr>
        <w:t>, to</w:t>
      </w:r>
      <w:r w:rsidR="00EE5B52" w:rsidRPr="00BC6228">
        <w:rPr>
          <w:rStyle w:val="normaltextrun"/>
          <w:lang w:val="en-US"/>
        </w:rPr>
        <w:t xml:space="preserve"> which no doubt others can </w:t>
      </w:r>
      <w:r w:rsidR="001749F6" w:rsidRPr="00BC6228">
        <w:rPr>
          <w:rStyle w:val="normaltextrun"/>
          <w:lang w:val="en-US"/>
        </w:rPr>
        <w:t xml:space="preserve">valuably </w:t>
      </w:r>
      <w:r w:rsidR="00EE5B52" w:rsidRPr="00BC6228">
        <w:rPr>
          <w:rStyle w:val="normaltextrun"/>
          <w:lang w:val="en-US"/>
        </w:rPr>
        <w:t xml:space="preserve">be </w:t>
      </w:r>
      <w:r w:rsidR="00F04794" w:rsidRPr="00BC6228">
        <w:rPr>
          <w:rStyle w:val="normaltextrun"/>
          <w:lang w:val="en-US"/>
        </w:rPr>
        <w:t>added</w:t>
      </w:r>
      <w:r w:rsidR="00927948" w:rsidRPr="00BC6228">
        <w:rPr>
          <w:rStyle w:val="normaltextrun"/>
          <w:lang w:val="en-US"/>
        </w:rPr>
        <w:t>:</w:t>
      </w:r>
    </w:p>
    <w:p w14:paraId="339D32CE" w14:textId="77777777" w:rsidR="00BE6D9B" w:rsidRPr="00602F08" w:rsidRDefault="00BE6D9B" w:rsidP="00B6212D">
      <w:pPr>
        <w:pStyle w:val="ListParagraph"/>
        <w:jc w:val="both"/>
        <w:rPr>
          <w:rStyle w:val="normaltextrun"/>
          <w:rFonts w:ascii="Times New Roman" w:hAnsi="Times New Roman"/>
          <w:lang w:val="en-US"/>
        </w:rPr>
      </w:pPr>
    </w:p>
    <w:p w14:paraId="0A54F049" w14:textId="6D719BD7" w:rsidR="00F40805" w:rsidRPr="00602F08" w:rsidRDefault="006C3135" w:rsidP="00B6212D">
      <w:pPr>
        <w:pStyle w:val="ListParagraph"/>
        <w:numPr>
          <w:ilvl w:val="0"/>
          <w:numId w:val="28"/>
        </w:numPr>
        <w:jc w:val="both"/>
        <w:rPr>
          <w:rStyle w:val="normaltextrun"/>
          <w:rFonts w:ascii="Times New Roman" w:hAnsi="Times New Roman"/>
          <w:lang w:val="en-US"/>
        </w:rPr>
      </w:pPr>
      <w:r w:rsidRPr="00602F08">
        <w:rPr>
          <w:rStyle w:val="normaltextrun"/>
          <w:rFonts w:ascii="Times New Roman" w:hAnsi="Times New Roman"/>
          <w:lang w:val="en-US"/>
        </w:rPr>
        <w:t xml:space="preserve">it </w:t>
      </w:r>
      <w:r w:rsidR="00823282" w:rsidRPr="00602F08">
        <w:rPr>
          <w:rStyle w:val="normaltextrun"/>
          <w:rFonts w:ascii="Times New Roman" w:hAnsi="Times New Roman"/>
          <w:lang w:val="en-US"/>
        </w:rPr>
        <w:t xml:space="preserve">has </w:t>
      </w:r>
      <w:r w:rsidR="00BE6D9B" w:rsidRPr="00602F08">
        <w:rPr>
          <w:rStyle w:val="normaltextrun"/>
          <w:rFonts w:ascii="Times New Roman" w:hAnsi="Times New Roman"/>
          <w:lang w:val="en-US"/>
        </w:rPr>
        <w:t>regard to the context</w:t>
      </w:r>
      <w:r w:rsidRPr="00602F08">
        <w:rPr>
          <w:rStyle w:val="normaltextrun"/>
          <w:rFonts w:ascii="Times New Roman" w:hAnsi="Times New Roman"/>
          <w:lang w:val="en-US"/>
        </w:rPr>
        <w:t xml:space="preserve">, which is </w:t>
      </w:r>
      <w:r w:rsidR="00404FBF" w:rsidRPr="00602F08">
        <w:rPr>
          <w:rStyle w:val="normaltextrun"/>
          <w:rFonts w:ascii="Times New Roman" w:hAnsi="Times New Roman"/>
          <w:lang w:val="en-US"/>
        </w:rPr>
        <w:t xml:space="preserve">the performance by a Secretary of State of her accepted legal duty to claimants </w:t>
      </w:r>
      <w:r w:rsidR="00404FBF" w:rsidRPr="00602F08">
        <w:rPr>
          <w:rFonts w:ascii="Times New Roman" w:hAnsi="Times New Roman"/>
        </w:rPr>
        <w:t xml:space="preserve">who are destitute, </w:t>
      </w:r>
      <w:r w:rsidR="00A314DA" w:rsidRPr="00602F08">
        <w:rPr>
          <w:rFonts w:ascii="Times New Roman" w:hAnsi="Times New Roman"/>
        </w:rPr>
        <w:t xml:space="preserve">who </w:t>
      </w:r>
      <w:r w:rsidR="00404FBF" w:rsidRPr="00602F08">
        <w:rPr>
          <w:rFonts w:ascii="Times New Roman" w:hAnsi="Times New Roman"/>
        </w:rPr>
        <w:t>face an imminent prospect of serious suffering caused or materially aggravated by denial of shelter, food or the most basic necessities of life</w:t>
      </w:r>
      <w:r w:rsidR="00404FBF" w:rsidRPr="00602F08">
        <w:rPr>
          <w:rStyle w:val="normaltextrun"/>
          <w:rFonts w:ascii="Times New Roman" w:hAnsi="Times New Roman"/>
          <w:lang w:val="en-US"/>
        </w:rPr>
        <w:t xml:space="preserve">, and </w:t>
      </w:r>
      <w:r w:rsidR="00A314DA" w:rsidRPr="00602F08">
        <w:rPr>
          <w:rStyle w:val="normaltextrun"/>
          <w:rFonts w:ascii="Times New Roman" w:hAnsi="Times New Roman"/>
          <w:lang w:val="en-US"/>
        </w:rPr>
        <w:t xml:space="preserve">who </w:t>
      </w:r>
      <w:r w:rsidR="00404FBF" w:rsidRPr="00602F08">
        <w:rPr>
          <w:rStyle w:val="normaltextrun"/>
          <w:rFonts w:ascii="Times New Roman" w:hAnsi="Times New Roman"/>
          <w:lang w:val="en-US"/>
        </w:rPr>
        <w:t>are “highly vulnerable”</w:t>
      </w:r>
      <w:r w:rsidR="00442213" w:rsidRPr="00602F08">
        <w:rPr>
          <w:rStyle w:val="normaltextrun"/>
          <w:rFonts w:ascii="Times New Roman" w:hAnsi="Times New Roman"/>
          <w:lang w:val="en-US"/>
        </w:rPr>
        <w:t>;</w:t>
      </w:r>
    </w:p>
    <w:p w14:paraId="0E16F09D" w14:textId="77777777" w:rsidR="00442213" w:rsidRPr="00602F08" w:rsidRDefault="00442213" w:rsidP="00442213">
      <w:pPr>
        <w:ind w:left="687"/>
        <w:jc w:val="both"/>
        <w:rPr>
          <w:rStyle w:val="normaltextrun"/>
          <w:lang w:val="en-US"/>
        </w:rPr>
      </w:pPr>
    </w:p>
    <w:p w14:paraId="20139A81" w14:textId="279BFE90" w:rsidR="00442213" w:rsidRPr="00602F08" w:rsidRDefault="00700B21" w:rsidP="00442213">
      <w:pPr>
        <w:pStyle w:val="ListParagraph"/>
        <w:numPr>
          <w:ilvl w:val="0"/>
          <w:numId w:val="28"/>
        </w:numPr>
        <w:jc w:val="both"/>
        <w:rPr>
          <w:rStyle w:val="normaltextrun"/>
          <w:rFonts w:ascii="Times New Roman" w:hAnsi="Times New Roman"/>
          <w:lang w:val="en-US"/>
        </w:rPr>
      </w:pPr>
      <w:r w:rsidRPr="00602F08">
        <w:rPr>
          <w:rStyle w:val="normaltextrun"/>
          <w:rFonts w:ascii="Times New Roman" w:hAnsi="Times New Roman"/>
          <w:lang w:val="en-US"/>
        </w:rPr>
        <w:t xml:space="preserve">it </w:t>
      </w:r>
      <w:r w:rsidR="008C4726" w:rsidRPr="00602F08">
        <w:rPr>
          <w:rStyle w:val="normaltextrun"/>
          <w:rFonts w:ascii="Times New Roman" w:hAnsi="Times New Roman"/>
          <w:lang w:val="en-US"/>
        </w:rPr>
        <w:t xml:space="preserve">identifies the characteristics of the </w:t>
      </w:r>
      <w:r w:rsidR="003C4CF4" w:rsidRPr="00602F08">
        <w:rPr>
          <w:rStyle w:val="normaltextrun"/>
          <w:rFonts w:ascii="Times New Roman" w:hAnsi="Times New Roman"/>
          <w:lang w:val="en-US"/>
        </w:rPr>
        <w:t>individual</w:t>
      </w:r>
      <w:r w:rsidR="00380EBE" w:rsidRPr="00602F08">
        <w:rPr>
          <w:rStyle w:val="normaltextrun"/>
          <w:rFonts w:ascii="Times New Roman" w:hAnsi="Times New Roman"/>
          <w:lang w:val="en-US"/>
        </w:rPr>
        <w:t>s</w:t>
      </w:r>
      <w:r w:rsidR="003C4CF4" w:rsidRPr="00602F08">
        <w:rPr>
          <w:rStyle w:val="normaltextrun"/>
          <w:rFonts w:ascii="Times New Roman" w:hAnsi="Times New Roman"/>
          <w:lang w:val="en-US"/>
        </w:rPr>
        <w:t xml:space="preserve"> involved</w:t>
      </w:r>
      <w:r w:rsidR="00AB3C69" w:rsidRPr="00602F08">
        <w:rPr>
          <w:rStyle w:val="normaltextrun"/>
          <w:rFonts w:ascii="Times New Roman" w:hAnsi="Times New Roman"/>
          <w:lang w:val="en-US"/>
        </w:rPr>
        <w:t>;</w:t>
      </w:r>
    </w:p>
    <w:p w14:paraId="574560B8" w14:textId="77777777" w:rsidR="00442213" w:rsidRPr="00602F08" w:rsidRDefault="00442213" w:rsidP="00442213">
      <w:pPr>
        <w:pStyle w:val="ListParagraph"/>
        <w:ind w:left="1047"/>
        <w:jc w:val="both"/>
        <w:rPr>
          <w:rStyle w:val="normaltextrun"/>
          <w:rFonts w:ascii="Times New Roman" w:hAnsi="Times New Roman"/>
          <w:lang w:val="en-US"/>
        </w:rPr>
      </w:pPr>
    </w:p>
    <w:p w14:paraId="098428A2" w14:textId="246F5550" w:rsidR="00C201E5" w:rsidRPr="00602F08" w:rsidRDefault="00700B21" w:rsidP="00B6212D">
      <w:pPr>
        <w:pStyle w:val="ListParagraph"/>
        <w:numPr>
          <w:ilvl w:val="0"/>
          <w:numId w:val="28"/>
        </w:numPr>
        <w:jc w:val="both"/>
        <w:rPr>
          <w:rStyle w:val="normaltextrun"/>
          <w:rFonts w:ascii="Times New Roman" w:hAnsi="Times New Roman"/>
          <w:lang w:val="en-US"/>
        </w:rPr>
      </w:pPr>
      <w:r w:rsidRPr="00602F08">
        <w:rPr>
          <w:rStyle w:val="normaltextrun"/>
          <w:rFonts w:ascii="Times New Roman" w:hAnsi="Times New Roman"/>
          <w:lang w:val="en-US"/>
        </w:rPr>
        <w:t xml:space="preserve">it </w:t>
      </w:r>
      <w:r w:rsidR="00C201E5" w:rsidRPr="00602F08">
        <w:rPr>
          <w:rStyle w:val="normaltextrun"/>
          <w:rFonts w:ascii="Times New Roman" w:hAnsi="Times New Roman"/>
          <w:lang w:val="en-US"/>
        </w:rPr>
        <w:t xml:space="preserve">follows the progress of </w:t>
      </w:r>
      <w:r w:rsidRPr="00602F08">
        <w:rPr>
          <w:rStyle w:val="normaltextrun"/>
          <w:rFonts w:ascii="Times New Roman" w:hAnsi="Times New Roman"/>
          <w:lang w:val="en-US"/>
        </w:rPr>
        <w:t xml:space="preserve">each </w:t>
      </w:r>
      <w:r w:rsidR="00040A64">
        <w:rPr>
          <w:rStyle w:val="normaltextrun"/>
          <w:rFonts w:ascii="Times New Roman" w:hAnsi="Times New Roman"/>
          <w:lang w:val="en-US"/>
        </w:rPr>
        <w:t>case</w:t>
      </w:r>
      <w:r w:rsidR="00AB3C69" w:rsidRPr="00602F08">
        <w:rPr>
          <w:rStyle w:val="normaltextrun"/>
          <w:rFonts w:ascii="Times New Roman" w:hAnsi="Times New Roman"/>
          <w:lang w:val="en-US"/>
        </w:rPr>
        <w:t>;</w:t>
      </w:r>
    </w:p>
    <w:p w14:paraId="38593FAA" w14:textId="77777777" w:rsidR="00442213" w:rsidRPr="00602F08" w:rsidRDefault="00442213" w:rsidP="00442213">
      <w:pPr>
        <w:pStyle w:val="ListParagraph"/>
        <w:rPr>
          <w:rStyle w:val="normaltextrun"/>
          <w:rFonts w:ascii="Times New Roman" w:hAnsi="Times New Roman"/>
          <w:lang w:val="en-US"/>
        </w:rPr>
      </w:pPr>
    </w:p>
    <w:p w14:paraId="02BF1096" w14:textId="2CB5BC8A" w:rsidR="006B4A4B" w:rsidRPr="00602F08" w:rsidRDefault="00700B21" w:rsidP="00442213">
      <w:pPr>
        <w:pStyle w:val="ListParagraph"/>
        <w:numPr>
          <w:ilvl w:val="0"/>
          <w:numId w:val="28"/>
        </w:numPr>
        <w:jc w:val="both"/>
        <w:rPr>
          <w:rStyle w:val="normaltextrun"/>
          <w:rFonts w:ascii="Times New Roman" w:hAnsi="Times New Roman"/>
          <w:lang w:val="en-US"/>
        </w:rPr>
      </w:pPr>
      <w:r w:rsidRPr="00602F08">
        <w:rPr>
          <w:rStyle w:val="normaltextrun"/>
          <w:rFonts w:ascii="Times New Roman" w:hAnsi="Times New Roman"/>
          <w:lang w:val="en-US"/>
        </w:rPr>
        <w:t xml:space="preserve">it </w:t>
      </w:r>
      <w:r w:rsidR="00AB15DB" w:rsidRPr="00602F08">
        <w:rPr>
          <w:rStyle w:val="normaltextrun"/>
          <w:rFonts w:ascii="Times New Roman" w:hAnsi="Times New Roman"/>
          <w:lang w:val="en-US"/>
        </w:rPr>
        <w:t>alerts cases tha</w:t>
      </w:r>
      <w:r w:rsidR="00C201E5" w:rsidRPr="00602F08">
        <w:rPr>
          <w:rStyle w:val="normaltextrun"/>
          <w:rFonts w:ascii="Times New Roman" w:hAnsi="Times New Roman"/>
          <w:lang w:val="en-US"/>
        </w:rPr>
        <w:t>t are at risk of exceeding a reasonable time</w:t>
      </w:r>
      <w:r w:rsidR="00EA3410" w:rsidRPr="00602F08">
        <w:rPr>
          <w:rStyle w:val="normaltextrun"/>
          <w:rFonts w:ascii="Times New Roman" w:hAnsi="Times New Roman"/>
          <w:lang w:val="en-US"/>
        </w:rPr>
        <w:t xml:space="preserve"> in sufficient time for this to be addressed</w:t>
      </w:r>
      <w:r w:rsidR="00AB3C69" w:rsidRPr="00602F08">
        <w:rPr>
          <w:rStyle w:val="normaltextrun"/>
          <w:rFonts w:ascii="Times New Roman" w:hAnsi="Times New Roman"/>
          <w:lang w:val="en-US"/>
        </w:rPr>
        <w:t>;</w:t>
      </w:r>
    </w:p>
    <w:p w14:paraId="7B0387D5" w14:textId="77777777" w:rsidR="00442213" w:rsidRPr="00602F08" w:rsidRDefault="00442213" w:rsidP="00442213">
      <w:pPr>
        <w:pStyle w:val="ListParagraph"/>
        <w:rPr>
          <w:rStyle w:val="normaltextrun"/>
          <w:rFonts w:ascii="Times New Roman" w:hAnsi="Times New Roman"/>
          <w:lang w:val="en-US"/>
        </w:rPr>
      </w:pPr>
    </w:p>
    <w:p w14:paraId="258EC65B" w14:textId="706B8C45" w:rsidR="00C54621" w:rsidRPr="00602F08" w:rsidRDefault="00700B21" w:rsidP="00442213">
      <w:pPr>
        <w:pStyle w:val="ListParagraph"/>
        <w:numPr>
          <w:ilvl w:val="0"/>
          <w:numId w:val="28"/>
        </w:numPr>
        <w:jc w:val="both"/>
        <w:rPr>
          <w:rStyle w:val="normaltextrun"/>
          <w:rFonts w:ascii="Times New Roman" w:hAnsi="Times New Roman"/>
          <w:lang w:val="en-US"/>
        </w:rPr>
      </w:pPr>
      <w:r w:rsidRPr="00602F08">
        <w:rPr>
          <w:rStyle w:val="normaltextrun"/>
          <w:rFonts w:ascii="Times New Roman" w:hAnsi="Times New Roman"/>
          <w:lang w:val="en-US"/>
        </w:rPr>
        <w:t xml:space="preserve">it </w:t>
      </w:r>
      <w:r w:rsidR="00C81406" w:rsidRPr="00602F08">
        <w:rPr>
          <w:rStyle w:val="normaltextrun"/>
          <w:rFonts w:ascii="Times New Roman" w:hAnsi="Times New Roman"/>
          <w:lang w:val="en-US"/>
        </w:rPr>
        <w:t>includes</w:t>
      </w:r>
      <w:r w:rsidR="00C54621" w:rsidRPr="00602F08">
        <w:rPr>
          <w:rStyle w:val="normaltextrun"/>
          <w:rFonts w:ascii="Times New Roman" w:hAnsi="Times New Roman"/>
          <w:lang w:val="en-US"/>
        </w:rPr>
        <w:t xml:space="preserve"> a regular review of </w:t>
      </w:r>
      <w:r w:rsidR="005A0589" w:rsidRPr="00602F08">
        <w:rPr>
          <w:rStyle w:val="normaltextrun"/>
          <w:rFonts w:ascii="Times New Roman" w:hAnsi="Times New Roman"/>
          <w:lang w:val="en-US"/>
        </w:rPr>
        <w:t xml:space="preserve">where and why </w:t>
      </w:r>
      <w:r w:rsidR="00C81406" w:rsidRPr="00602F08">
        <w:rPr>
          <w:rStyle w:val="normaltextrun"/>
          <w:rFonts w:ascii="Times New Roman" w:hAnsi="Times New Roman"/>
          <w:lang w:val="en-US"/>
        </w:rPr>
        <w:t>cases were at</w:t>
      </w:r>
      <w:r w:rsidR="005A0589" w:rsidRPr="00602F08">
        <w:rPr>
          <w:rStyle w:val="normaltextrun"/>
          <w:rFonts w:ascii="Times New Roman" w:hAnsi="Times New Roman"/>
          <w:lang w:val="en-US"/>
        </w:rPr>
        <w:t xml:space="preserve"> a risk of exceeding a reasonable time </w:t>
      </w:r>
      <w:r w:rsidR="006C66EA" w:rsidRPr="00602F08">
        <w:rPr>
          <w:rStyle w:val="normaltextrun"/>
          <w:rFonts w:ascii="Times New Roman" w:hAnsi="Times New Roman"/>
          <w:lang w:val="en-US"/>
        </w:rPr>
        <w:t xml:space="preserve">and what were the characteristics of the individuals </w:t>
      </w:r>
      <w:r w:rsidR="005518D0" w:rsidRPr="00602F08">
        <w:rPr>
          <w:rStyle w:val="normaltextrun"/>
          <w:rFonts w:ascii="Times New Roman" w:hAnsi="Times New Roman"/>
          <w:lang w:val="en-US"/>
        </w:rPr>
        <w:t>placed at this risk</w:t>
      </w:r>
      <w:r w:rsidR="00AB3C69" w:rsidRPr="00602F08">
        <w:rPr>
          <w:rStyle w:val="normaltextrun"/>
          <w:rFonts w:ascii="Times New Roman" w:hAnsi="Times New Roman"/>
          <w:lang w:val="en-US"/>
        </w:rPr>
        <w:t>;</w:t>
      </w:r>
      <w:r w:rsidR="005A0589" w:rsidRPr="00602F08">
        <w:rPr>
          <w:rStyle w:val="normaltextrun"/>
          <w:rFonts w:ascii="Times New Roman" w:hAnsi="Times New Roman"/>
          <w:lang w:val="en-US"/>
        </w:rPr>
        <w:t xml:space="preserve"> </w:t>
      </w:r>
    </w:p>
    <w:p w14:paraId="0826315E" w14:textId="77777777" w:rsidR="00442213" w:rsidRPr="00602F08" w:rsidRDefault="00442213" w:rsidP="00442213">
      <w:pPr>
        <w:pStyle w:val="ListParagraph"/>
        <w:rPr>
          <w:rStyle w:val="normaltextrun"/>
          <w:rFonts w:ascii="Times New Roman" w:hAnsi="Times New Roman"/>
          <w:lang w:val="en-US"/>
        </w:rPr>
      </w:pPr>
    </w:p>
    <w:p w14:paraId="5545462C" w14:textId="7D40772E" w:rsidR="005518D0" w:rsidRPr="00602F08" w:rsidRDefault="00700B21" w:rsidP="00442213">
      <w:pPr>
        <w:pStyle w:val="ListParagraph"/>
        <w:numPr>
          <w:ilvl w:val="0"/>
          <w:numId w:val="28"/>
        </w:numPr>
        <w:jc w:val="both"/>
        <w:rPr>
          <w:rStyle w:val="normaltextrun"/>
          <w:rFonts w:ascii="Times New Roman" w:hAnsi="Times New Roman"/>
          <w:lang w:val="en-US"/>
        </w:rPr>
      </w:pPr>
      <w:r w:rsidRPr="00602F08">
        <w:rPr>
          <w:rStyle w:val="normaltextrun"/>
          <w:rFonts w:ascii="Times New Roman" w:hAnsi="Times New Roman"/>
          <w:lang w:val="en-US"/>
        </w:rPr>
        <w:t xml:space="preserve">it </w:t>
      </w:r>
      <w:r w:rsidR="006B4A4B" w:rsidRPr="00602F08">
        <w:rPr>
          <w:rStyle w:val="normaltextrun"/>
          <w:rFonts w:ascii="Times New Roman" w:hAnsi="Times New Roman"/>
          <w:lang w:val="en-US"/>
        </w:rPr>
        <w:t xml:space="preserve">records </w:t>
      </w:r>
      <w:r w:rsidR="00BC35BA" w:rsidRPr="00602F08">
        <w:rPr>
          <w:rStyle w:val="normaltextrun"/>
          <w:rFonts w:ascii="Times New Roman" w:hAnsi="Times New Roman"/>
          <w:lang w:val="en-US"/>
        </w:rPr>
        <w:t xml:space="preserve">when a reasonable time was exceeded, and </w:t>
      </w:r>
      <w:r w:rsidR="007F2FF3" w:rsidRPr="00602F08">
        <w:rPr>
          <w:rStyle w:val="normaltextrun"/>
          <w:rFonts w:ascii="Times New Roman" w:hAnsi="Times New Roman"/>
          <w:lang w:val="en-US"/>
        </w:rPr>
        <w:t xml:space="preserve">informs </w:t>
      </w:r>
      <w:r w:rsidR="0074553B" w:rsidRPr="00602F08">
        <w:rPr>
          <w:rStyle w:val="normaltextrun"/>
          <w:rFonts w:ascii="Times New Roman" w:hAnsi="Times New Roman"/>
          <w:lang w:val="en-US"/>
        </w:rPr>
        <w:t xml:space="preserve">a case study of </w:t>
      </w:r>
      <w:r w:rsidR="00DE2C4E" w:rsidRPr="00602F08">
        <w:rPr>
          <w:rStyle w:val="normaltextrun"/>
          <w:rFonts w:ascii="Times New Roman" w:hAnsi="Times New Roman"/>
          <w:lang w:val="en-US"/>
        </w:rPr>
        <w:t xml:space="preserve">where and </w:t>
      </w:r>
      <w:r w:rsidR="00BC35BA" w:rsidRPr="00602F08">
        <w:rPr>
          <w:rStyle w:val="normaltextrun"/>
          <w:rFonts w:ascii="Times New Roman" w:hAnsi="Times New Roman"/>
          <w:lang w:val="en-US"/>
        </w:rPr>
        <w:t xml:space="preserve">why </w:t>
      </w:r>
      <w:r w:rsidR="00C81406" w:rsidRPr="00602F08">
        <w:rPr>
          <w:rStyle w:val="normaltextrun"/>
          <w:rFonts w:ascii="Times New Roman" w:hAnsi="Times New Roman"/>
          <w:lang w:val="en-US"/>
        </w:rPr>
        <w:t>that occurred,</w:t>
      </w:r>
      <w:r w:rsidR="00BC35BA" w:rsidRPr="00602F08">
        <w:rPr>
          <w:rStyle w:val="normaltextrun"/>
          <w:rFonts w:ascii="Times New Roman" w:hAnsi="Times New Roman"/>
          <w:lang w:val="en-US"/>
        </w:rPr>
        <w:t xml:space="preserve"> how long </w:t>
      </w:r>
      <w:r w:rsidR="00B11ED8" w:rsidRPr="00602F08">
        <w:rPr>
          <w:rStyle w:val="normaltextrun"/>
          <w:rFonts w:ascii="Times New Roman" w:hAnsi="Times New Roman"/>
          <w:lang w:val="en-US"/>
        </w:rPr>
        <w:t>provision eventually took and</w:t>
      </w:r>
      <w:r w:rsidR="00C81406" w:rsidRPr="00602F08">
        <w:rPr>
          <w:rStyle w:val="normaltextrun"/>
          <w:rFonts w:ascii="Times New Roman" w:hAnsi="Times New Roman"/>
          <w:lang w:val="en-US"/>
        </w:rPr>
        <w:t xml:space="preserve"> </w:t>
      </w:r>
      <w:r w:rsidR="00B11ED8" w:rsidRPr="00602F08">
        <w:rPr>
          <w:rStyle w:val="normaltextrun"/>
          <w:rFonts w:ascii="Times New Roman" w:hAnsi="Times New Roman"/>
          <w:lang w:val="en-US"/>
        </w:rPr>
        <w:t xml:space="preserve">what </w:t>
      </w:r>
      <w:r w:rsidR="00C81406" w:rsidRPr="00602F08">
        <w:rPr>
          <w:rStyle w:val="normaltextrun"/>
          <w:rFonts w:ascii="Times New Roman" w:hAnsi="Times New Roman"/>
          <w:lang w:val="en-US"/>
        </w:rPr>
        <w:t xml:space="preserve">the </w:t>
      </w:r>
      <w:r w:rsidR="00B11ED8" w:rsidRPr="00602F08">
        <w:rPr>
          <w:rStyle w:val="normaltextrun"/>
          <w:rFonts w:ascii="Times New Roman" w:hAnsi="Times New Roman"/>
          <w:lang w:val="en-US"/>
        </w:rPr>
        <w:t xml:space="preserve">consequences </w:t>
      </w:r>
      <w:r w:rsidR="00C81406" w:rsidRPr="00602F08">
        <w:rPr>
          <w:rStyle w:val="normaltextrun"/>
          <w:rFonts w:ascii="Times New Roman" w:hAnsi="Times New Roman"/>
          <w:lang w:val="en-US"/>
        </w:rPr>
        <w:t xml:space="preserve">were </w:t>
      </w:r>
      <w:r w:rsidR="00B11ED8" w:rsidRPr="00602F08">
        <w:rPr>
          <w:rStyle w:val="normaltextrun"/>
          <w:rFonts w:ascii="Times New Roman" w:hAnsi="Times New Roman"/>
          <w:lang w:val="en-US"/>
        </w:rPr>
        <w:t>for the individual involved</w:t>
      </w:r>
      <w:r w:rsidR="00AB3C69" w:rsidRPr="00602F08">
        <w:rPr>
          <w:rStyle w:val="normaltextrun"/>
          <w:rFonts w:ascii="Times New Roman" w:hAnsi="Times New Roman"/>
          <w:lang w:val="en-US"/>
        </w:rPr>
        <w:t>;</w:t>
      </w:r>
    </w:p>
    <w:p w14:paraId="2D291C05" w14:textId="77777777" w:rsidR="00442213" w:rsidRPr="00602F08" w:rsidRDefault="00442213" w:rsidP="00442213">
      <w:pPr>
        <w:jc w:val="both"/>
        <w:rPr>
          <w:rStyle w:val="normaltextrun"/>
          <w:lang w:val="en-US"/>
        </w:rPr>
      </w:pPr>
    </w:p>
    <w:p w14:paraId="3A2E71C6" w14:textId="78B69867" w:rsidR="00700B21" w:rsidRPr="00602F08" w:rsidRDefault="00700B21" w:rsidP="00B6212D">
      <w:pPr>
        <w:pStyle w:val="ListParagraph"/>
        <w:numPr>
          <w:ilvl w:val="0"/>
          <w:numId w:val="28"/>
        </w:numPr>
        <w:jc w:val="both"/>
        <w:rPr>
          <w:rStyle w:val="normaltextrun"/>
          <w:rFonts w:ascii="Times New Roman" w:hAnsi="Times New Roman"/>
          <w:lang w:val="en-US"/>
        </w:rPr>
      </w:pPr>
      <w:r w:rsidRPr="00602F08">
        <w:rPr>
          <w:rStyle w:val="normaltextrun"/>
          <w:rFonts w:ascii="Times New Roman" w:hAnsi="Times New Roman"/>
          <w:lang w:val="en-US"/>
        </w:rPr>
        <w:t xml:space="preserve">it </w:t>
      </w:r>
      <w:r w:rsidR="00CE4EB6" w:rsidRPr="00602F08">
        <w:rPr>
          <w:rStyle w:val="normaltextrun"/>
          <w:rFonts w:ascii="Times New Roman" w:hAnsi="Times New Roman"/>
          <w:lang w:val="en-US"/>
        </w:rPr>
        <w:t>identifies where and why and with what outcome a</w:t>
      </w:r>
      <w:r w:rsidR="00076F72" w:rsidRPr="00602F08">
        <w:rPr>
          <w:rStyle w:val="normaltextrun"/>
          <w:rFonts w:ascii="Times New Roman" w:hAnsi="Times New Roman"/>
          <w:lang w:val="en-US"/>
        </w:rPr>
        <w:t xml:space="preserve">n individual applied to the Court for </w:t>
      </w:r>
      <w:r w:rsidR="00AB3C69" w:rsidRPr="00602F08">
        <w:rPr>
          <w:rStyle w:val="normaltextrun"/>
          <w:rFonts w:ascii="Times New Roman" w:hAnsi="Times New Roman"/>
          <w:lang w:val="en-US"/>
        </w:rPr>
        <w:t>an order;</w:t>
      </w:r>
      <w:r w:rsidR="00076F72" w:rsidRPr="00602F08">
        <w:rPr>
          <w:rStyle w:val="normaltextrun"/>
          <w:rFonts w:ascii="Times New Roman" w:hAnsi="Times New Roman"/>
          <w:lang w:val="en-US"/>
        </w:rPr>
        <w:t xml:space="preserve"> </w:t>
      </w:r>
    </w:p>
    <w:p w14:paraId="2AC78DAA" w14:textId="77777777" w:rsidR="00442213" w:rsidRPr="00602F08" w:rsidRDefault="00442213" w:rsidP="00442213">
      <w:pPr>
        <w:pStyle w:val="ListParagraph"/>
        <w:rPr>
          <w:rStyle w:val="normaltextrun"/>
          <w:rFonts w:ascii="Times New Roman" w:hAnsi="Times New Roman"/>
          <w:lang w:val="en-US"/>
        </w:rPr>
      </w:pPr>
    </w:p>
    <w:p w14:paraId="58885560" w14:textId="1EA64311" w:rsidR="00363638" w:rsidRPr="00602F08" w:rsidRDefault="00700B21" w:rsidP="00442213">
      <w:pPr>
        <w:pStyle w:val="ListParagraph"/>
        <w:numPr>
          <w:ilvl w:val="0"/>
          <w:numId w:val="28"/>
        </w:numPr>
        <w:jc w:val="both"/>
        <w:rPr>
          <w:rStyle w:val="normaltextrun"/>
          <w:rFonts w:ascii="Times New Roman" w:hAnsi="Times New Roman"/>
          <w:lang w:val="en-US"/>
        </w:rPr>
      </w:pPr>
      <w:r w:rsidRPr="00602F08">
        <w:rPr>
          <w:rStyle w:val="normaltextrun"/>
          <w:rFonts w:ascii="Times New Roman" w:hAnsi="Times New Roman"/>
          <w:lang w:val="en-US"/>
        </w:rPr>
        <w:t>it a</w:t>
      </w:r>
      <w:r w:rsidR="005518D0" w:rsidRPr="00602F08">
        <w:rPr>
          <w:rStyle w:val="normaltextrun"/>
          <w:rFonts w:ascii="Times New Roman" w:hAnsi="Times New Roman"/>
          <w:lang w:val="en-US"/>
        </w:rPr>
        <w:t xml:space="preserve">llows </w:t>
      </w:r>
      <w:r w:rsidR="005F61E3" w:rsidRPr="00602F08">
        <w:rPr>
          <w:rStyle w:val="normaltextrun"/>
          <w:rFonts w:ascii="Times New Roman" w:hAnsi="Times New Roman"/>
          <w:lang w:val="en-US"/>
        </w:rPr>
        <w:t xml:space="preserve">trends </w:t>
      </w:r>
      <w:r w:rsidR="00795894" w:rsidRPr="00602F08">
        <w:rPr>
          <w:rStyle w:val="normaltextrun"/>
          <w:rFonts w:ascii="Times New Roman" w:hAnsi="Times New Roman"/>
          <w:lang w:val="en-US"/>
        </w:rPr>
        <w:t>to be identified and addressed</w:t>
      </w:r>
      <w:r w:rsidR="00C81406" w:rsidRPr="00602F08">
        <w:rPr>
          <w:rStyle w:val="normaltextrun"/>
          <w:rFonts w:ascii="Times New Roman" w:hAnsi="Times New Roman"/>
          <w:lang w:val="en-US"/>
        </w:rPr>
        <w:t>, including by reference to the characteristics of the individuals involved</w:t>
      </w:r>
      <w:r w:rsidR="00363638" w:rsidRPr="00602F08">
        <w:rPr>
          <w:rStyle w:val="normaltextrun"/>
          <w:rFonts w:ascii="Times New Roman" w:hAnsi="Times New Roman"/>
          <w:lang w:val="en-US"/>
        </w:rPr>
        <w:t>;</w:t>
      </w:r>
    </w:p>
    <w:p w14:paraId="6B67A170" w14:textId="77777777" w:rsidR="00442213" w:rsidRPr="00602F08" w:rsidRDefault="00442213" w:rsidP="00442213">
      <w:pPr>
        <w:jc w:val="both"/>
        <w:rPr>
          <w:rStyle w:val="normaltextrun"/>
          <w:lang w:val="en-US"/>
        </w:rPr>
      </w:pPr>
    </w:p>
    <w:p w14:paraId="2C2E23D0" w14:textId="397D1107" w:rsidR="000964D7" w:rsidRPr="00602F08" w:rsidRDefault="00363638" w:rsidP="00B6212D">
      <w:pPr>
        <w:pStyle w:val="ListParagraph"/>
        <w:numPr>
          <w:ilvl w:val="0"/>
          <w:numId w:val="28"/>
        </w:numPr>
        <w:jc w:val="both"/>
        <w:rPr>
          <w:rStyle w:val="normaltextrun"/>
          <w:rFonts w:ascii="Times New Roman" w:hAnsi="Times New Roman"/>
          <w:lang w:val="en-US"/>
        </w:rPr>
      </w:pPr>
      <w:r w:rsidRPr="00602F08">
        <w:rPr>
          <w:rStyle w:val="normaltextrun"/>
          <w:rFonts w:ascii="Times New Roman" w:hAnsi="Times New Roman"/>
          <w:lang w:val="en-US"/>
        </w:rPr>
        <w:t xml:space="preserve">it </w:t>
      </w:r>
      <w:r w:rsidR="009A7C3A" w:rsidRPr="00602F08">
        <w:rPr>
          <w:rStyle w:val="normaltextrun"/>
          <w:rFonts w:ascii="Times New Roman" w:hAnsi="Times New Roman"/>
          <w:lang w:val="en-US"/>
        </w:rPr>
        <w:t>follows the circumsta</w:t>
      </w:r>
      <w:r w:rsidR="00653FBC" w:rsidRPr="00602F08">
        <w:rPr>
          <w:rStyle w:val="normaltextrun"/>
          <w:rFonts w:ascii="Times New Roman" w:hAnsi="Times New Roman"/>
          <w:lang w:val="en-US"/>
        </w:rPr>
        <w:t>n</w:t>
      </w:r>
      <w:r w:rsidR="009A7C3A" w:rsidRPr="00602F08">
        <w:rPr>
          <w:rStyle w:val="normaltextrun"/>
          <w:rFonts w:ascii="Times New Roman" w:hAnsi="Times New Roman"/>
          <w:lang w:val="en-US"/>
        </w:rPr>
        <w:t>ces of</w:t>
      </w:r>
      <w:r w:rsidR="00653FBC" w:rsidRPr="00602F08">
        <w:rPr>
          <w:rStyle w:val="normaltextrun"/>
          <w:rFonts w:ascii="Times New Roman" w:hAnsi="Times New Roman"/>
          <w:lang w:val="en-US"/>
        </w:rPr>
        <w:t xml:space="preserve"> alleged</w:t>
      </w:r>
      <w:r w:rsidR="009A7C3A" w:rsidRPr="00602F08">
        <w:rPr>
          <w:rStyle w:val="normaltextrun"/>
          <w:rFonts w:ascii="Times New Roman" w:hAnsi="Times New Roman"/>
          <w:lang w:val="en-US"/>
        </w:rPr>
        <w:t xml:space="preserve"> “failures to travel”</w:t>
      </w:r>
      <w:r w:rsidR="00595710" w:rsidRPr="00602F08">
        <w:rPr>
          <w:rStyle w:val="normaltextrun"/>
          <w:rFonts w:ascii="Times New Roman" w:hAnsi="Times New Roman"/>
          <w:lang w:val="en-US"/>
        </w:rPr>
        <w:t xml:space="preserve">, including </w:t>
      </w:r>
      <w:r w:rsidR="008A4899" w:rsidRPr="00602F08">
        <w:rPr>
          <w:rStyle w:val="normaltextrun"/>
          <w:rFonts w:ascii="Times New Roman" w:hAnsi="Times New Roman"/>
          <w:lang w:val="en-US"/>
        </w:rPr>
        <w:t>notification given</w:t>
      </w:r>
      <w:r w:rsidR="00E31978" w:rsidRPr="00602F08">
        <w:rPr>
          <w:rStyle w:val="normaltextrun"/>
          <w:rFonts w:ascii="Times New Roman" w:hAnsi="Times New Roman"/>
          <w:lang w:val="en-US"/>
        </w:rPr>
        <w:t xml:space="preserve"> of travel</w:t>
      </w:r>
      <w:r w:rsidR="001E0F56" w:rsidRPr="00602F08">
        <w:rPr>
          <w:rStyle w:val="normaltextrun"/>
          <w:rFonts w:ascii="Times New Roman" w:hAnsi="Times New Roman"/>
          <w:lang w:val="en-US"/>
        </w:rPr>
        <w:t xml:space="preserve"> arrangement</w:t>
      </w:r>
      <w:r w:rsidR="008A4899" w:rsidRPr="00602F08">
        <w:rPr>
          <w:rStyle w:val="normaltextrun"/>
          <w:rFonts w:ascii="Times New Roman" w:hAnsi="Times New Roman"/>
          <w:lang w:val="en-US"/>
        </w:rPr>
        <w:t>, reason given</w:t>
      </w:r>
      <w:r w:rsidR="001E0F56" w:rsidRPr="00602F08">
        <w:rPr>
          <w:rStyle w:val="normaltextrun"/>
          <w:rFonts w:ascii="Times New Roman" w:hAnsi="Times New Roman"/>
          <w:lang w:val="en-US"/>
        </w:rPr>
        <w:t xml:space="preserve"> for not travelling</w:t>
      </w:r>
      <w:r w:rsidR="008A4899" w:rsidRPr="00602F08">
        <w:rPr>
          <w:rStyle w:val="normaltextrun"/>
          <w:rFonts w:ascii="Times New Roman" w:hAnsi="Times New Roman"/>
          <w:lang w:val="en-US"/>
        </w:rPr>
        <w:t>, response to reason given, action taken</w:t>
      </w:r>
      <w:r w:rsidR="001A32A9" w:rsidRPr="00602F08">
        <w:rPr>
          <w:rStyle w:val="normaltextrun"/>
          <w:rFonts w:ascii="Times New Roman" w:hAnsi="Times New Roman"/>
          <w:lang w:val="en-US"/>
        </w:rPr>
        <w:t>,</w:t>
      </w:r>
      <w:r w:rsidR="009A4926" w:rsidRPr="00602F08">
        <w:rPr>
          <w:rStyle w:val="normaltextrun"/>
          <w:rFonts w:ascii="Times New Roman" w:hAnsi="Times New Roman"/>
          <w:lang w:val="en-US"/>
        </w:rPr>
        <w:t xml:space="preserve"> and the situation of the individual as a result</w:t>
      </w:r>
      <w:r w:rsidR="00902EC6" w:rsidRPr="00602F08">
        <w:rPr>
          <w:rStyle w:val="normaltextrun"/>
          <w:rFonts w:ascii="Times New Roman" w:hAnsi="Times New Roman"/>
          <w:lang w:val="en-US"/>
        </w:rPr>
        <w:t>;</w:t>
      </w:r>
    </w:p>
    <w:p w14:paraId="280E1CA3" w14:textId="77777777" w:rsidR="00442213" w:rsidRPr="00602F08" w:rsidRDefault="00442213" w:rsidP="00442213">
      <w:pPr>
        <w:pStyle w:val="ListParagraph"/>
        <w:rPr>
          <w:rStyle w:val="normaltextrun"/>
          <w:rFonts w:ascii="Times New Roman" w:hAnsi="Times New Roman"/>
          <w:lang w:val="en-US"/>
        </w:rPr>
      </w:pPr>
    </w:p>
    <w:p w14:paraId="588673F6" w14:textId="759C7519" w:rsidR="00206D70" w:rsidRPr="00602F08" w:rsidRDefault="000964D7" w:rsidP="00442213">
      <w:pPr>
        <w:pStyle w:val="ListParagraph"/>
        <w:numPr>
          <w:ilvl w:val="0"/>
          <w:numId w:val="28"/>
        </w:numPr>
        <w:jc w:val="both"/>
        <w:rPr>
          <w:rStyle w:val="normaltextrun"/>
          <w:rFonts w:ascii="Times New Roman" w:hAnsi="Times New Roman"/>
          <w:lang w:val="en-US"/>
        </w:rPr>
      </w:pPr>
      <w:r w:rsidRPr="00602F08">
        <w:rPr>
          <w:rStyle w:val="normaltextrun"/>
          <w:rFonts w:ascii="Times New Roman" w:hAnsi="Times New Roman"/>
          <w:lang w:val="en-US"/>
        </w:rPr>
        <w:t xml:space="preserve">it reports on </w:t>
      </w:r>
      <w:r w:rsidR="00C3520A" w:rsidRPr="00602F08">
        <w:rPr>
          <w:rStyle w:val="normaltextrun"/>
          <w:rFonts w:ascii="Times New Roman" w:hAnsi="Times New Roman"/>
          <w:lang w:val="en-US"/>
        </w:rPr>
        <w:t xml:space="preserve">action of changes made </w:t>
      </w:r>
      <w:r w:rsidR="007F6418" w:rsidRPr="00602F08">
        <w:rPr>
          <w:rStyle w:val="normaltextrun"/>
          <w:rFonts w:ascii="Times New Roman" w:hAnsi="Times New Roman"/>
          <w:lang w:val="en-US"/>
        </w:rPr>
        <w:t xml:space="preserve">to the system in light of the above and </w:t>
      </w:r>
      <w:r w:rsidR="00C3520A" w:rsidRPr="00602F08">
        <w:rPr>
          <w:rStyle w:val="normaltextrun"/>
          <w:rFonts w:ascii="Times New Roman" w:hAnsi="Times New Roman"/>
          <w:lang w:val="en-US"/>
        </w:rPr>
        <w:t>the effectiveness</w:t>
      </w:r>
      <w:r w:rsidR="008A4899" w:rsidRPr="00602F08">
        <w:rPr>
          <w:rStyle w:val="normaltextrun"/>
          <w:rFonts w:ascii="Times New Roman" w:hAnsi="Times New Roman"/>
          <w:lang w:val="en-US"/>
        </w:rPr>
        <w:t xml:space="preserve"> </w:t>
      </w:r>
      <w:r w:rsidR="007F6418" w:rsidRPr="00602F08">
        <w:rPr>
          <w:rStyle w:val="normaltextrun"/>
          <w:rFonts w:ascii="Times New Roman" w:hAnsi="Times New Roman"/>
          <w:lang w:val="en-US"/>
        </w:rPr>
        <w:t>of those changes</w:t>
      </w:r>
      <w:r w:rsidR="001D39AE" w:rsidRPr="00602F08">
        <w:rPr>
          <w:rStyle w:val="normaltextrun"/>
          <w:rFonts w:ascii="Times New Roman" w:hAnsi="Times New Roman"/>
          <w:lang w:val="en-US"/>
        </w:rPr>
        <w:t>.</w:t>
      </w:r>
    </w:p>
    <w:p w14:paraId="48EC48E9" w14:textId="5C47AECB" w:rsidR="0059227C" w:rsidRPr="00602F08" w:rsidRDefault="0059227C" w:rsidP="00B6212D">
      <w:pPr>
        <w:jc w:val="both"/>
        <w:rPr>
          <w:rStyle w:val="normaltextrun"/>
          <w:lang w:val="en-US"/>
        </w:rPr>
      </w:pPr>
    </w:p>
    <w:p w14:paraId="45099895" w14:textId="5C3FE445" w:rsidR="00F60679" w:rsidRPr="00602F08" w:rsidRDefault="00376FBB" w:rsidP="00F60679">
      <w:pPr>
        <w:pStyle w:val="ListParagraph"/>
        <w:numPr>
          <w:ilvl w:val="0"/>
          <w:numId w:val="10"/>
        </w:numPr>
        <w:jc w:val="both"/>
        <w:rPr>
          <w:rStyle w:val="normaltextrun"/>
          <w:rFonts w:ascii="Times New Roman" w:hAnsi="Times New Roman"/>
          <w:lang w:val="en-US"/>
        </w:rPr>
      </w:pPr>
      <w:r>
        <w:rPr>
          <w:rStyle w:val="normaltextrun"/>
          <w:rFonts w:ascii="Times New Roman" w:hAnsi="Times New Roman"/>
          <w:lang w:val="en-US"/>
        </w:rPr>
        <w:t xml:space="preserve">It will be clear that </w:t>
      </w:r>
      <w:r w:rsidR="009004D9">
        <w:rPr>
          <w:rStyle w:val="normaltextrun"/>
          <w:rFonts w:ascii="Times New Roman" w:hAnsi="Times New Roman"/>
          <w:lang w:val="en-US"/>
        </w:rPr>
        <w:t>monitoring (like the data that is needed to enable it) is not just about numbers</w:t>
      </w:r>
      <w:r w:rsidR="00215668">
        <w:rPr>
          <w:rStyle w:val="normaltextrun"/>
          <w:rFonts w:ascii="Times New Roman" w:hAnsi="Times New Roman"/>
          <w:lang w:val="en-US"/>
        </w:rPr>
        <w:t>.</w:t>
      </w:r>
      <w:r w:rsidR="009004D9">
        <w:rPr>
          <w:rStyle w:val="normaltextrun"/>
          <w:rFonts w:ascii="Times New Roman" w:hAnsi="Times New Roman"/>
          <w:lang w:val="en-US"/>
        </w:rPr>
        <w:t xml:space="preserve"> </w:t>
      </w:r>
      <w:r w:rsidR="00215668">
        <w:rPr>
          <w:rStyle w:val="normaltextrun"/>
          <w:rFonts w:ascii="Times New Roman" w:hAnsi="Times New Roman"/>
          <w:lang w:val="en-US"/>
        </w:rPr>
        <w:t>And o</w:t>
      </w:r>
      <w:r w:rsidR="00F60679" w:rsidRPr="00602F08">
        <w:rPr>
          <w:rStyle w:val="normaltextrun"/>
          <w:rFonts w:ascii="Times New Roman" w:hAnsi="Times New Roman"/>
          <w:lang w:val="en-US"/>
        </w:rPr>
        <w:t>f course</w:t>
      </w:r>
      <w:r w:rsidR="0030704E">
        <w:rPr>
          <w:rStyle w:val="normaltextrun"/>
          <w:rFonts w:ascii="Times New Roman" w:hAnsi="Times New Roman"/>
          <w:lang w:val="en-US"/>
        </w:rPr>
        <w:t>,</w:t>
      </w:r>
      <w:r w:rsidR="00F60679" w:rsidRPr="00602F08">
        <w:rPr>
          <w:rStyle w:val="normaltextrun"/>
          <w:rFonts w:ascii="Times New Roman" w:hAnsi="Times New Roman"/>
          <w:lang w:val="en-US"/>
        </w:rPr>
        <w:t xml:space="preserve"> the monitoring must be accompanied by arrangements to secure action</w:t>
      </w:r>
      <w:r w:rsidR="007727ED" w:rsidRPr="00602F08">
        <w:rPr>
          <w:rStyle w:val="normaltextrun"/>
          <w:rFonts w:ascii="Times New Roman" w:hAnsi="Times New Roman"/>
          <w:lang w:val="en-US"/>
        </w:rPr>
        <w:t xml:space="preserve"> by reference to the information it provides</w:t>
      </w:r>
      <w:r w:rsidR="00F60679" w:rsidRPr="00602F08">
        <w:rPr>
          <w:rStyle w:val="normaltextrun"/>
          <w:rFonts w:ascii="Times New Roman" w:hAnsi="Times New Roman"/>
          <w:lang w:val="en-US"/>
        </w:rPr>
        <w:t>.</w:t>
      </w:r>
      <w:r w:rsidR="007727ED" w:rsidRPr="00602F08">
        <w:rPr>
          <w:rStyle w:val="normaltextrun"/>
          <w:rFonts w:ascii="Times New Roman" w:hAnsi="Times New Roman"/>
          <w:lang w:val="en-US"/>
        </w:rPr>
        <w:t xml:space="preserve"> </w:t>
      </w:r>
      <w:r w:rsidR="00BD142F" w:rsidRPr="00602F08">
        <w:rPr>
          <w:rStyle w:val="normaltextrun"/>
          <w:rFonts w:ascii="Times New Roman" w:hAnsi="Times New Roman"/>
          <w:lang w:val="en-US"/>
        </w:rPr>
        <w:t>The important thing is that the action will be informed</w:t>
      </w:r>
      <w:r w:rsidR="00602F08" w:rsidRPr="00602F08">
        <w:rPr>
          <w:rStyle w:val="normaltextrun"/>
          <w:rFonts w:ascii="Times New Roman" w:hAnsi="Times New Roman"/>
          <w:lang w:val="en-US"/>
        </w:rPr>
        <w:t>.</w:t>
      </w:r>
      <w:r w:rsidR="00BD142F" w:rsidRPr="00602F08">
        <w:rPr>
          <w:rStyle w:val="normaltextrun"/>
          <w:rFonts w:ascii="Times New Roman" w:hAnsi="Times New Roman"/>
          <w:lang w:val="en-US"/>
        </w:rPr>
        <w:t xml:space="preserve"> </w:t>
      </w:r>
    </w:p>
    <w:p w14:paraId="0F9D08CD" w14:textId="77777777" w:rsidR="00BD142F" w:rsidRPr="00602F08" w:rsidRDefault="00BD142F" w:rsidP="00BD142F">
      <w:pPr>
        <w:pStyle w:val="ListParagraph"/>
        <w:ind w:left="687"/>
        <w:jc w:val="both"/>
        <w:rPr>
          <w:rStyle w:val="normaltextrun"/>
          <w:rFonts w:ascii="Times New Roman" w:hAnsi="Times New Roman"/>
          <w:lang w:val="en-US"/>
        </w:rPr>
      </w:pPr>
    </w:p>
    <w:p w14:paraId="26157398" w14:textId="60C10651" w:rsidR="00301CB4" w:rsidRPr="00602F08" w:rsidRDefault="00301CB4" w:rsidP="00301CB4">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It is worth reflecting, as Mr Goodman </w:t>
      </w:r>
      <w:r w:rsidR="004A6AC1">
        <w:rPr>
          <w:rStyle w:val="normaltextrun"/>
          <w:rFonts w:ascii="Times New Roman" w:hAnsi="Times New Roman"/>
          <w:lang w:val="en-US"/>
        </w:rPr>
        <w:t>did</w:t>
      </w:r>
      <w:r w:rsidR="0078520B">
        <w:rPr>
          <w:rStyle w:val="normaltextrun"/>
          <w:rFonts w:ascii="Times New Roman" w:hAnsi="Times New Roman"/>
          <w:lang w:val="en-US"/>
        </w:rPr>
        <w:t xml:space="preserve"> in his argument</w:t>
      </w:r>
      <w:r w:rsidRPr="00602F08">
        <w:rPr>
          <w:rStyle w:val="normaltextrun"/>
          <w:rFonts w:ascii="Times New Roman" w:hAnsi="Times New Roman"/>
          <w:lang w:val="en-US"/>
        </w:rPr>
        <w:t xml:space="preserve">, that even the period of 14 days in the contracts with providers or the period of 9 days within the Guidance may be too long if the Secretary of State is not to be in breach of her duty. I see </w:t>
      </w:r>
      <w:r w:rsidR="00EA0087" w:rsidRPr="00602F08">
        <w:rPr>
          <w:rStyle w:val="normaltextrun"/>
          <w:rFonts w:ascii="Times New Roman" w:hAnsi="Times New Roman"/>
          <w:lang w:val="en-US"/>
        </w:rPr>
        <w:t xml:space="preserve">this more as a point that </w:t>
      </w:r>
      <w:r w:rsidR="0078520B">
        <w:rPr>
          <w:rStyle w:val="normaltextrun"/>
          <w:rFonts w:ascii="Times New Roman" w:hAnsi="Times New Roman"/>
          <w:lang w:val="en-US"/>
        </w:rPr>
        <w:t>illustrates</w:t>
      </w:r>
      <w:r w:rsidR="00EA0087" w:rsidRPr="00602F08">
        <w:rPr>
          <w:rStyle w:val="normaltextrun"/>
          <w:rFonts w:ascii="Times New Roman" w:hAnsi="Times New Roman"/>
          <w:lang w:val="en-US"/>
        </w:rPr>
        <w:t xml:space="preserve"> how monitoring can help the Secretary of State know what contract terms she </w:t>
      </w:r>
      <w:r w:rsidR="0078520B">
        <w:rPr>
          <w:rStyle w:val="normaltextrun"/>
          <w:rFonts w:ascii="Times New Roman" w:hAnsi="Times New Roman"/>
          <w:lang w:val="en-US"/>
        </w:rPr>
        <w:t>wishes</w:t>
      </w:r>
      <w:r w:rsidR="00EA0087" w:rsidRPr="00602F08">
        <w:rPr>
          <w:rStyle w:val="normaltextrun"/>
          <w:rFonts w:ascii="Times New Roman" w:hAnsi="Times New Roman"/>
          <w:lang w:val="en-US"/>
        </w:rPr>
        <w:t xml:space="preserve"> to</w:t>
      </w:r>
      <w:r w:rsidR="00121F37">
        <w:rPr>
          <w:rStyle w:val="normaltextrun"/>
          <w:rFonts w:ascii="Times New Roman" w:hAnsi="Times New Roman"/>
          <w:lang w:val="en-US"/>
        </w:rPr>
        <w:t xml:space="preserve"> set if she wishes the contract to help her </w:t>
      </w:r>
      <w:r w:rsidR="00A23221">
        <w:rPr>
          <w:rStyle w:val="normaltextrun"/>
          <w:rFonts w:ascii="Times New Roman" w:hAnsi="Times New Roman"/>
          <w:lang w:val="en-US"/>
        </w:rPr>
        <w:t>as far as it can towards meeting her duty</w:t>
      </w:r>
      <w:r w:rsidR="00EA0087" w:rsidRPr="00602F08">
        <w:rPr>
          <w:rStyle w:val="normaltextrun"/>
          <w:rFonts w:ascii="Times New Roman" w:hAnsi="Times New Roman"/>
          <w:lang w:val="en-US"/>
        </w:rPr>
        <w:t xml:space="preserve">. </w:t>
      </w:r>
      <w:r w:rsidRPr="00602F08">
        <w:rPr>
          <w:rStyle w:val="normaltextrun"/>
          <w:rFonts w:ascii="Times New Roman" w:hAnsi="Times New Roman"/>
          <w:lang w:val="en-US"/>
        </w:rPr>
        <w:t>It is not at all clear how those periods were chosen</w:t>
      </w:r>
      <w:r w:rsidR="00A23221">
        <w:rPr>
          <w:rStyle w:val="normaltextrun"/>
          <w:rFonts w:ascii="Times New Roman" w:hAnsi="Times New Roman"/>
          <w:lang w:val="en-US"/>
        </w:rPr>
        <w:t xml:space="preserve"> in the contracts or the Guidance</w:t>
      </w:r>
      <w:r w:rsidRPr="00602F08">
        <w:rPr>
          <w:rStyle w:val="normaltextrun"/>
          <w:rFonts w:ascii="Times New Roman" w:hAnsi="Times New Roman"/>
          <w:lang w:val="en-US"/>
        </w:rPr>
        <w:t xml:space="preserve">. The point is that the Secretary of State will not know if they are too long </w:t>
      </w:r>
      <w:r w:rsidR="00F60679" w:rsidRPr="00602F08">
        <w:rPr>
          <w:rStyle w:val="normaltextrun"/>
          <w:rFonts w:ascii="Times New Roman" w:hAnsi="Times New Roman"/>
          <w:lang w:val="en-US"/>
        </w:rPr>
        <w:t xml:space="preserve">for her purposes </w:t>
      </w:r>
      <w:r w:rsidRPr="00602F08">
        <w:rPr>
          <w:rStyle w:val="normaltextrun"/>
          <w:rFonts w:ascii="Times New Roman" w:hAnsi="Times New Roman"/>
          <w:lang w:val="en-US"/>
        </w:rPr>
        <w:t xml:space="preserve">if her officials do not monitor. </w:t>
      </w:r>
      <w:r w:rsidR="00F612D4">
        <w:rPr>
          <w:rStyle w:val="normaltextrun"/>
          <w:rFonts w:ascii="Times New Roman" w:hAnsi="Times New Roman"/>
          <w:lang w:val="en-US"/>
        </w:rPr>
        <w:t>At</w:t>
      </w:r>
      <w:r w:rsidR="007E029A">
        <w:rPr>
          <w:rStyle w:val="normaltextrun"/>
          <w:rFonts w:ascii="Times New Roman" w:hAnsi="Times New Roman"/>
          <w:lang w:val="en-US"/>
        </w:rPr>
        <w:t xml:space="preserve"> present</w:t>
      </w:r>
      <w:r w:rsidR="00F612D4">
        <w:rPr>
          <w:rStyle w:val="normaltextrun"/>
          <w:rFonts w:ascii="Times New Roman" w:hAnsi="Times New Roman"/>
          <w:lang w:val="en-US"/>
        </w:rPr>
        <w:t xml:space="preserve"> they do not: i</w:t>
      </w:r>
      <w:r w:rsidRPr="00602F08">
        <w:rPr>
          <w:rStyle w:val="normaltextrun"/>
          <w:rFonts w:ascii="Times New Roman" w:hAnsi="Times New Roman"/>
          <w:lang w:val="en-US"/>
        </w:rPr>
        <w:t>n a letter dated 15 June 2020 the Government Legal Department wrote to the claimants’ solicitors in these terms:</w:t>
      </w:r>
    </w:p>
    <w:p w14:paraId="20005062" w14:textId="77777777" w:rsidR="00301CB4" w:rsidRPr="00602F08" w:rsidRDefault="00301CB4" w:rsidP="00301CB4">
      <w:pPr>
        <w:pStyle w:val="ListParagraph"/>
        <w:ind w:left="687"/>
        <w:jc w:val="both"/>
        <w:rPr>
          <w:rStyle w:val="normaltextrun"/>
          <w:rFonts w:ascii="Times New Roman" w:hAnsi="Times New Roman"/>
          <w:lang w:val="en-US"/>
        </w:rPr>
      </w:pPr>
    </w:p>
    <w:p w14:paraId="1803BFBE" w14:textId="2266B14D" w:rsidR="008C5D9F" w:rsidRPr="00602F08" w:rsidRDefault="00301CB4" w:rsidP="00F60679">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“There is no data readily available as to the number of times that accommodation was requested in less than 14 days”.</w:t>
      </w:r>
    </w:p>
    <w:p w14:paraId="58AC9EC1" w14:textId="77777777" w:rsidR="00F60679" w:rsidRPr="00602F08" w:rsidRDefault="00F60679" w:rsidP="00F60679">
      <w:pPr>
        <w:pStyle w:val="ListParagraph"/>
        <w:ind w:left="1440"/>
        <w:jc w:val="both"/>
        <w:rPr>
          <w:rStyle w:val="normaltextrun"/>
          <w:rFonts w:ascii="Times New Roman" w:hAnsi="Times New Roman"/>
          <w:lang w:val="en-US"/>
        </w:rPr>
      </w:pPr>
    </w:p>
    <w:p w14:paraId="5F9A12FD" w14:textId="71532C66" w:rsidR="00383F9A" w:rsidRPr="00602F08" w:rsidRDefault="00383F9A" w:rsidP="00B6212D">
      <w:pPr>
        <w:jc w:val="both"/>
        <w:rPr>
          <w:rStyle w:val="normaltextrun"/>
          <w:b/>
          <w:bCs/>
          <w:u w:val="single"/>
          <w:lang w:val="en-US"/>
        </w:rPr>
      </w:pPr>
    </w:p>
    <w:p w14:paraId="1EDB408A" w14:textId="77777777" w:rsidR="00F60679" w:rsidRPr="00602F08" w:rsidRDefault="00F60679" w:rsidP="00B6212D">
      <w:pPr>
        <w:jc w:val="both"/>
        <w:rPr>
          <w:rStyle w:val="normaltextrun"/>
          <w:b/>
          <w:bCs/>
          <w:u w:val="single"/>
          <w:lang w:val="en-US"/>
        </w:rPr>
      </w:pPr>
    </w:p>
    <w:p w14:paraId="7B539D9F" w14:textId="74A723AD" w:rsidR="00CA20F7" w:rsidRPr="00602F08" w:rsidRDefault="00864AF4" w:rsidP="00B6212D">
      <w:pPr>
        <w:jc w:val="both"/>
        <w:rPr>
          <w:rStyle w:val="normaltextrun"/>
          <w:b/>
          <w:bCs/>
          <w:u w:val="single"/>
          <w:lang w:val="en-US"/>
        </w:rPr>
      </w:pPr>
      <w:r w:rsidRPr="00602F08">
        <w:rPr>
          <w:rStyle w:val="normaltextrun"/>
          <w:b/>
          <w:bCs/>
          <w:u w:val="single"/>
          <w:lang w:val="en-US"/>
        </w:rPr>
        <w:t>D</w:t>
      </w:r>
      <w:r w:rsidR="00CA20F7" w:rsidRPr="00602F08">
        <w:rPr>
          <w:rStyle w:val="normaltextrun"/>
          <w:b/>
          <w:bCs/>
          <w:u w:val="single"/>
          <w:lang w:val="en-US"/>
        </w:rPr>
        <w:t>isability and equality</w:t>
      </w:r>
    </w:p>
    <w:p w14:paraId="51D2E98D" w14:textId="2888C0BD" w:rsidR="00CA20F7" w:rsidRPr="00602F08" w:rsidRDefault="00CA20F7" w:rsidP="00B6212D">
      <w:pPr>
        <w:jc w:val="both"/>
        <w:rPr>
          <w:rStyle w:val="normaltextrun"/>
          <w:lang w:val="en-US"/>
        </w:rPr>
      </w:pPr>
    </w:p>
    <w:p w14:paraId="2156DA25" w14:textId="37A3AD61" w:rsidR="001931C6" w:rsidRPr="00602F08" w:rsidRDefault="001931C6" w:rsidP="00B6212D">
      <w:pPr>
        <w:ind w:firstLine="687"/>
        <w:jc w:val="both"/>
        <w:rPr>
          <w:rStyle w:val="normaltextrun"/>
          <w:u w:val="single"/>
          <w:lang w:val="en-US"/>
        </w:rPr>
      </w:pPr>
      <w:r w:rsidRPr="00602F08">
        <w:rPr>
          <w:rStyle w:val="normaltextrun"/>
          <w:u w:val="single"/>
          <w:lang w:val="en-US"/>
        </w:rPr>
        <w:t>Grounds</w:t>
      </w:r>
      <w:r w:rsidR="00864AF4" w:rsidRPr="00602F08">
        <w:rPr>
          <w:rStyle w:val="normaltextrun"/>
          <w:u w:val="single"/>
          <w:lang w:val="en-US"/>
        </w:rPr>
        <w:t xml:space="preserve"> advanced</w:t>
      </w:r>
    </w:p>
    <w:p w14:paraId="66C46F1E" w14:textId="77777777" w:rsidR="001931C6" w:rsidRPr="00602F08" w:rsidRDefault="001931C6" w:rsidP="00B6212D">
      <w:pPr>
        <w:ind w:firstLine="119"/>
        <w:jc w:val="both"/>
        <w:rPr>
          <w:rStyle w:val="normaltextrun"/>
          <w:u w:val="single"/>
          <w:lang w:val="en-US"/>
        </w:rPr>
      </w:pPr>
    </w:p>
    <w:p w14:paraId="2315F34F" w14:textId="5A45F94D" w:rsidR="006179E4" w:rsidRPr="00602F08" w:rsidRDefault="00AB2D62" w:rsidP="00B6212D">
      <w:pPr>
        <w:numPr>
          <w:ilvl w:val="0"/>
          <w:numId w:val="10"/>
        </w:numPr>
        <w:jc w:val="both"/>
        <w:rPr>
          <w:rStyle w:val="normaltextrun"/>
          <w:lang w:val="en-US"/>
        </w:rPr>
      </w:pPr>
      <w:r w:rsidRPr="00602F08">
        <w:rPr>
          <w:rStyle w:val="normaltextrun"/>
          <w:lang w:val="en-US"/>
        </w:rPr>
        <w:t xml:space="preserve">Ground 1 of AA’s challenges </w:t>
      </w:r>
      <w:r w:rsidR="00DC39C6" w:rsidRPr="00602F08">
        <w:rPr>
          <w:rStyle w:val="normaltextrun"/>
          <w:lang w:val="en-US"/>
        </w:rPr>
        <w:t xml:space="preserve">and Ground 4 of EN’s </w:t>
      </w:r>
      <w:r w:rsidR="00262C2E" w:rsidRPr="00602F08">
        <w:rPr>
          <w:rStyle w:val="normaltextrun"/>
          <w:lang w:val="en-US"/>
        </w:rPr>
        <w:t xml:space="preserve">challenges </w:t>
      </w:r>
      <w:r w:rsidRPr="00602F08">
        <w:rPr>
          <w:rStyle w:val="normaltextrun"/>
          <w:lang w:val="en-US"/>
        </w:rPr>
        <w:t>allege discrimination under the Equality Act 2010</w:t>
      </w:r>
      <w:r w:rsidR="00C55F44" w:rsidRPr="00602F08">
        <w:rPr>
          <w:rStyle w:val="normaltextrun"/>
          <w:lang w:val="en-US"/>
        </w:rPr>
        <w:t xml:space="preserve"> (“the Equality Act”)</w:t>
      </w:r>
      <w:r w:rsidRPr="00602F08">
        <w:rPr>
          <w:rStyle w:val="normaltextrun"/>
          <w:lang w:val="en-US"/>
        </w:rPr>
        <w:t xml:space="preserve">. </w:t>
      </w:r>
    </w:p>
    <w:p w14:paraId="29160F3D" w14:textId="77777777" w:rsidR="006179E4" w:rsidRPr="00602F08" w:rsidRDefault="006179E4" w:rsidP="00B6212D">
      <w:pPr>
        <w:ind w:left="687"/>
        <w:jc w:val="both"/>
        <w:rPr>
          <w:rStyle w:val="normaltextrun"/>
          <w:lang w:val="en-US"/>
        </w:rPr>
      </w:pPr>
    </w:p>
    <w:p w14:paraId="7654D229" w14:textId="51C9986B" w:rsidR="00007ADA" w:rsidRPr="00602F08" w:rsidRDefault="00262C2E" w:rsidP="00B6212D">
      <w:pPr>
        <w:numPr>
          <w:ilvl w:val="0"/>
          <w:numId w:val="10"/>
        </w:numPr>
        <w:jc w:val="both"/>
        <w:rPr>
          <w:rStyle w:val="normaltextrun"/>
          <w:lang w:val="en-US"/>
        </w:rPr>
      </w:pPr>
      <w:r w:rsidRPr="00602F08">
        <w:rPr>
          <w:rStyle w:val="normaltextrun"/>
          <w:lang w:val="en-US"/>
        </w:rPr>
        <w:t xml:space="preserve">The contention for </w:t>
      </w:r>
      <w:r w:rsidR="00AB2D62" w:rsidRPr="00602F08">
        <w:rPr>
          <w:rStyle w:val="normaltextrun"/>
          <w:lang w:val="en-US"/>
        </w:rPr>
        <w:t xml:space="preserve">AA </w:t>
      </w:r>
      <w:r w:rsidR="00391D5A" w:rsidRPr="00602F08">
        <w:rPr>
          <w:rStyle w:val="normaltextrun"/>
          <w:lang w:val="en-US"/>
        </w:rPr>
        <w:t xml:space="preserve">and ELN </w:t>
      </w:r>
      <w:r w:rsidRPr="00602F08">
        <w:rPr>
          <w:rStyle w:val="normaltextrun"/>
          <w:lang w:val="en-US"/>
        </w:rPr>
        <w:t>is</w:t>
      </w:r>
      <w:r w:rsidR="00AB2D62" w:rsidRPr="00602F08">
        <w:rPr>
          <w:rStyle w:val="normaltextrun"/>
          <w:lang w:val="en-US"/>
        </w:rPr>
        <w:t xml:space="preserve"> that the way in which section 4(2) </w:t>
      </w:r>
      <w:r w:rsidR="00527CFA" w:rsidRPr="00602F08">
        <w:rPr>
          <w:rStyle w:val="normaltextrun"/>
          <w:lang w:val="en-US"/>
        </w:rPr>
        <w:t xml:space="preserve">of the 1999 Act </w:t>
      </w:r>
      <w:r w:rsidR="00AB2D62" w:rsidRPr="00602F08">
        <w:rPr>
          <w:rStyle w:val="normaltextrun"/>
          <w:lang w:val="en-US"/>
        </w:rPr>
        <w:t xml:space="preserve">has been and is being operated in the case of those who are severely disabled </w:t>
      </w:r>
      <w:r w:rsidR="0003186B" w:rsidRPr="00602F08">
        <w:rPr>
          <w:rStyle w:val="normaltextrun"/>
          <w:lang w:val="en-US"/>
        </w:rPr>
        <w:t>(including</w:t>
      </w:r>
      <w:r w:rsidR="00CE632B" w:rsidRPr="00602F08">
        <w:rPr>
          <w:rStyle w:val="normaltextrun"/>
          <w:lang w:val="en-US"/>
        </w:rPr>
        <w:t xml:space="preserve"> themselves</w:t>
      </w:r>
      <w:r w:rsidR="0003186B" w:rsidRPr="00602F08">
        <w:rPr>
          <w:rStyle w:val="normaltextrun"/>
          <w:lang w:val="en-US"/>
        </w:rPr>
        <w:t xml:space="preserve">) </w:t>
      </w:r>
      <w:r w:rsidR="00686FC0" w:rsidRPr="00602F08">
        <w:rPr>
          <w:rStyle w:val="normaltextrun"/>
          <w:lang w:val="en-US"/>
        </w:rPr>
        <w:t>is discriminatory</w:t>
      </w:r>
      <w:r w:rsidR="00AB2D62" w:rsidRPr="00602F08">
        <w:rPr>
          <w:rStyle w:val="normaltextrun"/>
          <w:lang w:val="en-US"/>
        </w:rPr>
        <w:t xml:space="preserve">. </w:t>
      </w:r>
      <w:r w:rsidR="00391D5A" w:rsidRPr="00602F08">
        <w:rPr>
          <w:rStyle w:val="normaltextrun"/>
          <w:lang w:val="en-US"/>
        </w:rPr>
        <w:t>It is also</w:t>
      </w:r>
      <w:r w:rsidR="00AB2D62" w:rsidRPr="00602F08">
        <w:rPr>
          <w:rStyle w:val="normaltextrun"/>
          <w:lang w:val="en-US"/>
        </w:rPr>
        <w:t xml:space="preserve"> </w:t>
      </w:r>
      <w:r w:rsidR="00596FE8" w:rsidRPr="00602F08">
        <w:rPr>
          <w:rStyle w:val="normaltextrun"/>
          <w:lang w:val="en-US"/>
        </w:rPr>
        <w:t>contend</w:t>
      </w:r>
      <w:r w:rsidR="00391D5A" w:rsidRPr="00602F08">
        <w:rPr>
          <w:rStyle w:val="normaltextrun"/>
          <w:lang w:val="en-US"/>
        </w:rPr>
        <w:t>ed</w:t>
      </w:r>
      <w:r w:rsidR="00AB2D62" w:rsidRPr="00602F08">
        <w:rPr>
          <w:rStyle w:val="normaltextrun"/>
          <w:lang w:val="en-US"/>
        </w:rPr>
        <w:t xml:space="preserve"> that there is a breach of</w:t>
      </w:r>
      <w:r w:rsidR="00AF3978" w:rsidRPr="00602F08">
        <w:rPr>
          <w:rStyle w:val="normaltextrun"/>
          <w:lang w:val="en-US"/>
        </w:rPr>
        <w:t xml:space="preserve"> </w:t>
      </w:r>
      <w:r w:rsidR="00AB2D62" w:rsidRPr="00602F08">
        <w:rPr>
          <w:rStyle w:val="normaltextrun"/>
          <w:lang w:val="en-US"/>
        </w:rPr>
        <w:t>obligations to make reasonable adjustments</w:t>
      </w:r>
      <w:r w:rsidR="00AF3978" w:rsidRPr="00602F08">
        <w:rPr>
          <w:rStyle w:val="normaltextrun"/>
          <w:lang w:val="en-US"/>
        </w:rPr>
        <w:t xml:space="preserve"> for disability</w:t>
      </w:r>
      <w:r w:rsidR="00AB2D62" w:rsidRPr="00602F08">
        <w:rPr>
          <w:rStyle w:val="normaltextrun"/>
          <w:lang w:val="en-US"/>
        </w:rPr>
        <w:t xml:space="preserve">, and of the public sector equality duty. </w:t>
      </w:r>
    </w:p>
    <w:p w14:paraId="223914D5" w14:textId="726BCF5E" w:rsidR="002611EC" w:rsidRPr="00602F08" w:rsidRDefault="002611EC" w:rsidP="00B6212D">
      <w:pPr>
        <w:jc w:val="both"/>
        <w:rPr>
          <w:b/>
          <w:bCs/>
          <w:u w:val="single"/>
          <w:lang w:val="en-US"/>
        </w:rPr>
      </w:pPr>
    </w:p>
    <w:p w14:paraId="2CFF2B3B" w14:textId="77777777" w:rsidR="005820E4" w:rsidRPr="00602F08" w:rsidRDefault="005820E4" w:rsidP="00B6212D">
      <w:pPr>
        <w:ind w:left="119"/>
        <w:jc w:val="both"/>
        <w:rPr>
          <w:b/>
          <w:bCs/>
          <w:u w:val="single"/>
          <w:lang w:val="en-US"/>
        </w:rPr>
      </w:pPr>
    </w:p>
    <w:p w14:paraId="2B119AFE" w14:textId="126B99B0" w:rsidR="00187B83" w:rsidRPr="00602F08" w:rsidRDefault="00241BC6" w:rsidP="00B6212D">
      <w:pPr>
        <w:ind w:left="119" w:firstLine="568"/>
        <w:jc w:val="both"/>
        <w:rPr>
          <w:u w:val="single"/>
          <w:lang w:val="en-US"/>
        </w:rPr>
      </w:pPr>
      <w:r w:rsidRPr="00602F08">
        <w:rPr>
          <w:u w:val="single"/>
          <w:lang w:val="en-US"/>
        </w:rPr>
        <w:t>Legislation</w:t>
      </w:r>
    </w:p>
    <w:p w14:paraId="4E61F221" w14:textId="77777777" w:rsidR="00187B83" w:rsidRPr="00602F08" w:rsidRDefault="00187B83" w:rsidP="00B6212D">
      <w:pPr>
        <w:pStyle w:val="ListParagraph"/>
        <w:jc w:val="both"/>
        <w:rPr>
          <w:rFonts w:ascii="Times New Roman" w:hAnsi="Times New Roman"/>
          <w:lang w:val="en-US"/>
        </w:rPr>
      </w:pPr>
    </w:p>
    <w:p w14:paraId="1F3F5697" w14:textId="24304C51" w:rsidR="00187B83" w:rsidRPr="00602F08" w:rsidRDefault="00187B8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Section 6 of the Equality Act defines disability for the purposes of the Act:</w:t>
      </w:r>
    </w:p>
    <w:p w14:paraId="5BE99FE5" w14:textId="77777777" w:rsidR="00187B83" w:rsidRPr="00602F08" w:rsidRDefault="00187B83" w:rsidP="00B6212D">
      <w:pPr>
        <w:jc w:val="both"/>
        <w:rPr>
          <w:rStyle w:val="normaltextrun"/>
          <w:lang w:val="en-US"/>
        </w:rPr>
      </w:pPr>
    </w:p>
    <w:p w14:paraId="2CA7EF88" w14:textId="77777777" w:rsidR="00187B83" w:rsidRPr="00602F08" w:rsidRDefault="00187B83" w:rsidP="00B6212D">
      <w:pPr>
        <w:ind w:left="687" w:firstLine="720"/>
        <w:jc w:val="both"/>
        <w:rPr>
          <w:rStyle w:val="normaltextrun"/>
          <w:lang w:val="en-US"/>
        </w:rPr>
      </w:pPr>
      <w:r w:rsidRPr="00602F08">
        <w:rPr>
          <w:rStyle w:val="normaltextrun"/>
          <w:lang w:val="en-US"/>
        </w:rPr>
        <w:t>“(1) A person (P) has a disability if—</w:t>
      </w:r>
    </w:p>
    <w:p w14:paraId="419CF7FE" w14:textId="77777777" w:rsidR="00187B83" w:rsidRPr="00602F08" w:rsidRDefault="00187B83" w:rsidP="00B6212D">
      <w:pPr>
        <w:ind w:left="687" w:firstLine="720"/>
        <w:jc w:val="both"/>
        <w:rPr>
          <w:rStyle w:val="normaltextrun"/>
          <w:lang w:val="en-US"/>
        </w:rPr>
      </w:pPr>
      <w:r w:rsidRPr="00602F08">
        <w:rPr>
          <w:rStyle w:val="normaltextrun"/>
          <w:lang w:val="en-US"/>
        </w:rPr>
        <w:t>(a) P has a physical or mental impairment, and</w:t>
      </w:r>
    </w:p>
    <w:p w14:paraId="3DE29EF8" w14:textId="77777777" w:rsidR="00187B83" w:rsidRPr="00602F08" w:rsidRDefault="00187B83" w:rsidP="00B6212D">
      <w:pPr>
        <w:ind w:left="1440" w:hanging="33"/>
        <w:jc w:val="both"/>
        <w:rPr>
          <w:rStyle w:val="normaltextrun"/>
          <w:lang w:val="en-US"/>
        </w:rPr>
      </w:pPr>
      <w:r w:rsidRPr="00602F08">
        <w:rPr>
          <w:rStyle w:val="normaltextrun"/>
          <w:lang w:val="en-US"/>
        </w:rPr>
        <w:t>(b) the impairment has a substantial and long-term adverse effect on P's ability to carry out normal day-to-day activities.</w:t>
      </w:r>
    </w:p>
    <w:p w14:paraId="39F965D0" w14:textId="77777777" w:rsidR="00187B83" w:rsidRPr="00602F08" w:rsidRDefault="00187B83" w:rsidP="00B6212D">
      <w:pPr>
        <w:pStyle w:val="ListParagraph"/>
        <w:ind w:left="687"/>
        <w:jc w:val="both"/>
        <w:rPr>
          <w:rStyle w:val="normaltextrun"/>
          <w:rFonts w:ascii="Times New Roman" w:hAnsi="Times New Roman"/>
          <w:lang w:val="en-US"/>
        </w:rPr>
      </w:pPr>
    </w:p>
    <w:p w14:paraId="2FC3AE9C" w14:textId="77777777" w:rsidR="00187B83" w:rsidRPr="00602F08" w:rsidRDefault="00187B83" w:rsidP="00B6212D">
      <w:pPr>
        <w:pStyle w:val="ListParagraph"/>
        <w:ind w:left="1374" w:firstLine="33"/>
        <w:jc w:val="both"/>
        <w:rPr>
          <w:rStyle w:val="normaltextrun"/>
          <w:rFonts w:ascii="Times New Roman" w:hAnsi="Times New Roman"/>
          <w:lang w:val="en-US"/>
        </w:rPr>
      </w:pPr>
      <w:r w:rsidRPr="00602F08">
        <w:rPr>
          <w:rStyle w:val="normaltextrun"/>
          <w:rFonts w:ascii="Times New Roman" w:hAnsi="Times New Roman"/>
          <w:lang w:val="en-US"/>
        </w:rPr>
        <w:t>(2) A reference to a disabled person is a reference to a person who has a disability.</w:t>
      </w:r>
    </w:p>
    <w:p w14:paraId="010E6C8B" w14:textId="77777777" w:rsidR="00187B83" w:rsidRPr="00602F08" w:rsidRDefault="00187B83" w:rsidP="00B6212D">
      <w:pPr>
        <w:pStyle w:val="ListParagraph"/>
        <w:ind w:left="687"/>
        <w:jc w:val="both"/>
        <w:rPr>
          <w:rStyle w:val="normaltextrun"/>
          <w:rFonts w:ascii="Times New Roman" w:hAnsi="Times New Roman"/>
          <w:lang w:val="en-US"/>
        </w:rPr>
      </w:pPr>
    </w:p>
    <w:p w14:paraId="2166CA1E" w14:textId="77777777" w:rsidR="00187B83" w:rsidRPr="00602F08" w:rsidRDefault="00187B83" w:rsidP="00B6212D">
      <w:pPr>
        <w:ind w:left="621" w:firstLine="720"/>
        <w:jc w:val="both"/>
        <w:rPr>
          <w:rStyle w:val="normaltextrun"/>
          <w:lang w:val="en-US"/>
        </w:rPr>
      </w:pPr>
      <w:r w:rsidRPr="00602F08">
        <w:rPr>
          <w:rStyle w:val="normaltextrun"/>
          <w:lang w:val="en-US"/>
        </w:rPr>
        <w:t>(3) In relation to the protected characteristic of disability—</w:t>
      </w:r>
    </w:p>
    <w:p w14:paraId="7F64AE86" w14:textId="77777777" w:rsidR="00187B83" w:rsidRPr="00602F08" w:rsidRDefault="00187B83" w:rsidP="00B6212D">
      <w:pPr>
        <w:pStyle w:val="ListParagraph"/>
        <w:ind w:left="1341" w:firstLine="33"/>
        <w:jc w:val="both"/>
        <w:rPr>
          <w:rStyle w:val="normaltextrun"/>
          <w:rFonts w:ascii="Times New Roman" w:hAnsi="Times New Roman"/>
          <w:lang w:val="en-US"/>
        </w:rPr>
      </w:pPr>
      <w:r w:rsidRPr="00602F08">
        <w:rPr>
          <w:rStyle w:val="normaltextrun"/>
          <w:rFonts w:ascii="Times New Roman" w:hAnsi="Times New Roman"/>
          <w:lang w:val="en-US"/>
        </w:rPr>
        <w:t>(a) a reference to a person who has a particular protected characteristic is a reference to a person who has a particular disability;</w:t>
      </w:r>
    </w:p>
    <w:p w14:paraId="548836EA" w14:textId="77777777" w:rsidR="00187B83" w:rsidRPr="00602F08" w:rsidRDefault="00187B83" w:rsidP="00B6212D">
      <w:pPr>
        <w:pStyle w:val="ListParagraph"/>
        <w:ind w:left="1341" w:firstLine="33"/>
        <w:jc w:val="both"/>
        <w:rPr>
          <w:rStyle w:val="normaltextrun"/>
          <w:rFonts w:ascii="Times New Roman" w:hAnsi="Times New Roman"/>
          <w:lang w:val="en-US"/>
        </w:rPr>
      </w:pPr>
      <w:r w:rsidRPr="00602F08">
        <w:rPr>
          <w:rStyle w:val="normaltextrun"/>
          <w:rFonts w:ascii="Times New Roman" w:hAnsi="Times New Roman"/>
          <w:lang w:val="en-US"/>
        </w:rPr>
        <w:t>(b) a reference to persons who share a protected characteristic is a reference to persons who have the same disability.</w:t>
      </w:r>
    </w:p>
    <w:p w14:paraId="08AF845B" w14:textId="77777777" w:rsidR="00187B83" w:rsidRPr="00602F08" w:rsidRDefault="00187B83" w:rsidP="00B6212D">
      <w:pPr>
        <w:pStyle w:val="ListParagraph"/>
        <w:ind w:firstLine="621"/>
        <w:jc w:val="both"/>
        <w:rPr>
          <w:rStyle w:val="normaltextrun"/>
          <w:rFonts w:ascii="Times New Roman" w:hAnsi="Times New Roman"/>
          <w:lang w:val="en-US"/>
        </w:rPr>
      </w:pPr>
    </w:p>
    <w:p w14:paraId="50754643" w14:textId="77777777" w:rsidR="00187B83" w:rsidRPr="00602F08" w:rsidRDefault="00187B83" w:rsidP="00B6212D">
      <w:pPr>
        <w:ind w:left="720" w:firstLine="720"/>
        <w:jc w:val="both"/>
        <w:rPr>
          <w:rStyle w:val="normaltextrun"/>
          <w:lang w:val="en-US"/>
        </w:rPr>
      </w:pPr>
      <w:r w:rsidRPr="00602F08">
        <w:rPr>
          <w:rStyle w:val="normaltextrun"/>
          <w:lang w:val="en-US"/>
        </w:rPr>
        <w:t>….”</w:t>
      </w:r>
    </w:p>
    <w:p w14:paraId="3E1562D0" w14:textId="77777777" w:rsidR="00187B83" w:rsidRPr="00602F08" w:rsidRDefault="00187B83" w:rsidP="00B6212D">
      <w:pPr>
        <w:pStyle w:val="ListParagraph"/>
        <w:ind w:left="687"/>
        <w:jc w:val="both"/>
        <w:rPr>
          <w:rStyle w:val="normaltextrun"/>
          <w:rFonts w:ascii="Times New Roman" w:hAnsi="Times New Roman"/>
          <w:lang w:val="en-US"/>
        </w:rPr>
      </w:pPr>
    </w:p>
    <w:p w14:paraId="557CA3AC" w14:textId="49846615" w:rsidR="00187B83" w:rsidRPr="00602F08" w:rsidRDefault="00187B8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Section 15 of the </w:t>
      </w:r>
      <w:r w:rsidR="00CD49C4">
        <w:rPr>
          <w:rStyle w:val="normaltextrun"/>
          <w:rFonts w:ascii="Times New Roman" w:hAnsi="Times New Roman"/>
          <w:lang w:val="en-US"/>
        </w:rPr>
        <w:t>Equality</w:t>
      </w:r>
      <w:r w:rsidRPr="00602F08">
        <w:rPr>
          <w:rStyle w:val="normaltextrun"/>
          <w:rFonts w:ascii="Times New Roman" w:hAnsi="Times New Roman"/>
          <w:lang w:val="en-US"/>
        </w:rPr>
        <w:t xml:space="preserve"> Act addresses discrimination arising from disability:</w:t>
      </w:r>
    </w:p>
    <w:p w14:paraId="299FDCB8" w14:textId="77777777" w:rsidR="00187B83" w:rsidRPr="00602F08" w:rsidRDefault="00187B83" w:rsidP="00B6212D">
      <w:pPr>
        <w:jc w:val="both"/>
        <w:rPr>
          <w:rStyle w:val="normaltextrun"/>
          <w:lang w:val="en-US"/>
        </w:rPr>
      </w:pPr>
    </w:p>
    <w:p w14:paraId="74E35383" w14:textId="77777777" w:rsidR="00187B83" w:rsidRPr="00602F08" w:rsidRDefault="00187B83" w:rsidP="00B6212D">
      <w:pPr>
        <w:ind w:left="1374"/>
        <w:jc w:val="both"/>
        <w:rPr>
          <w:rStyle w:val="normaltextrun"/>
          <w:lang w:val="en-US"/>
        </w:rPr>
      </w:pPr>
      <w:r w:rsidRPr="00602F08">
        <w:rPr>
          <w:rStyle w:val="normaltextrun"/>
          <w:lang w:val="en-US"/>
        </w:rPr>
        <w:t>“(1) A person (A) discriminates against a disabled person (B) if—</w:t>
      </w:r>
    </w:p>
    <w:p w14:paraId="5007AC2B" w14:textId="77777777" w:rsidR="00187B83" w:rsidRPr="00602F08" w:rsidRDefault="00187B83" w:rsidP="00B6212D">
      <w:pPr>
        <w:pStyle w:val="ListParagraph"/>
        <w:ind w:left="2160" w:hanging="393"/>
        <w:jc w:val="both"/>
        <w:rPr>
          <w:rStyle w:val="normaltextrun"/>
          <w:rFonts w:ascii="Times New Roman" w:hAnsi="Times New Roman"/>
          <w:lang w:val="en-US"/>
        </w:rPr>
      </w:pPr>
      <w:r w:rsidRPr="00602F08">
        <w:rPr>
          <w:rStyle w:val="normaltextrun"/>
          <w:rFonts w:ascii="Times New Roman" w:hAnsi="Times New Roman"/>
          <w:lang w:val="en-US"/>
        </w:rPr>
        <w:t>(a)  A treats B unfavourably because of something arising in consequence of B's disability, and</w:t>
      </w:r>
    </w:p>
    <w:p w14:paraId="5164D6E5" w14:textId="77777777" w:rsidR="00187B83" w:rsidRPr="00602F08" w:rsidRDefault="00187B83" w:rsidP="00B6212D">
      <w:pPr>
        <w:pStyle w:val="ListParagraph"/>
        <w:ind w:left="2160" w:hanging="393"/>
        <w:jc w:val="both"/>
        <w:rPr>
          <w:rStyle w:val="normaltextrun"/>
          <w:rFonts w:ascii="Times New Roman" w:hAnsi="Times New Roman"/>
          <w:lang w:val="en-US"/>
        </w:rPr>
      </w:pPr>
      <w:r w:rsidRPr="00602F08">
        <w:rPr>
          <w:rStyle w:val="normaltextrun"/>
          <w:rFonts w:ascii="Times New Roman" w:hAnsi="Times New Roman"/>
          <w:lang w:val="en-US"/>
        </w:rPr>
        <w:t>(b)</w:t>
      </w:r>
      <w:r w:rsidRPr="00602F08">
        <w:rPr>
          <w:rStyle w:val="normaltextrun"/>
          <w:rFonts w:ascii="Times New Roman" w:hAnsi="Times New Roman"/>
          <w:lang w:val="en-US"/>
        </w:rPr>
        <w:tab/>
        <w:t>A cannot show that the treatment is a proportionate means of achieving a legitimate aim.</w:t>
      </w:r>
    </w:p>
    <w:p w14:paraId="2494F0E6" w14:textId="77777777" w:rsidR="00187B83" w:rsidRPr="00602F08" w:rsidRDefault="00187B83" w:rsidP="00B6212D">
      <w:pPr>
        <w:jc w:val="both"/>
        <w:rPr>
          <w:rStyle w:val="normaltextrun"/>
          <w:lang w:val="en-US"/>
        </w:rPr>
      </w:pPr>
    </w:p>
    <w:p w14:paraId="00EA7C01" w14:textId="77777777" w:rsidR="00187B83" w:rsidRPr="00602F08" w:rsidRDefault="00187B83" w:rsidP="00B6212D">
      <w:pPr>
        <w:pStyle w:val="ListParagraph"/>
        <w:numPr>
          <w:ilvl w:val="0"/>
          <w:numId w:val="16"/>
        </w:numPr>
        <w:jc w:val="both"/>
        <w:rPr>
          <w:rStyle w:val="normaltextrun"/>
          <w:rFonts w:ascii="Times New Roman" w:hAnsi="Times New Roman"/>
          <w:lang w:val="en-US"/>
        </w:rPr>
      </w:pPr>
      <w:r w:rsidRPr="00602F08">
        <w:rPr>
          <w:rStyle w:val="normaltextrun"/>
          <w:rFonts w:ascii="Times New Roman" w:hAnsi="Times New Roman"/>
          <w:lang w:val="en-US"/>
        </w:rPr>
        <w:t>Subsection (1) does not apply if A shows that A did not know, and could not reasonably have been expected to know, that B had the disability.”</w:t>
      </w:r>
    </w:p>
    <w:p w14:paraId="3EA3DAAD" w14:textId="77777777" w:rsidR="00187B83" w:rsidRPr="00602F08" w:rsidRDefault="00187B83" w:rsidP="00B6212D">
      <w:pPr>
        <w:jc w:val="both"/>
        <w:rPr>
          <w:rStyle w:val="normaltextrun"/>
          <w:lang w:val="en-US"/>
        </w:rPr>
      </w:pPr>
    </w:p>
    <w:p w14:paraId="2F08EE0D" w14:textId="3815146B" w:rsidR="00187B83" w:rsidRPr="00602F08" w:rsidRDefault="00187B8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Indirect discrimination is addressed by section 19 of the </w:t>
      </w:r>
      <w:r w:rsidR="00CD49C4">
        <w:rPr>
          <w:rStyle w:val="normaltextrun"/>
          <w:rFonts w:ascii="Times New Roman" w:hAnsi="Times New Roman"/>
          <w:lang w:val="en-US"/>
        </w:rPr>
        <w:t>Equality</w:t>
      </w:r>
      <w:r w:rsidRPr="00602F08">
        <w:rPr>
          <w:rStyle w:val="normaltextrun"/>
          <w:rFonts w:ascii="Times New Roman" w:hAnsi="Times New Roman"/>
          <w:lang w:val="en-US"/>
        </w:rPr>
        <w:t xml:space="preserve"> Act in these terms:</w:t>
      </w:r>
    </w:p>
    <w:p w14:paraId="04A12771" w14:textId="77777777" w:rsidR="00187B83" w:rsidRPr="00602F08" w:rsidRDefault="00187B83" w:rsidP="00B6212D">
      <w:pPr>
        <w:jc w:val="both"/>
        <w:rPr>
          <w:rStyle w:val="normaltextrun"/>
          <w:lang w:val="en-US"/>
        </w:rPr>
      </w:pPr>
    </w:p>
    <w:p w14:paraId="3572CECD" w14:textId="77777777" w:rsidR="00187B83" w:rsidRPr="00602F08" w:rsidRDefault="00187B83" w:rsidP="00B6212D">
      <w:pPr>
        <w:ind w:left="1440"/>
        <w:jc w:val="both"/>
        <w:rPr>
          <w:rStyle w:val="normaltextrun"/>
          <w:lang w:val="en-US"/>
        </w:rPr>
      </w:pPr>
      <w:r w:rsidRPr="00602F08">
        <w:rPr>
          <w:rStyle w:val="normaltextrun"/>
          <w:lang w:val="en-US"/>
        </w:rPr>
        <w:t>“(1) A person (A) discriminates against another (B) if A applies to B a provision, criterion or practice which is discriminatory in relation to a relevant protected characteristic of B's.</w:t>
      </w:r>
    </w:p>
    <w:p w14:paraId="10746385" w14:textId="77777777" w:rsidR="00187B83" w:rsidRPr="00602F08" w:rsidRDefault="00187B83" w:rsidP="00B6212D">
      <w:pPr>
        <w:pStyle w:val="ListParagraph"/>
        <w:ind w:left="1800"/>
        <w:jc w:val="both"/>
        <w:rPr>
          <w:rStyle w:val="normaltextrun"/>
          <w:rFonts w:ascii="Times New Roman" w:hAnsi="Times New Roman"/>
          <w:lang w:val="en-US"/>
        </w:rPr>
      </w:pPr>
    </w:p>
    <w:p w14:paraId="5C1A9F03" w14:textId="77777777" w:rsidR="00187B83" w:rsidRPr="00602F08" w:rsidRDefault="00187B83" w:rsidP="00B6212D">
      <w:pPr>
        <w:ind w:left="1440"/>
        <w:jc w:val="both"/>
        <w:rPr>
          <w:rStyle w:val="normaltextrun"/>
          <w:lang w:val="en-US"/>
        </w:rPr>
      </w:pPr>
      <w:r w:rsidRPr="00602F08">
        <w:rPr>
          <w:rStyle w:val="normaltextrun"/>
          <w:lang w:val="en-US"/>
        </w:rPr>
        <w:t>(2) For the purposes of subsection (1), a provision, criterion or practice is discriminatory in relation to a relevant protected characteristic of B's if—</w:t>
      </w:r>
    </w:p>
    <w:p w14:paraId="04530AB0" w14:textId="77777777" w:rsidR="00187B83" w:rsidRPr="00602F08" w:rsidRDefault="00187B83" w:rsidP="00B6212D">
      <w:pPr>
        <w:ind w:left="1440"/>
        <w:jc w:val="both"/>
        <w:rPr>
          <w:rStyle w:val="normaltextrun"/>
          <w:lang w:val="en-US"/>
        </w:rPr>
      </w:pPr>
      <w:r w:rsidRPr="00602F08">
        <w:rPr>
          <w:rStyle w:val="normaltextrun"/>
          <w:lang w:val="en-US"/>
        </w:rPr>
        <w:t>(a) A applies, or would apply, it to persons with whom B does not share the characteristic,</w:t>
      </w:r>
    </w:p>
    <w:p w14:paraId="00CDB831" w14:textId="77777777" w:rsidR="00187B83" w:rsidRPr="00602F08" w:rsidRDefault="00187B83" w:rsidP="00B6212D">
      <w:pPr>
        <w:ind w:left="1440"/>
        <w:jc w:val="both"/>
        <w:rPr>
          <w:rStyle w:val="normaltextrun"/>
          <w:lang w:val="en-US"/>
        </w:rPr>
      </w:pPr>
      <w:r w:rsidRPr="00602F08">
        <w:rPr>
          <w:rStyle w:val="normaltextrun"/>
          <w:lang w:val="en-US"/>
        </w:rPr>
        <w:t>(b) it puts, or would put, persons with whom B shares the characteristic at a particular disadvantage when compared with persons with whom B does not share it,</w:t>
      </w:r>
    </w:p>
    <w:p w14:paraId="6F1FD064" w14:textId="77777777" w:rsidR="00187B83" w:rsidRPr="00602F08" w:rsidRDefault="00187B83" w:rsidP="00B6212D">
      <w:pPr>
        <w:ind w:left="1440"/>
        <w:jc w:val="both"/>
        <w:rPr>
          <w:rStyle w:val="normaltextrun"/>
          <w:lang w:val="en-US"/>
        </w:rPr>
      </w:pPr>
      <w:r w:rsidRPr="00602F08">
        <w:rPr>
          <w:rStyle w:val="normaltextrun"/>
          <w:lang w:val="en-US"/>
        </w:rPr>
        <w:t>(c) it puts, or would put, B at that disadvantage, and</w:t>
      </w:r>
    </w:p>
    <w:p w14:paraId="328A8D0F" w14:textId="77777777" w:rsidR="00187B83" w:rsidRPr="00602F08" w:rsidRDefault="00187B83" w:rsidP="00B6212D">
      <w:pPr>
        <w:ind w:left="1440"/>
        <w:jc w:val="both"/>
        <w:rPr>
          <w:rStyle w:val="normaltextrun"/>
          <w:lang w:val="en-US"/>
        </w:rPr>
      </w:pPr>
      <w:r w:rsidRPr="00602F08">
        <w:rPr>
          <w:rStyle w:val="normaltextrun"/>
          <w:lang w:val="en-US"/>
        </w:rPr>
        <w:t>(d) A cannot show it to be a proportionate means of achieving a legitimate aim.</w:t>
      </w:r>
    </w:p>
    <w:p w14:paraId="085239B7" w14:textId="77777777" w:rsidR="00187B83" w:rsidRPr="00602F08" w:rsidRDefault="00187B83" w:rsidP="00B6212D">
      <w:pPr>
        <w:ind w:left="720" w:firstLine="720"/>
        <w:jc w:val="both"/>
        <w:rPr>
          <w:rStyle w:val="normaltextrun"/>
          <w:lang w:val="en-US"/>
        </w:rPr>
      </w:pPr>
    </w:p>
    <w:p w14:paraId="557CDCF9" w14:textId="77777777" w:rsidR="00187B83" w:rsidRPr="00602F08" w:rsidRDefault="00187B83" w:rsidP="00B6212D">
      <w:pPr>
        <w:ind w:left="720" w:firstLine="720"/>
        <w:jc w:val="both"/>
        <w:rPr>
          <w:rStyle w:val="normaltextrun"/>
          <w:lang w:val="en-US"/>
        </w:rPr>
      </w:pPr>
      <w:r w:rsidRPr="00602F08">
        <w:rPr>
          <w:rStyle w:val="normaltextrun"/>
          <w:lang w:val="en-US"/>
        </w:rPr>
        <w:t>(3) The relevant protected characteristics are—</w:t>
      </w:r>
    </w:p>
    <w:p w14:paraId="32361ED7" w14:textId="77777777" w:rsidR="00187B83" w:rsidRPr="00602F08" w:rsidRDefault="00187B83" w:rsidP="00B6212D">
      <w:pPr>
        <w:ind w:left="720" w:firstLine="720"/>
        <w:jc w:val="both"/>
        <w:rPr>
          <w:rStyle w:val="normaltextrun"/>
          <w:lang w:val="en-US"/>
        </w:rPr>
      </w:pPr>
      <w:r w:rsidRPr="00602F08">
        <w:rPr>
          <w:rStyle w:val="normaltextrun"/>
          <w:lang w:val="en-US"/>
        </w:rPr>
        <w:t>…</w:t>
      </w:r>
    </w:p>
    <w:p w14:paraId="6149E489" w14:textId="77777777" w:rsidR="00187B83" w:rsidRPr="00602F08" w:rsidRDefault="00187B83" w:rsidP="00B6212D">
      <w:pPr>
        <w:ind w:left="720" w:firstLine="720"/>
        <w:jc w:val="both"/>
        <w:rPr>
          <w:rStyle w:val="normaltextrun"/>
          <w:lang w:val="en-US"/>
        </w:rPr>
      </w:pPr>
      <w:r w:rsidRPr="00602F08">
        <w:rPr>
          <w:rStyle w:val="normaltextrun"/>
          <w:lang w:val="en-US"/>
        </w:rPr>
        <w:t>disability;</w:t>
      </w:r>
    </w:p>
    <w:p w14:paraId="6AD15214" w14:textId="77777777" w:rsidR="00187B83" w:rsidRPr="00602F08" w:rsidRDefault="00187B83" w:rsidP="00B6212D">
      <w:pPr>
        <w:ind w:left="720" w:firstLine="720"/>
        <w:jc w:val="both"/>
        <w:rPr>
          <w:rStyle w:val="normaltextrun"/>
          <w:lang w:val="en-US"/>
        </w:rPr>
      </w:pPr>
      <w:r w:rsidRPr="00602F08">
        <w:rPr>
          <w:rStyle w:val="normaltextrun"/>
          <w:lang w:val="en-US"/>
        </w:rPr>
        <w:t>…”</w:t>
      </w:r>
    </w:p>
    <w:p w14:paraId="7B46C232" w14:textId="77777777" w:rsidR="00187B83" w:rsidRPr="00602F08" w:rsidRDefault="00187B83" w:rsidP="00B6212D">
      <w:pPr>
        <w:jc w:val="both"/>
        <w:rPr>
          <w:rStyle w:val="normaltextrun"/>
          <w:lang w:val="en-US"/>
        </w:rPr>
      </w:pPr>
    </w:p>
    <w:p w14:paraId="6494FEF5" w14:textId="42FC9543" w:rsidR="00187B83" w:rsidRPr="00602F08" w:rsidRDefault="00187B8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Section 20 of the </w:t>
      </w:r>
      <w:r w:rsidR="00CD49C4">
        <w:rPr>
          <w:rStyle w:val="normaltextrun"/>
          <w:rFonts w:ascii="Times New Roman" w:hAnsi="Times New Roman"/>
          <w:lang w:val="en-US"/>
        </w:rPr>
        <w:t xml:space="preserve">Equality </w:t>
      </w:r>
      <w:r w:rsidRPr="00602F08">
        <w:rPr>
          <w:rStyle w:val="normaltextrun"/>
          <w:rFonts w:ascii="Times New Roman" w:hAnsi="Times New Roman"/>
          <w:lang w:val="en-US"/>
        </w:rPr>
        <w:t>Act addresses the duty to make reasonable adjustments:</w:t>
      </w:r>
    </w:p>
    <w:p w14:paraId="4305F484" w14:textId="77777777" w:rsidR="00187B83" w:rsidRPr="00602F08" w:rsidRDefault="00187B83" w:rsidP="00B6212D">
      <w:pPr>
        <w:jc w:val="both"/>
        <w:rPr>
          <w:rStyle w:val="normaltextrun"/>
          <w:lang w:val="en-US"/>
        </w:rPr>
      </w:pPr>
    </w:p>
    <w:p w14:paraId="56823AED" w14:textId="77777777" w:rsidR="00187B83" w:rsidRPr="00602F08" w:rsidRDefault="00187B83" w:rsidP="00B6212D">
      <w:pPr>
        <w:pStyle w:val="ListParagraph"/>
        <w:ind w:left="1440" w:hanging="33"/>
        <w:jc w:val="both"/>
        <w:rPr>
          <w:rStyle w:val="normaltextrun"/>
          <w:rFonts w:ascii="Times New Roman" w:hAnsi="Times New Roman"/>
          <w:lang w:val="en-US"/>
        </w:rPr>
      </w:pPr>
      <w:r w:rsidRPr="00602F08">
        <w:rPr>
          <w:rStyle w:val="normaltextrun"/>
          <w:rFonts w:ascii="Times New Roman" w:hAnsi="Times New Roman"/>
          <w:lang w:val="en-US"/>
        </w:rPr>
        <w:t>“(1) Where this Act imposes a duty to make reasonable adjustments on a person, this section, sections 21 and 22 and the applicable Schedule apply; and for those purposes, a person on whom the duty is imposed is referred to as A.</w:t>
      </w:r>
    </w:p>
    <w:p w14:paraId="5D1B812B" w14:textId="77777777" w:rsidR="00187B83" w:rsidRPr="00602F08" w:rsidRDefault="00187B83" w:rsidP="00B6212D">
      <w:pPr>
        <w:pStyle w:val="ListParagraph"/>
        <w:ind w:left="1374" w:firstLine="33"/>
        <w:jc w:val="both"/>
        <w:rPr>
          <w:rStyle w:val="normaltextrun"/>
          <w:rFonts w:ascii="Times New Roman" w:hAnsi="Times New Roman"/>
          <w:lang w:val="en-US"/>
        </w:rPr>
      </w:pPr>
    </w:p>
    <w:p w14:paraId="03373E1E" w14:textId="77777777" w:rsidR="00187B83" w:rsidRPr="00602F08" w:rsidRDefault="00187B83" w:rsidP="00B6212D">
      <w:pPr>
        <w:pStyle w:val="ListParagraph"/>
        <w:ind w:left="1374" w:firstLine="33"/>
        <w:jc w:val="both"/>
        <w:rPr>
          <w:rStyle w:val="normaltextrun"/>
          <w:rFonts w:ascii="Times New Roman" w:hAnsi="Times New Roman"/>
          <w:lang w:val="en-US"/>
        </w:rPr>
      </w:pPr>
      <w:r w:rsidRPr="00602F08">
        <w:rPr>
          <w:rStyle w:val="normaltextrun"/>
          <w:rFonts w:ascii="Times New Roman" w:hAnsi="Times New Roman"/>
          <w:lang w:val="en-US"/>
        </w:rPr>
        <w:t>(2) The duty comprises the following three requirements.</w:t>
      </w:r>
    </w:p>
    <w:p w14:paraId="7956C329" w14:textId="77777777" w:rsidR="00187B83" w:rsidRPr="00602F08" w:rsidRDefault="00187B83" w:rsidP="00B6212D">
      <w:pPr>
        <w:pStyle w:val="ListParagraph"/>
        <w:ind w:left="1440" w:hanging="66"/>
        <w:jc w:val="both"/>
        <w:rPr>
          <w:rStyle w:val="normaltextrun"/>
          <w:rFonts w:ascii="Times New Roman" w:hAnsi="Times New Roman"/>
          <w:lang w:val="en-US"/>
        </w:rPr>
      </w:pPr>
      <w:r w:rsidRPr="00602F08">
        <w:rPr>
          <w:rStyle w:val="normaltextrun"/>
          <w:rFonts w:ascii="Times New Roman" w:hAnsi="Times New Roman"/>
          <w:lang w:val="en-US"/>
        </w:rPr>
        <w:t xml:space="preserve"> </w:t>
      </w:r>
    </w:p>
    <w:p w14:paraId="1089F9EE" w14:textId="77777777" w:rsidR="00187B83" w:rsidRPr="00602F08" w:rsidRDefault="00187B83"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(3) 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disadvantage.</w:t>
      </w:r>
    </w:p>
    <w:p w14:paraId="1845D796" w14:textId="77777777" w:rsidR="00187B83" w:rsidRPr="00602F08" w:rsidRDefault="00187B83" w:rsidP="00B6212D">
      <w:pPr>
        <w:pStyle w:val="ListParagraph"/>
        <w:ind w:left="1440"/>
        <w:jc w:val="both"/>
        <w:rPr>
          <w:rStyle w:val="normaltextrun"/>
          <w:rFonts w:ascii="Times New Roman" w:hAnsi="Times New Roman"/>
          <w:lang w:val="en-US"/>
        </w:rPr>
      </w:pPr>
    </w:p>
    <w:p w14:paraId="4A6C4AD7" w14:textId="77777777" w:rsidR="00187B83" w:rsidRPr="00602F08" w:rsidRDefault="00187B83"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(4) The second requirement is a requirement, where a physical feature puts a disabled person at a substantial disadvantage in relation to a relevant matter in comparison with persons who are not disabled, to take such steps as it is reasonable to have to take to avoid the disadvantage.</w:t>
      </w:r>
    </w:p>
    <w:p w14:paraId="37800089" w14:textId="77777777" w:rsidR="00187B83" w:rsidRPr="00602F08" w:rsidRDefault="00187B83" w:rsidP="00B6212D">
      <w:pPr>
        <w:pStyle w:val="ListParagraph"/>
        <w:ind w:left="1440"/>
        <w:jc w:val="both"/>
        <w:rPr>
          <w:rStyle w:val="normaltextrun"/>
          <w:rFonts w:ascii="Times New Roman" w:hAnsi="Times New Roman"/>
          <w:lang w:val="en-US"/>
        </w:rPr>
      </w:pPr>
    </w:p>
    <w:p w14:paraId="44A146DC" w14:textId="77777777" w:rsidR="00187B83" w:rsidRPr="00602F08" w:rsidRDefault="00187B83" w:rsidP="00B6212D">
      <w:pPr>
        <w:pStyle w:val="ListParagraph"/>
        <w:ind w:left="1440"/>
        <w:jc w:val="both"/>
        <w:rPr>
          <w:rStyle w:val="normaltextrun"/>
          <w:rFonts w:ascii="Times New Roman" w:hAnsi="Times New Roman"/>
          <w:lang w:val="en-US"/>
        </w:rPr>
      </w:pPr>
      <w:r w:rsidRPr="00602F08">
        <w:rPr>
          <w:rStyle w:val="normaltextrun"/>
          <w:rFonts w:ascii="Times New Roman" w:hAnsi="Times New Roman"/>
          <w:lang w:val="en-US"/>
        </w:rPr>
        <w:t>(5) The third requirement is a requirement, where a disabled person would, but for the provision of an auxiliary aid, be put at a substantial disadvantage in relation to a relevant matter in comparison with persons who are not disabled, to take such steps as it is reasonable to have to take to provide the auxiliary aid.</w:t>
      </w:r>
    </w:p>
    <w:p w14:paraId="7A283D83" w14:textId="77777777" w:rsidR="00187B83" w:rsidRPr="00602F08" w:rsidRDefault="00187B83" w:rsidP="00B6212D">
      <w:pPr>
        <w:pStyle w:val="ListParagraph"/>
        <w:ind w:left="1440" w:hanging="66"/>
        <w:jc w:val="both"/>
        <w:rPr>
          <w:rStyle w:val="normaltextrun"/>
          <w:rFonts w:ascii="Times New Roman" w:hAnsi="Times New Roman"/>
          <w:lang w:val="en-US"/>
        </w:rPr>
      </w:pPr>
      <w:r w:rsidRPr="00602F08">
        <w:rPr>
          <w:rStyle w:val="normaltextrun"/>
          <w:rFonts w:ascii="Times New Roman" w:hAnsi="Times New Roman"/>
          <w:lang w:val="en-US"/>
        </w:rPr>
        <w:t xml:space="preserve"> </w:t>
      </w:r>
    </w:p>
    <w:p w14:paraId="74CCB163" w14:textId="77777777" w:rsidR="00187B83" w:rsidRPr="00602F08" w:rsidRDefault="00187B83" w:rsidP="00B6212D">
      <w:pPr>
        <w:pStyle w:val="ListParagraph"/>
        <w:ind w:left="1440" w:hanging="66"/>
        <w:jc w:val="both"/>
        <w:rPr>
          <w:rStyle w:val="normaltextrun"/>
          <w:rFonts w:ascii="Times New Roman" w:hAnsi="Times New Roman"/>
          <w:lang w:val="en-US"/>
        </w:rPr>
      </w:pPr>
      <w:r w:rsidRPr="00602F08">
        <w:rPr>
          <w:rStyle w:val="normaltextrun"/>
          <w:rFonts w:ascii="Times New Roman" w:hAnsi="Times New Roman"/>
          <w:lang w:val="en-US"/>
        </w:rPr>
        <w:t xml:space="preserve"> (6) Where the first or third requirement relates to the provision of information, the steps which it is reasonable for A to have to take include steps for ensuring that in the circumstances concerned the information is provided in an accessible format.</w:t>
      </w:r>
    </w:p>
    <w:p w14:paraId="6BBE2B42" w14:textId="77777777" w:rsidR="00187B83" w:rsidRPr="00602F08" w:rsidRDefault="00187B83" w:rsidP="00B6212D">
      <w:pPr>
        <w:pStyle w:val="ListParagraph"/>
        <w:ind w:left="1440" w:hanging="66"/>
        <w:jc w:val="both"/>
        <w:rPr>
          <w:rStyle w:val="normaltextrun"/>
          <w:rFonts w:ascii="Times New Roman" w:hAnsi="Times New Roman"/>
          <w:lang w:val="en-US"/>
        </w:rPr>
      </w:pPr>
    </w:p>
    <w:p w14:paraId="798E6C66" w14:textId="77777777" w:rsidR="00187B83" w:rsidRPr="00602F08" w:rsidRDefault="00187B83" w:rsidP="00B6212D">
      <w:pPr>
        <w:pStyle w:val="ListParagraph"/>
        <w:ind w:left="1440" w:hanging="66"/>
        <w:jc w:val="both"/>
        <w:rPr>
          <w:rStyle w:val="normaltextrun"/>
          <w:rFonts w:ascii="Times New Roman" w:hAnsi="Times New Roman"/>
          <w:lang w:val="en-US"/>
        </w:rPr>
      </w:pPr>
      <w:r w:rsidRPr="00602F08">
        <w:rPr>
          <w:rStyle w:val="normaltextrun"/>
          <w:rFonts w:ascii="Times New Roman" w:hAnsi="Times New Roman"/>
          <w:lang w:val="en-US"/>
        </w:rPr>
        <w:t xml:space="preserve"> …</w:t>
      </w:r>
    </w:p>
    <w:p w14:paraId="67E174C5" w14:textId="77777777" w:rsidR="00187B83" w:rsidRPr="00602F08" w:rsidRDefault="00187B83" w:rsidP="00B6212D">
      <w:pPr>
        <w:pStyle w:val="ListParagraph"/>
        <w:ind w:left="1440" w:hanging="66"/>
        <w:jc w:val="both"/>
        <w:rPr>
          <w:rStyle w:val="normaltextrun"/>
          <w:rFonts w:ascii="Times New Roman" w:hAnsi="Times New Roman"/>
          <w:lang w:val="en-US"/>
        </w:rPr>
      </w:pPr>
      <w:r w:rsidRPr="00602F08">
        <w:rPr>
          <w:rStyle w:val="normaltextrun"/>
          <w:rFonts w:ascii="Times New Roman" w:hAnsi="Times New Roman"/>
          <w:lang w:val="en-US"/>
        </w:rPr>
        <w:t xml:space="preserve"> </w:t>
      </w:r>
    </w:p>
    <w:p w14:paraId="4F49A32D" w14:textId="77777777" w:rsidR="00187B83" w:rsidRPr="00602F08" w:rsidRDefault="00187B83" w:rsidP="00B6212D">
      <w:pPr>
        <w:pStyle w:val="ListParagraph"/>
        <w:ind w:left="1440" w:hanging="66"/>
        <w:jc w:val="both"/>
        <w:rPr>
          <w:rStyle w:val="normaltextrun"/>
          <w:rFonts w:ascii="Times New Roman" w:hAnsi="Times New Roman"/>
          <w:lang w:val="en-US"/>
        </w:rPr>
      </w:pPr>
      <w:r w:rsidRPr="00602F08">
        <w:rPr>
          <w:rStyle w:val="normaltextrun"/>
          <w:rFonts w:ascii="Times New Roman" w:hAnsi="Times New Roman"/>
          <w:lang w:val="en-US"/>
        </w:rPr>
        <w:t xml:space="preserve"> (8) A reference in section 21 … to the first, second or third requirement is to be construed in accordance with this section.</w:t>
      </w:r>
    </w:p>
    <w:p w14:paraId="5705C79E" w14:textId="77777777" w:rsidR="00187B83" w:rsidRPr="00602F08" w:rsidRDefault="00187B83" w:rsidP="00B6212D">
      <w:pPr>
        <w:pStyle w:val="ListParagraph"/>
        <w:ind w:left="1440" w:hanging="66"/>
        <w:jc w:val="both"/>
        <w:rPr>
          <w:rStyle w:val="normaltextrun"/>
          <w:rFonts w:ascii="Times New Roman" w:hAnsi="Times New Roman"/>
          <w:lang w:val="en-US"/>
        </w:rPr>
      </w:pPr>
      <w:r w:rsidRPr="00602F08">
        <w:rPr>
          <w:rStyle w:val="normaltextrun"/>
          <w:rFonts w:ascii="Times New Roman" w:hAnsi="Times New Roman"/>
          <w:lang w:val="en-US"/>
        </w:rPr>
        <w:t xml:space="preserve"> </w:t>
      </w:r>
    </w:p>
    <w:p w14:paraId="13C7E32D" w14:textId="77777777" w:rsidR="00187B83" w:rsidRPr="00602F08" w:rsidRDefault="00187B83" w:rsidP="00B6212D">
      <w:pPr>
        <w:pStyle w:val="ListParagraph"/>
        <w:ind w:left="1440" w:hanging="66"/>
        <w:jc w:val="both"/>
        <w:rPr>
          <w:rStyle w:val="normaltextrun"/>
          <w:rFonts w:ascii="Times New Roman" w:hAnsi="Times New Roman"/>
          <w:lang w:val="en-US"/>
        </w:rPr>
      </w:pPr>
      <w:r w:rsidRPr="00602F08">
        <w:rPr>
          <w:rStyle w:val="normaltextrun"/>
          <w:rFonts w:ascii="Times New Roman" w:hAnsi="Times New Roman"/>
          <w:lang w:val="en-US"/>
        </w:rPr>
        <w:t xml:space="preserve"> (9) In relation to the second requirement, a reference in this section … to avoiding a substantial disadvantage includes a reference to—</w:t>
      </w:r>
    </w:p>
    <w:p w14:paraId="7662E29A" w14:textId="77777777" w:rsidR="00187B83" w:rsidRPr="00602F08" w:rsidRDefault="00187B83" w:rsidP="00B6212D">
      <w:pPr>
        <w:pStyle w:val="ListParagraph"/>
        <w:ind w:left="1440" w:hanging="66"/>
        <w:jc w:val="both"/>
        <w:rPr>
          <w:rStyle w:val="normaltextrun"/>
          <w:rFonts w:ascii="Times New Roman" w:hAnsi="Times New Roman"/>
          <w:lang w:val="en-US"/>
        </w:rPr>
      </w:pPr>
      <w:r w:rsidRPr="00602F08">
        <w:rPr>
          <w:rStyle w:val="normaltextrun"/>
          <w:rFonts w:ascii="Times New Roman" w:hAnsi="Times New Roman"/>
          <w:lang w:val="en-US"/>
        </w:rPr>
        <w:t xml:space="preserve"> </w:t>
      </w:r>
      <w:r w:rsidRPr="00602F08">
        <w:rPr>
          <w:rStyle w:val="normaltextrun"/>
          <w:rFonts w:ascii="Times New Roman" w:hAnsi="Times New Roman"/>
          <w:lang w:val="en-US"/>
        </w:rPr>
        <w:tab/>
      </w:r>
      <w:r w:rsidRPr="00602F08">
        <w:rPr>
          <w:rStyle w:val="normaltextrun"/>
          <w:rFonts w:ascii="Times New Roman" w:hAnsi="Times New Roman"/>
          <w:lang w:val="en-US"/>
        </w:rPr>
        <w:tab/>
        <w:t>(a) removing the physical feature in question,</w:t>
      </w:r>
    </w:p>
    <w:p w14:paraId="4A9C230F" w14:textId="77777777" w:rsidR="00187B83" w:rsidRPr="00602F08" w:rsidRDefault="00187B83" w:rsidP="00B6212D">
      <w:pPr>
        <w:pStyle w:val="ListParagraph"/>
        <w:ind w:left="2061" w:firstLine="99"/>
        <w:jc w:val="both"/>
        <w:rPr>
          <w:rStyle w:val="normaltextrun"/>
          <w:rFonts w:ascii="Times New Roman" w:hAnsi="Times New Roman"/>
          <w:lang w:val="en-US"/>
        </w:rPr>
      </w:pPr>
      <w:r w:rsidRPr="00602F08">
        <w:rPr>
          <w:rStyle w:val="normaltextrun"/>
          <w:rFonts w:ascii="Times New Roman" w:hAnsi="Times New Roman"/>
          <w:lang w:val="en-US"/>
        </w:rPr>
        <w:t>(b) altering it, or</w:t>
      </w:r>
    </w:p>
    <w:p w14:paraId="62F9CCB1" w14:textId="77777777" w:rsidR="00187B83" w:rsidRPr="00602F08" w:rsidRDefault="00187B83" w:rsidP="00B6212D">
      <w:pPr>
        <w:pStyle w:val="ListParagraph"/>
        <w:ind w:left="1929" w:firstLine="231"/>
        <w:jc w:val="both"/>
        <w:rPr>
          <w:rStyle w:val="normaltextrun"/>
          <w:rFonts w:ascii="Times New Roman" w:hAnsi="Times New Roman"/>
          <w:lang w:val="en-US"/>
        </w:rPr>
      </w:pPr>
      <w:r w:rsidRPr="00602F08">
        <w:rPr>
          <w:rStyle w:val="normaltextrun"/>
          <w:rFonts w:ascii="Times New Roman" w:hAnsi="Times New Roman"/>
          <w:lang w:val="en-US"/>
        </w:rPr>
        <w:t>(c) providing a reasonable means of avoiding it.</w:t>
      </w:r>
    </w:p>
    <w:p w14:paraId="242E7EC4" w14:textId="77777777" w:rsidR="00187B83" w:rsidRPr="00602F08" w:rsidRDefault="00187B83" w:rsidP="00B6212D">
      <w:pPr>
        <w:pStyle w:val="ListParagraph"/>
        <w:ind w:left="1440" w:hanging="132"/>
        <w:jc w:val="both"/>
        <w:rPr>
          <w:rStyle w:val="normaltextrun"/>
          <w:rFonts w:ascii="Times New Roman" w:hAnsi="Times New Roman"/>
          <w:lang w:val="en-US"/>
        </w:rPr>
      </w:pPr>
      <w:r w:rsidRPr="00602F08">
        <w:rPr>
          <w:rStyle w:val="normaltextrun"/>
          <w:rFonts w:ascii="Times New Roman" w:hAnsi="Times New Roman"/>
          <w:lang w:val="en-US"/>
        </w:rPr>
        <w:t xml:space="preserve">  </w:t>
      </w:r>
    </w:p>
    <w:p w14:paraId="26C1DE3A" w14:textId="77777777" w:rsidR="00187B83" w:rsidRPr="00602F08" w:rsidRDefault="00187B83" w:rsidP="00B6212D">
      <w:pPr>
        <w:pStyle w:val="ListParagraph"/>
        <w:ind w:left="1440" w:hanging="132"/>
        <w:jc w:val="both"/>
        <w:rPr>
          <w:rStyle w:val="normaltextrun"/>
          <w:rFonts w:ascii="Times New Roman" w:hAnsi="Times New Roman"/>
          <w:lang w:val="en-US"/>
        </w:rPr>
      </w:pPr>
      <w:r w:rsidRPr="00602F08">
        <w:rPr>
          <w:rStyle w:val="normaltextrun"/>
          <w:rFonts w:ascii="Times New Roman" w:hAnsi="Times New Roman"/>
          <w:lang w:val="en-US"/>
        </w:rPr>
        <w:t xml:space="preserve">  (10) A reference in this section, section 21 … to a physical feature is a reference to—</w:t>
      </w:r>
    </w:p>
    <w:p w14:paraId="7677134F" w14:textId="77777777" w:rsidR="00187B83" w:rsidRPr="00602F08" w:rsidRDefault="00187B83" w:rsidP="00B6212D">
      <w:pPr>
        <w:pStyle w:val="ListParagraph"/>
        <w:ind w:left="1995" w:firstLine="165"/>
        <w:jc w:val="both"/>
        <w:rPr>
          <w:rStyle w:val="normaltextrun"/>
          <w:rFonts w:ascii="Times New Roman" w:hAnsi="Times New Roman"/>
          <w:lang w:val="en-US"/>
        </w:rPr>
      </w:pPr>
      <w:r w:rsidRPr="00602F08">
        <w:rPr>
          <w:rStyle w:val="normaltextrun"/>
          <w:rFonts w:ascii="Times New Roman" w:hAnsi="Times New Roman"/>
          <w:lang w:val="en-US"/>
        </w:rPr>
        <w:t>(a) a feature arising from the design or construction of a building,</w:t>
      </w:r>
    </w:p>
    <w:p w14:paraId="512CBF66" w14:textId="77777777" w:rsidR="00187B83" w:rsidRPr="00602F08" w:rsidRDefault="00187B83" w:rsidP="00B6212D">
      <w:pPr>
        <w:pStyle w:val="ListParagraph"/>
        <w:ind w:left="1242" w:firstLine="33"/>
        <w:jc w:val="both"/>
        <w:rPr>
          <w:rStyle w:val="normaltextrun"/>
          <w:rFonts w:ascii="Times New Roman" w:hAnsi="Times New Roman"/>
          <w:lang w:val="en-US"/>
        </w:rPr>
      </w:pPr>
      <w:r w:rsidRPr="00602F08">
        <w:rPr>
          <w:rStyle w:val="normaltextrun"/>
          <w:rFonts w:ascii="Times New Roman" w:hAnsi="Times New Roman"/>
          <w:lang w:val="en-US"/>
        </w:rPr>
        <w:t xml:space="preserve"> </w:t>
      </w:r>
      <w:r w:rsidRPr="00602F08">
        <w:rPr>
          <w:rStyle w:val="normaltextrun"/>
          <w:rFonts w:ascii="Times New Roman" w:hAnsi="Times New Roman"/>
          <w:lang w:val="en-US"/>
        </w:rPr>
        <w:tab/>
      </w:r>
      <w:r w:rsidRPr="00602F08">
        <w:rPr>
          <w:rStyle w:val="normaltextrun"/>
          <w:rFonts w:ascii="Times New Roman" w:hAnsi="Times New Roman"/>
          <w:lang w:val="en-US"/>
        </w:rPr>
        <w:tab/>
        <w:t>(b) a feature of an approach to, exit from or access to a building,</w:t>
      </w:r>
    </w:p>
    <w:p w14:paraId="3CB79614" w14:textId="77777777" w:rsidR="00187B83" w:rsidRPr="00602F08" w:rsidRDefault="00187B83" w:rsidP="00B6212D">
      <w:pPr>
        <w:pStyle w:val="ListParagraph"/>
        <w:ind w:left="2160"/>
        <w:jc w:val="both"/>
        <w:rPr>
          <w:rStyle w:val="normaltextrun"/>
          <w:rFonts w:ascii="Times New Roman" w:hAnsi="Times New Roman"/>
          <w:lang w:val="en-US"/>
        </w:rPr>
      </w:pPr>
      <w:r w:rsidRPr="00602F08">
        <w:rPr>
          <w:rStyle w:val="normaltextrun"/>
          <w:rFonts w:ascii="Times New Roman" w:hAnsi="Times New Roman"/>
          <w:lang w:val="en-US"/>
        </w:rPr>
        <w:t>(c) a fixture or fitting, or furniture, furnishings, materials, equipment or other chattels, in or on premises, or</w:t>
      </w:r>
    </w:p>
    <w:p w14:paraId="6A0557ED" w14:textId="77777777" w:rsidR="00187B83" w:rsidRPr="00602F08" w:rsidRDefault="00187B83" w:rsidP="00B6212D">
      <w:pPr>
        <w:pStyle w:val="ListParagraph"/>
        <w:ind w:left="1929" w:firstLine="231"/>
        <w:jc w:val="both"/>
        <w:rPr>
          <w:rStyle w:val="normaltextrun"/>
          <w:rFonts w:ascii="Times New Roman" w:hAnsi="Times New Roman"/>
          <w:lang w:val="en-US"/>
        </w:rPr>
      </w:pPr>
      <w:r w:rsidRPr="00602F08">
        <w:rPr>
          <w:rStyle w:val="normaltextrun"/>
          <w:rFonts w:ascii="Times New Roman" w:hAnsi="Times New Roman"/>
          <w:lang w:val="en-US"/>
        </w:rPr>
        <w:t>(d) any other physical element or quality.</w:t>
      </w:r>
    </w:p>
    <w:p w14:paraId="6A0B170E" w14:textId="77777777" w:rsidR="00187B83" w:rsidRPr="00602F08" w:rsidRDefault="00187B83" w:rsidP="00B6212D">
      <w:pPr>
        <w:pStyle w:val="ListParagraph"/>
        <w:ind w:left="1440" w:hanging="231"/>
        <w:jc w:val="both"/>
        <w:rPr>
          <w:rStyle w:val="normaltextrun"/>
          <w:rFonts w:ascii="Times New Roman" w:hAnsi="Times New Roman"/>
          <w:lang w:val="en-US"/>
        </w:rPr>
      </w:pPr>
      <w:r w:rsidRPr="00602F08">
        <w:rPr>
          <w:rStyle w:val="normaltextrun"/>
          <w:rFonts w:ascii="Times New Roman" w:hAnsi="Times New Roman"/>
          <w:lang w:val="en-US"/>
        </w:rPr>
        <w:t xml:space="preserve">    </w:t>
      </w:r>
    </w:p>
    <w:p w14:paraId="46806CDF" w14:textId="77777777" w:rsidR="00187B83" w:rsidRPr="00602F08" w:rsidRDefault="00187B83" w:rsidP="00B6212D">
      <w:pPr>
        <w:pStyle w:val="ListParagraph"/>
        <w:ind w:left="1440" w:hanging="231"/>
        <w:jc w:val="both"/>
        <w:rPr>
          <w:rStyle w:val="normaltextrun"/>
          <w:rFonts w:ascii="Times New Roman" w:hAnsi="Times New Roman"/>
          <w:lang w:val="en-US"/>
        </w:rPr>
      </w:pPr>
      <w:r w:rsidRPr="00602F08">
        <w:rPr>
          <w:rStyle w:val="normaltextrun"/>
          <w:rFonts w:ascii="Times New Roman" w:hAnsi="Times New Roman"/>
          <w:lang w:val="en-US"/>
        </w:rPr>
        <w:t xml:space="preserve">    (11) A reference in this section, section 21 … to an auxiliary aid includes a reference to an auxiliary service.</w:t>
      </w:r>
    </w:p>
    <w:p w14:paraId="47DD795C" w14:textId="77777777" w:rsidR="00187B83" w:rsidRPr="00602F08" w:rsidRDefault="00187B83" w:rsidP="00B6212D">
      <w:pPr>
        <w:pStyle w:val="ListParagraph"/>
        <w:ind w:left="1440" w:hanging="231"/>
        <w:jc w:val="both"/>
        <w:rPr>
          <w:rStyle w:val="normaltextrun"/>
          <w:rFonts w:ascii="Times New Roman" w:hAnsi="Times New Roman"/>
          <w:lang w:val="en-US"/>
        </w:rPr>
      </w:pPr>
      <w:r w:rsidRPr="00602F08">
        <w:rPr>
          <w:rStyle w:val="normaltextrun"/>
          <w:rFonts w:ascii="Times New Roman" w:hAnsi="Times New Roman"/>
          <w:lang w:val="en-US"/>
        </w:rPr>
        <w:t xml:space="preserve">    </w:t>
      </w:r>
    </w:p>
    <w:p w14:paraId="168589CD" w14:textId="77777777" w:rsidR="00187B83" w:rsidRPr="00602F08" w:rsidRDefault="00187B83" w:rsidP="00B6212D">
      <w:pPr>
        <w:pStyle w:val="ListParagraph"/>
        <w:ind w:left="1440" w:hanging="231"/>
        <w:jc w:val="both"/>
        <w:rPr>
          <w:rStyle w:val="normaltextrun"/>
          <w:rFonts w:ascii="Times New Roman" w:hAnsi="Times New Roman"/>
          <w:lang w:val="en-US"/>
        </w:rPr>
      </w:pPr>
      <w:r w:rsidRPr="00602F08">
        <w:rPr>
          <w:rStyle w:val="normaltextrun"/>
          <w:rFonts w:ascii="Times New Roman" w:hAnsi="Times New Roman"/>
          <w:lang w:val="en-US"/>
        </w:rPr>
        <w:t xml:space="preserve">    …”</w:t>
      </w:r>
    </w:p>
    <w:p w14:paraId="1C044CF9" w14:textId="77777777" w:rsidR="00187B83" w:rsidRPr="00602F08" w:rsidRDefault="00187B83" w:rsidP="00B6212D">
      <w:pPr>
        <w:jc w:val="both"/>
        <w:rPr>
          <w:rStyle w:val="normaltextrun"/>
          <w:lang w:val="en-US"/>
        </w:rPr>
      </w:pPr>
    </w:p>
    <w:p w14:paraId="6C09BB94" w14:textId="114FF493" w:rsidR="00187B83" w:rsidRPr="00602F08" w:rsidRDefault="00187B8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By section 21 of the </w:t>
      </w:r>
      <w:r w:rsidR="00416B51">
        <w:rPr>
          <w:rStyle w:val="normaltextrun"/>
          <w:rFonts w:ascii="Times New Roman" w:hAnsi="Times New Roman"/>
          <w:lang w:val="en-US"/>
        </w:rPr>
        <w:t>Equality</w:t>
      </w:r>
      <w:r w:rsidRPr="00602F08">
        <w:rPr>
          <w:rStyle w:val="normaltextrun"/>
          <w:rFonts w:ascii="Times New Roman" w:hAnsi="Times New Roman"/>
          <w:lang w:val="en-US"/>
        </w:rPr>
        <w:t xml:space="preserve"> Act:</w:t>
      </w:r>
    </w:p>
    <w:p w14:paraId="4C6E15C6" w14:textId="77777777" w:rsidR="00187B83" w:rsidRPr="00602F08" w:rsidRDefault="00187B83" w:rsidP="00B6212D">
      <w:pPr>
        <w:pStyle w:val="ListParagraph"/>
        <w:ind w:left="687"/>
        <w:jc w:val="both"/>
        <w:rPr>
          <w:rStyle w:val="normaltextrun"/>
          <w:rFonts w:ascii="Times New Roman" w:hAnsi="Times New Roman"/>
          <w:lang w:val="en-US"/>
        </w:rPr>
      </w:pPr>
    </w:p>
    <w:p w14:paraId="36463442" w14:textId="77777777" w:rsidR="00187B83" w:rsidRPr="00602F08" w:rsidRDefault="00187B83" w:rsidP="00B6212D">
      <w:pPr>
        <w:ind w:left="1440"/>
        <w:jc w:val="both"/>
        <w:rPr>
          <w:rStyle w:val="normaltextrun"/>
          <w:lang w:val="en-US"/>
        </w:rPr>
      </w:pPr>
      <w:r w:rsidRPr="00602F08">
        <w:rPr>
          <w:rStyle w:val="normaltextrun"/>
          <w:lang w:val="en-US"/>
        </w:rPr>
        <w:t>“(1) A failure to comply with the first, second or third requirement is a failure to comply with a duty to make reasonable adjustments.</w:t>
      </w:r>
    </w:p>
    <w:p w14:paraId="3E4F8DF6" w14:textId="77777777" w:rsidR="00187B83" w:rsidRPr="00602F08" w:rsidRDefault="00187B83" w:rsidP="00B6212D">
      <w:pPr>
        <w:ind w:left="1440"/>
        <w:jc w:val="both"/>
        <w:rPr>
          <w:rStyle w:val="normaltextrun"/>
          <w:lang w:val="en-US"/>
        </w:rPr>
      </w:pPr>
    </w:p>
    <w:p w14:paraId="0D05E2DF" w14:textId="77777777" w:rsidR="00187B83" w:rsidRPr="00602F08" w:rsidRDefault="00187B83" w:rsidP="00B6212D">
      <w:pPr>
        <w:ind w:left="1440"/>
        <w:jc w:val="both"/>
        <w:rPr>
          <w:rStyle w:val="normaltextrun"/>
          <w:lang w:val="en-US"/>
        </w:rPr>
      </w:pPr>
      <w:r w:rsidRPr="00602F08">
        <w:rPr>
          <w:rStyle w:val="normaltextrun"/>
          <w:lang w:val="en-US"/>
        </w:rPr>
        <w:t>(2) A discriminates against a disabled person if A fails to comply with that duty in relation to that person.</w:t>
      </w:r>
    </w:p>
    <w:p w14:paraId="35DD49F2" w14:textId="77777777" w:rsidR="00187B83" w:rsidRPr="00602F08" w:rsidRDefault="00187B83" w:rsidP="00B6212D">
      <w:pPr>
        <w:ind w:left="1440"/>
        <w:jc w:val="both"/>
        <w:rPr>
          <w:rStyle w:val="normaltextrun"/>
          <w:lang w:val="en-US"/>
        </w:rPr>
      </w:pPr>
    </w:p>
    <w:p w14:paraId="056AA6F4" w14:textId="77777777" w:rsidR="00187B83" w:rsidRPr="00602F08" w:rsidRDefault="00187B83" w:rsidP="00B6212D">
      <w:pPr>
        <w:ind w:left="1440"/>
        <w:jc w:val="both"/>
        <w:rPr>
          <w:rStyle w:val="normaltextrun"/>
          <w:lang w:val="en-US"/>
        </w:rPr>
      </w:pPr>
      <w:r w:rsidRPr="00602F08">
        <w:rPr>
          <w:rStyle w:val="normaltextrun"/>
          <w:lang w:val="en-US"/>
        </w:rPr>
        <w:t>…”.</w:t>
      </w:r>
    </w:p>
    <w:p w14:paraId="6793908A" w14:textId="77777777" w:rsidR="00187B83" w:rsidRPr="00602F08" w:rsidRDefault="00187B83" w:rsidP="00B6212D">
      <w:pPr>
        <w:ind w:left="1440"/>
        <w:jc w:val="both"/>
        <w:rPr>
          <w:rStyle w:val="normaltextrun"/>
          <w:lang w:val="en-US"/>
        </w:rPr>
      </w:pPr>
    </w:p>
    <w:p w14:paraId="231CFD4A" w14:textId="77777777" w:rsidR="00187B83" w:rsidRPr="00602F08" w:rsidRDefault="00187B83" w:rsidP="00B6212D">
      <w:pPr>
        <w:jc w:val="both"/>
        <w:rPr>
          <w:rStyle w:val="normaltextrun"/>
          <w:lang w:val="en-US"/>
        </w:rPr>
      </w:pPr>
    </w:p>
    <w:p w14:paraId="2A2DBCBA" w14:textId="3BBDADDF" w:rsidR="00187B83" w:rsidRPr="00602F08" w:rsidRDefault="00187B8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Section 29(7) of the </w:t>
      </w:r>
      <w:r w:rsidR="00416B51">
        <w:rPr>
          <w:rStyle w:val="normaltextrun"/>
          <w:rFonts w:ascii="Times New Roman" w:hAnsi="Times New Roman"/>
          <w:lang w:val="en-US"/>
        </w:rPr>
        <w:t>Equality</w:t>
      </w:r>
      <w:r w:rsidRPr="00602F08">
        <w:rPr>
          <w:rStyle w:val="normaltextrun"/>
          <w:rFonts w:ascii="Times New Roman" w:hAnsi="Times New Roman"/>
          <w:lang w:val="en-US"/>
        </w:rPr>
        <w:t xml:space="preserve"> Act is in these terms:</w:t>
      </w:r>
    </w:p>
    <w:p w14:paraId="37ADF1EE" w14:textId="77777777" w:rsidR="00187B83" w:rsidRPr="00602F08" w:rsidRDefault="00187B83" w:rsidP="00B6212D">
      <w:pPr>
        <w:pStyle w:val="ListParagraph"/>
        <w:ind w:left="687"/>
        <w:jc w:val="both"/>
        <w:rPr>
          <w:rStyle w:val="normaltextrun"/>
          <w:rFonts w:ascii="Times New Roman" w:hAnsi="Times New Roman"/>
          <w:lang w:val="en-US"/>
        </w:rPr>
      </w:pPr>
    </w:p>
    <w:p w14:paraId="27270071" w14:textId="77777777" w:rsidR="00187B83" w:rsidRPr="00602F08" w:rsidRDefault="00187B83" w:rsidP="00B6212D">
      <w:pPr>
        <w:pStyle w:val="ListParagraph"/>
        <w:ind w:left="1407" w:firstLine="33"/>
        <w:jc w:val="both"/>
        <w:rPr>
          <w:rStyle w:val="normaltextrun"/>
          <w:rFonts w:ascii="Times New Roman" w:hAnsi="Times New Roman"/>
          <w:lang w:val="en-US"/>
        </w:rPr>
      </w:pPr>
      <w:r w:rsidRPr="00602F08">
        <w:rPr>
          <w:rStyle w:val="normaltextrun"/>
          <w:rFonts w:ascii="Times New Roman" w:hAnsi="Times New Roman"/>
          <w:lang w:val="en-US"/>
        </w:rPr>
        <w:t>“(7)A duty to make reasonable adjustments applies to—</w:t>
      </w:r>
    </w:p>
    <w:p w14:paraId="1E48C5BF" w14:textId="77777777" w:rsidR="00187B83" w:rsidRPr="00602F08" w:rsidRDefault="00187B83" w:rsidP="00B6212D">
      <w:pPr>
        <w:pStyle w:val="ListParagraph"/>
        <w:ind w:left="687"/>
        <w:jc w:val="both"/>
        <w:rPr>
          <w:rStyle w:val="normaltextrun"/>
          <w:rFonts w:ascii="Times New Roman" w:hAnsi="Times New Roman"/>
          <w:lang w:val="en-US"/>
        </w:rPr>
      </w:pPr>
    </w:p>
    <w:p w14:paraId="68D6E9EE" w14:textId="77777777" w:rsidR="00187B83" w:rsidRPr="00602F08" w:rsidRDefault="00187B83" w:rsidP="00B6212D">
      <w:pPr>
        <w:pStyle w:val="ListParagraph"/>
        <w:numPr>
          <w:ilvl w:val="0"/>
          <w:numId w:val="13"/>
        </w:numPr>
        <w:jc w:val="both"/>
        <w:rPr>
          <w:rStyle w:val="normaltextrun"/>
          <w:rFonts w:ascii="Times New Roman" w:hAnsi="Times New Roman"/>
          <w:lang w:val="en-US"/>
        </w:rPr>
      </w:pPr>
      <w:r w:rsidRPr="00602F08">
        <w:rPr>
          <w:rStyle w:val="normaltextrun"/>
          <w:rFonts w:ascii="Times New Roman" w:hAnsi="Times New Roman"/>
          <w:lang w:val="en-US"/>
        </w:rPr>
        <w:t>a service-provider (and see also section 55(7));</w:t>
      </w:r>
    </w:p>
    <w:p w14:paraId="17D93C7C" w14:textId="77777777" w:rsidR="00187B83" w:rsidRPr="00602F08" w:rsidRDefault="00187B83" w:rsidP="00B6212D">
      <w:pPr>
        <w:pStyle w:val="ListParagraph"/>
        <w:ind w:left="687"/>
        <w:jc w:val="both"/>
        <w:rPr>
          <w:rStyle w:val="normaltextrun"/>
          <w:rFonts w:ascii="Times New Roman" w:hAnsi="Times New Roman"/>
          <w:lang w:val="en-US"/>
        </w:rPr>
      </w:pPr>
    </w:p>
    <w:p w14:paraId="03F21F8B" w14:textId="77777777" w:rsidR="00187B83" w:rsidRPr="00602F08" w:rsidRDefault="00187B83" w:rsidP="00B6212D">
      <w:pPr>
        <w:pStyle w:val="ListParagraph"/>
        <w:numPr>
          <w:ilvl w:val="0"/>
          <w:numId w:val="13"/>
        </w:numPr>
        <w:jc w:val="both"/>
        <w:rPr>
          <w:rStyle w:val="normaltextrun"/>
          <w:rFonts w:ascii="Times New Roman" w:hAnsi="Times New Roman"/>
          <w:lang w:val="en-US"/>
        </w:rPr>
      </w:pPr>
      <w:r w:rsidRPr="00602F08">
        <w:rPr>
          <w:rStyle w:val="normaltextrun"/>
          <w:rFonts w:ascii="Times New Roman" w:hAnsi="Times New Roman"/>
          <w:lang w:val="en-US"/>
        </w:rPr>
        <w:t>a person who exercises a public function that is not the provision of a service to the public or a section of the public.”</w:t>
      </w:r>
    </w:p>
    <w:p w14:paraId="7AB0B756" w14:textId="77777777" w:rsidR="00187B83" w:rsidRPr="00602F08" w:rsidRDefault="00187B83" w:rsidP="00B6212D">
      <w:pPr>
        <w:pStyle w:val="ListParagraph"/>
        <w:ind w:left="687"/>
        <w:jc w:val="both"/>
        <w:rPr>
          <w:rStyle w:val="normaltextrun"/>
          <w:rFonts w:ascii="Times New Roman" w:hAnsi="Times New Roman"/>
          <w:lang w:val="en-US"/>
        </w:rPr>
      </w:pPr>
    </w:p>
    <w:p w14:paraId="68766603" w14:textId="721823C7" w:rsidR="00187B83" w:rsidRPr="00602F08" w:rsidRDefault="00187B83"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Section 149 of the </w:t>
      </w:r>
      <w:r w:rsidR="00416B51">
        <w:rPr>
          <w:rStyle w:val="normaltextrun"/>
          <w:rFonts w:ascii="Times New Roman" w:hAnsi="Times New Roman"/>
          <w:lang w:val="en-US"/>
        </w:rPr>
        <w:t>Equality</w:t>
      </w:r>
      <w:r w:rsidRPr="00602F08">
        <w:rPr>
          <w:rStyle w:val="normaltextrun"/>
          <w:rFonts w:ascii="Times New Roman" w:hAnsi="Times New Roman"/>
          <w:lang w:val="en-US"/>
        </w:rPr>
        <w:t xml:space="preserve"> Act provides for a public sector equality duty</w:t>
      </w:r>
      <w:r w:rsidR="00DD4281" w:rsidRPr="00602F08">
        <w:rPr>
          <w:rStyle w:val="normaltextrun"/>
          <w:rFonts w:ascii="Times New Roman" w:hAnsi="Times New Roman"/>
          <w:lang w:val="en-US"/>
        </w:rPr>
        <w:t>. The section provides in part</w:t>
      </w:r>
      <w:r w:rsidRPr="00602F08">
        <w:rPr>
          <w:rStyle w:val="normaltextrun"/>
          <w:rFonts w:ascii="Times New Roman" w:hAnsi="Times New Roman"/>
          <w:lang w:val="en-US"/>
        </w:rPr>
        <w:t xml:space="preserve"> as follows:</w:t>
      </w:r>
    </w:p>
    <w:p w14:paraId="21346007" w14:textId="77777777" w:rsidR="00187B83" w:rsidRPr="00602F08" w:rsidRDefault="00187B83" w:rsidP="00B6212D">
      <w:pPr>
        <w:jc w:val="both"/>
        <w:rPr>
          <w:rStyle w:val="normaltextrun"/>
          <w:lang w:val="en-US"/>
        </w:rPr>
      </w:pPr>
    </w:p>
    <w:p w14:paraId="7154A556" w14:textId="77777777" w:rsidR="00187B83" w:rsidRPr="00602F08" w:rsidRDefault="00187B83" w:rsidP="00B6212D">
      <w:pPr>
        <w:ind w:left="1440" w:hanging="33"/>
        <w:jc w:val="both"/>
        <w:rPr>
          <w:rStyle w:val="normaltextrun"/>
          <w:lang w:val="en-US"/>
        </w:rPr>
      </w:pPr>
      <w:r w:rsidRPr="00602F08">
        <w:rPr>
          <w:rStyle w:val="normaltextrun"/>
          <w:lang w:val="en-US"/>
        </w:rPr>
        <w:t>“(1) A public authority must, in the exercise of its functions, have due regard to the need to—</w:t>
      </w:r>
    </w:p>
    <w:p w14:paraId="5757C84E" w14:textId="77777777" w:rsidR="00187B83" w:rsidRPr="00602F08" w:rsidRDefault="00187B83" w:rsidP="00B6212D">
      <w:pPr>
        <w:ind w:left="2160"/>
        <w:jc w:val="both"/>
        <w:rPr>
          <w:rStyle w:val="normaltextrun"/>
          <w:lang w:val="en-US"/>
        </w:rPr>
      </w:pPr>
      <w:r w:rsidRPr="00602F08">
        <w:rPr>
          <w:rStyle w:val="normaltextrun"/>
          <w:lang w:val="en-US"/>
        </w:rPr>
        <w:t>(a) eliminate discrimination, harassment, victimisation and any other conduct that is prohibited by or under this Act;</w:t>
      </w:r>
    </w:p>
    <w:p w14:paraId="5DAC401C" w14:textId="77777777" w:rsidR="00187B83" w:rsidRPr="00602F08" w:rsidRDefault="00187B83" w:rsidP="00B6212D">
      <w:pPr>
        <w:ind w:left="2160"/>
        <w:jc w:val="both"/>
        <w:rPr>
          <w:rStyle w:val="normaltextrun"/>
          <w:lang w:val="en-US"/>
        </w:rPr>
      </w:pPr>
      <w:r w:rsidRPr="00602F08">
        <w:rPr>
          <w:rStyle w:val="normaltextrun"/>
          <w:lang w:val="en-US"/>
        </w:rPr>
        <w:t>(b) advance equality of opportunity between persons who share a relevant protected characteristic and persons who do not share it;</w:t>
      </w:r>
    </w:p>
    <w:p w14:paraId="72CF1ADE" w14:textId="176ECD11" w:rsidR="00187B83" w:rsidRPr="00602F08" w:rsidRDefault="00456511" w:rsidP="00B6212D">
      <w:pPr>
        <w:ind w:left="1440" w:firstLine="720"/>
        <w:jc w:val="both"/>
        <w:rPr>
          <w:rStyle w:val="normaltextrun"/>
          <w:lang w:val="en-US"/>
        </w:rPr>
      </w:pPr>
      <w:r w:rsidRPr="00602F08">
        <w:rPr>
          <w:rStyle w:val="normaltextrun"/>
          <w:lang w:val="en-US"/>
        </w:rPr>
        <w:t>…</w:t>
      </w:r>
    </w:p>
    <w:p w14:paraId="10BDBA87" w14:textId="77777777" w:rsidR="00456511" w:rsidRPr="00602F08" w:rsidRDefault="00456511" w:rsidP="00B6212D">
      <w:pPr>
        <w:ind w:left="1440" w:firstLine="720"/>
        <w:jc w:val="both"/>
        <w:rPr>
          <w:rStyle w:val="normaltextrun"/>
          <w:lang w:val="en-US"/>
        </w:rPr>
      </w:pPr>
    </w:p>
    <w:p w14:paraId="0E46A432" w14:textId="77777777" w:rsidR="00187B83" w:rsidRPr="00602F08" w:rsidRDefault="00187B83" w:rsidP="00B6212D">
      <w:pPr>
        <w:ind w:left="1440"/>
        <w:jc w:val="both"/>
        <w:rPr>
          <w:rStyle w:val="normaltextrun"/>
          <w:lang w:val="en-US"/>
        </w:rPr>
      </w:pPr>
      <w:r w:rsidRPr="00602F08">
        <w:rPr>
          <w:rStyle w:val="normaltextrun"/>
          <w:lang w:val="en-US"/>
        </w:rPr>
        <w:t>(2) A person who is not a public authority but who exercises public functions must, in the exercise of those functions, have due regard to the matters mentioned in subsection (1).</w:t>
      </w:r>
    </w:p>
    <w:p w14:paraId="4715DB38" w14:textId="77777777" w:rsidR="00187B83" w:rsidRPr="00602F08" w:rsidRDefault="00187B83" w:rsidP="00B6212D">
      <w:pPr>
        <w:ind w:left="1440"/>
        <w:jc w:val="both"/>
        <w:rPr>
          <w:rStyle w:val="normaltextrun"/>
          <w:lang w:val="en-US"/>
        </w:rPr>
      </w:pPr>
    </w:p>
    <w:p w14:paraId="2C87D101" w14:textId="77777777" w:rsidR="00187B83" w:rsidRPr="00602F08" w:rsidRDefault="00187B83" w:rsidP="00B6212D">
      <w:pPr>
        <w:ind w:left="1440"/>
        <w:jc w:val="both"/>
        <w:rPr>
          <w:rStyle w:val="normaltextrun"/>
          <w:lang w:val="en-US"/>
        </w:rPr>
      </w:pPr>
      <w:r w:rsidRPr="00602F08">
        <w:rPr>
          <w:rStyle w:val="normaltextrun"/>
          <w:lang w:val="en-US"/>
        </w:rPr>
        <w:t>(3) Having due regard to the need to advance equality of opportunity between persons who share a relevant protected characteristic and persons who do not share it involves having due regard, in particular, to the need to—</w:t>
      </w:r>
    </w:p>
    <w:p w14:paraId="7169EF26" w14:textId="77777777" w:rsidR="00187B83" w:rsidRPr="00602F08" w:rsidRDefault="00187B83" w:rsidP="00B6212D">
      <w:pPr>
        <w:ind w:left="2160"/>
        <w:jc w:val="both"/>
        <w:rPr>
          <w:rStyle w:val="normaltextrun"/>
          <w:lang w:val="en-US"/>
        </w:rPr>
      </w:pPr>
    </w:p>
    <w:p w14:paraId="08087234" w14:textId="77777777" w:rsidR="00187B83" w:rsidRPr="00602F08" w:rsidRDefault="00187B83" w:rsidP="00B6212D">
      <w:pPr>
        <w:ind w:left="2160"/>
        <w:jc w:val="both"/>
        <w:rPr>
          <w:rStyle w:val="normaltextrun"/>
          <w:lang w:val="en-US"/>
        </w:rPr>
      </w:pPr>
      <w:r w:rsidRPr="00602F08">
        <w:rPr>
          <w:rStyle w:val="normaltextrun"/>
          <w:lang w:val="en-US"/>
        </w:rPr>
        <w:t>(a) remove or minimise disadvantages suffered by persons who share a relevant protected characteristic that are connected to that characteristic;</w:t>
      </w:r>
    </w:p>
    <w:p w14:paraId="4711EFDC" w14:textId="77777777" w:rsidR="00187B83" w:rsidRPr="00602F08" w:rsidRDefault="00187B83" w:rsidP="00B6212D">
      <w:pPr>
        <w:ind w:left="2160"/>
        <w:jc w:val="both"/>
        <w:rPr>
          <w:rStyle w:val="normaltextrun"/>
          <w:lang w:val="en-US"/>
        </w:rPr>
      </w:pPr>
      <w:r w:rsidRPr="00602F08">
        <w:rPr>
          <w:rStyle w:val="normaltextrun"/>
          <w:lang w:val="en-US"/>
        </w:rPr>
        <w:t>(b) take steps to meet the needs of persons who share a relevant protected characteristic that are different from the needs of persons who do not share it;</w:t>
      </w:r>
    </w:p>
    <w:p w14:paraId="162BA2E4" w14:textId="77777777" w:rsidR="00187B83" w:rsidRPr="00602F08" w:rsidRDefault="00187B83" w:rsidP="00B6212D">
      <w:pPr>
        <w:ind w:left="2160"/>
        <w:jc w:val="both"/>
        <w:rPr>
          <w:rStyle w:val="normaltextrun"/>
          <w:lang w:val="en-US"/>
        </w:rPr>
      </w:pPr>
      <w:r w:rsidRPr="00602F08">
        <w:rPr>
          <w:rStyle w:val="normaltextrun"/>
          <w:lang w:val="en-US"/>
        </w:rPr>
        <w:t>(c) encourage persons who share a relevant protected characteristic to participate in public life or in any other activity in which participation by such persons is disproportionately low.</w:t>
      </w:r>
    </w:p>
    <w:p w14:paraId="2314C1BF" w14:textId="77777777" w:rsidR="00187B83" w:rsidRPr="00602F08" w:rsidRDefault="00187B83" w:rsidP="00B6212D">
      <w:pPr>
        <w:ind w:left="1440"/>
        <w:jc w:val="both"/>
        <w:rPr>
          <w:rStyle w:val="normaltextrun"/>
          <w:lang w:val="en-US"/>
        </w:rPr>
      </w:pPr>
    </w:p>
    <w:p w14:paraId="6E5989B6" w14:textId="77777777" w:rsidR="00187B83" w:rsidRPr="00602F08" w:rsidRDefault="00187B83" w:rsidP="00B6212D">
      <w:pPr>
        <w:ind w:left="1440"/>
        <w:jc w:val="both"/>
        <w:rPr>
          <w:rStyle w:val="normaltextrun"/>
          <w:lang w:val="en-US"/>
        </w:rPr>
      </w:pPr>
      <w:r w:rsidRPr="00602F08">
        <w:rPr>
          <w:rStyle w:val="normaltextrun"/>
          <w:lang w:val="en-US"/>
        </w:rPr>
        <w:t>(4) The steps involved in meeting the needs of disabled persons that are different from the needs of persons who are not disabled include, in particular, steps to take account of disabled persons' disabilities.</w:t>
      </w:r>
    </w:p>
    <w:p w14:paraId="7C04F656" w14:textId="77777777" w:rsidR="00187B83" w:rsidRPr="00602F08" w:rsidRDefault="00187B83" w:rsidP="00B6212D">
      <w:pPr>
        <w:ind w:left="1440"/>
        <w:jc w:val="both"/>
        <w:rPr>
          <w:rStyle w:val="normaltextrun"/>
          <w:lang w:val="en-US"/>
        </w:rPr>
      </w:pPr>
    </w:p>
    <w:p w14:paraId="5CE7B56B" w14:textId="78DBC1EF" w:rsidR="00187B83" w:rsidRPr="00602F08" w:rsidRDefault="00456511" w:rsidP="00B6212D">
      <w:pPr>
        <w:ind w:left="1440"/>
        <w:jc w:val="both"/>
        <w:rPr>
          <w:rStyle w:val="normaltextrun"/>
          <w:lang w:val="en-US"/>
        </w:rPr>
      </w:pPr>
      <w:r w:rsidRPr="00602F08">
        <w:rPr>
          <w:rStyle w:val="normaltextrun"/>
          <w:lang w:val="en-US"/>
        </w:rPr>
        <w:t>…</w:t>
      </w:r>
    </w:p>
    <w:p w14:paraId="21ABE4D0" w14:textId="77777777" w:rsidR="00456511" w:rsidRPr="00602F08" w:rsidRDefault="00456511" w:rsidP="00B6212D">
      <w:pPr>
        <w:ind w:left="1440"/>
        <w:jc w:val="both"/>
        <w:rPr>
          <w:rStyle w:val="normaltextrun"/>
          <w:lang w:val="en-US"/>
        </w:rPr>
      </w:pPr>
    </w:p>
    <w:p w14:paraId="4027A1B0" w14:textId="77777777" w:rsidR="00187B83" w:rsidRPr="00602F08" w:rsidRDefault="00187B83" w:rsidP="00B6212D">
      <w:pPr>
        <w:ind w:left="1440"/>
        <w:jc w:val="both"/>
        <w:rPr>
          <w:rStyle w:val="normaltextrun"/>
          <w:lang w:val="en-US"/>
        </w:rPr>
      </w:pPr>
      <w:r w:rsidRPr="00602F08">
        <w:rPr>
          <w:rStyle w:val="normaltextrun"/>
          <w:lang w:val="en-US"/>
        </w:rPr>
        <w:t>(6) Compliance with the duties in this section may involve treating some persons more favourably than others; but that is not to be taken as permitting conduct that would otherwise be prohibited by or under this Act.</w:t>
      </w:r>
    </w:p>
    <w:p w14:paraId="4B72B248" w14:textId="77777777" w:rsidR="00187B83" w:rsidRPr="00602F08" w:rsidRDefault="00187B83" w:rsidP="00B6212D">
      <w:pPr>
        <w:ind w:left="720" w:firstLine="720"/>
        <w:jc w:val="both"/>
        <w:rPr>
          <w:rStyle w:val="normaltextrun"/>
          <w:lang w:val="en-US"/>
        </w:rPr>
      </w:pPr>
    </w:p>
    <w:p w14:paraId="0A2E49BA" w14:textId="77777777" w:rsidR="00187B83" w:rsidRPr="00602F08" w:rsidRDefault="00187B83" w:rsidP="00B6212D">
      <w:pPr>
        <w:ind w:left="720" w:firstLine="720"/>
        <w:jc w:val="both"/>
        <w:rPr>
          <w:rStyle w:val="normaltextrun"/>
          <w:lang w:val="en-US"/>
        </w:rPr>
      </w:pPr>
      <w:r w:rsidRPr="00602F08">
        <w:rPr>
          <w:rStyle w:val="normaltextrun"/>
          <w:lang w:val="en-US"/>
        </w:rPr>
        <w:t>(7) The relevant protected characteristics are—</w:t>
      </w:r>
    </w:p>
    <w:p w14:paraId="2CCF28AE" w14:textId="77777777" w:rsidR="00187B83" w:rsidRPr="00602F08" w:rsidRDefault="00187B83" w:rsidP="00B6212D">
      <w:pPr>
        <w:ind w:left="1440"/>
        <w:jc w:val="both"/>
        <w:rPr>
          <w:rStyle w:val="normaltextrun"/>
          <w:lang w:val="en-US"/>
        </w:rPr>
      </w:pPr>
      <w:r w:rsidRPr="00602F08">
        <w:rPr>
          <w:rStyle w:val="normaltextrun"/>
          <w:lang w:val="en-US"/>
        </w:rPr>
        <w:t>…</w:t>
      </w:r>
    </w:p>
    <w:p w14:paraId="22587953" w14:textId="77777777" w:rsidR="00187B83" w:rsidRPr="00602F08" w:rsidRDefault="00187B83" w:rsidP="00B6212D">
      <w:pPr>
        <w:jc w:val="both"/>
        <w:rPr>
          <w:rStyle w:val="normaltextrun"/>
          <w:lang w:val="en-US"/>
        </w:rPr>
      </w:pPr>
      <w:r w:rsidRPr="00602F08">
        <w:rPr>
          <w:rStyle w:val="normaltextrun"/>
          <w:lang w:val="en-US"/>
        </w:rPr>
        <w:t xml:space="preserve">    </w:t>
      </w:r>
      <w:r w:rsidRPr="00602F08">
        <w:rPr>
          <w:rStyle w:val="normaltextrun"/>
          <w:lang w:val="en-US"/>
        </w:rPr>
        <w:tab/>
      </w:r>
      <w:r w:rsidRPr="00602F08">
        <w:rPr>
          <w:rStyle w:val="normaltextrun"/>
          <w:lang w:val="en-US"/>
        </w:rPr>
        <w:tab/>
        <w:t>disability;</w:t>
      </w:r>
    </w:p>
    <w:p w14:paraId="37331E06" w14:textId="77777777" w:rsidR="00187B83" w:rsidRPr="00602F08" w:rsidRDefault="00187B83" w:rsidP="00B6212D">
      <w:pPr>
        <w:ind w:left="720" w:firstLine="720"/>
        <w:jc w:val="both"/>
        <w:rPr>
          <w:rStyle w:val="normaltextrun"/>
          <w:lang w:val="en-US"/>
        </w:rPr>
      </w:pPr>
      <w:r w:rsidRPr="00602F08">
        <w:rPr>
          <w:rStyle w:val="normaltextrun"/>
          <w:lang w:val="en-US"/>
        </w:rPr>
        <w:t>…</w:t>
      </w:r>
    </w:p>
    <w:p w14:paraId="3F13A0D9" w14:textId="77777777" w:rsidR="00187B83" w:rsidRPr="00602F08" w:rsidRDefault="00187B83" w:rsidP="00B6212D">
      <w:pPr>
        <w:ind w:left="1440"/>
        <w:jc w:val="both"/>
        <w:rPr>
          <w:rStyle w:val="normaltextrun"/>
          <w:lang w:val="en-US"/>
        </w:rPr>
      </w:pPr>
    </w:p>
    <w:p w14:paraId="6F0E8869" w14:textId="77777777" w:rsidR="00187B83" w:rsidRPr="00602F08" w:rsidRDefault="00187B83" w:rsidP="00B6212D">
      <w:pPr>
        <w:ind w:left="1440"/>
        <w:jc w:val="both"/>
        <w:rPr>
          <w:rStyle w:val="normaltextrun"/>
          <w:lang w:val="en-US"/>
        </w:rPr>
      </w:pPr>
      <w:r w:rsidRPr="00602F08">
        <w:rPr>
          <w:rStyle w:val="normaltextrun"/>
          <w:lang w:val="en-US"/>
        </w:rPr>
        <w:t>(8) A reference to conduct that is prohibited by or under this Act includes a reference to—</w:t>
      </w:r>
    </w:p>
    <w:p w14:paraId="1B940D59" w14:textId="77777777" w:rsidR="00187B83" w:rsidRPr="00602F08" w:rsidRDefault="00187B83" w:rsidP="00B6212D">
      <w:pPr>
        <w:ind w:left="1440" w:firstLine="720"/>
        <w:jc w:val="both"/>
        <w:rPr>
          <w:rStyle w:val="normaltextrun"/>
          <w:lang w:val="en-US"/>
        </w:rPr>
      </w:pPr>
      <w:r w:rsidRPr="00602F08">
        <w:rPr>
          <w:rStyle w:val="normaltextrun"/>
          <w:lang w:val="en-US"/>
        </w:rPr>
        <w:t>(a) a breach of an equality clause or rule;</w:t>
      </w:r>
    </w:p>
    <w:p w14:paraId="19D0C3B6" w14:textId="77777777" w:rsidR="00187B83" w:rsidRPr="00602F08" w:rsidRDefault="00187B83" w:rsidP="00B6212D">
      <w:pPr>
        <w:ind w:left="1440" w:firstLine="720"/>
        <w:jc w:val="both"/>
        <w:rPr>
          <w:rStyle w:val="normaltextrun"/>
          <w:lang w:val="en-US"/>
        </w:rPr>
      </w:pPr>
      <w:r w:rsidRPr="00602F08">
        <w:rPr>
          <w:rStyle w:val="normaltextrun"/>
          <w:lang w:val="en-US"/>
        </w:rPr>
        <w:t>(b) a breach of a non-discrimination rule.</w:t>
      </w:r>
    </w:p>
    <w:p w14:paraId="78F0CF51" w14:textId="77777777" w:rsidR="00187B83" w:rsidRPr="00602F08" w:rsidRDefault="00187B83" w:rsidP="00B6212D">
      <w:pPr>
        <w:ind w:left="720" w:firstLine="720"/>
        <w:jc w:val="both"/>
        <w:rPr>
          <w:rStyle w:val="normaltextrun"/>
          <w:lang w:val="en-US"/>
        </w:rPr>
      </w:pPr>
    </w:p>
    <w:p w14:paraId="00643484" w14:textId="7723817C" w:rsidR="00187B83" w:rsidRPr="00602F08" w:rsidRDefault="00187B83" w:rsidP="00B6212D">
      <w:pPr>
        <w:ind w:left="720" w:firstLine="720"/>
        <w:jc w:val="both"/>
        <w:rPr>
          <w:lang w:val="en-US"/>
        </w:rPr>
      </w:pPr>
      <w:r w:rsidRPr="00602F08">
        <w:rPr>
          <w:rStyle w:val="normaltextrun"/>
          <w:lang w:val="en-US"/>
        </w:rPr>
        <w:t>…”.</w:t>
      </w:r>
    </w:p>
    <w:p w14:paraId="42597664" w14:textId="1E8FBFA9" w:rsidR="009918C7" w:rsidRPr="00602F08" w:rsidRDefault="009918C7" w:rsidP="00B6212D">
      <w:pPr>
        <w:pStyle w:val="ListParagraph"/>
        <w:ind w:left="687"/>
        <w:jc w:val="both"/>
        <w:rPr>
          <w:rFonts w:ascii="Times New Roman" w:hAnsi="Times New Roman"/>
          <w:lang w:val="en-US"/>
        </w:rPr>
      </w:pPr>
    </w:p>
    <w:p w14:paraId="5F026269" w14:textId="77777777" w:rsidR="0046334F" w:rsidRPr="00602F08" w:rsidRDefault="0046334F" w:rsidP="00B6212D">
      <w:pPr>
        <w:jc w:val="both"/>
        <w:rPr>
          <w:rStyle w:val="normaltextrun"/>
          <w:lang w:val="en-US"/>
        </w:rPr>
      </w:pPr>
    </w:p>
    <w:p w14:paraId="27F350E2" w14:textId="1D7E5D64" w:rsidR="005B2DCB" w:rsidRPr="00602F08" w:rsidRDefault="002C0667" w:rsidP="00B6212D">
      <w:pPr>
        <w:ind w:left="119" w:firstLine="568"/>
        <w:jc w:val="both"/>
        <w:rPr>
          <w:rStyle w:val="normaltextrun"/>
          <w:u w:val="single"/>
          <w:lang w:val="en-US"/>
        </w:rPr>
      </w:pPr>
      <w:r w:rsidRPr="00602F08">
        <w:rPr>
          <w:rStyle w:val="normaltextrun"/>
          <w:u w:val="single"/>
          <w:lang w:val="en-US"/>
        </w:rPr>
        <w:t>Disability</w:t>
      </w:r>
    </w:p>
    <w:p w14:paraId="2E63B7FE" w14:textId="3EAE537D" w:rsidR="00DF784C" w:rsidRPr="00602F08" w:rsidRDefault="00CA20F7" w:rsidP="00B6212D">
      <w:pPr>
        <w:ind w:left="687"/>
        <w:jc w:val="both"/>
        <w:rPr>
          <w:rStyle w:val="normaltextrun"/>
          <w:lang w:val="en-US"/>
        </w:rPr>
      </w:pPr>
      <w:r w:rsidRPr="00602F08">
        <w:rPr>
          <w:rStyle w:val="normaltextrun"/>
          <w:lang w:val="en-US"/>
        </w:rPr>
        <w:t xml:space="preserve">  </w:t>
      </w:r>
    </w:p>
    <w:p w14:paraId="11EFACFC" w14:textId="1147AE7B" w:rsidR="00590ACE" w:rsidRPr="00602F08" w:rsidRDefault="00D56F30"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It is not in</w:t>
      </w:r>
      <w:r w:rsidR="00A87B3B" w:rsidRPr="00602F08">
        <w:rPr>
          <w:rStyle w:val="normaltextrun"/>
          <w:rFonts w:ascii="Times New Roman" w:hAnsi="Times New Roman"/>
          <w:lang w:val="en-US"/>
        </w:rPr>
        <w:t xml:space="preserve"> issue that AA </w:t>
      </w:r>
      <w:r w:rsidR="001B50D6" w:rsidRPr="00602F08">
        <w:rPr>
          <w:rStyle w:val="normaltextrun"/>
          <w:rFonts w:ascii="Times New Roman" w:hAnsi="Times New Roman"/>
          <w:lang w:val="en-US"/>
        </w:rPr>
        <w:t>has a disability</w:t>
      </w:r>
      <w:r w:rsidR="002C76BC" w:rsidRPr="00602F08">
        <w:rPr>
          <w:rStyle w:val="normaltextrun"/>
          <w:rFonts w:ascii="Times New Roman" w:hAnsi="Times New Roman"/>
          <w:lang w:val="en-US"/>
        </w:rPr>
        <w:t xml:space="preserve"> for the purposes of the </w:t>
      </w:r>
      <w:r w:rsidR="00CD49C4">
        <w:rPr>
          <w:rStyle w:val="normaltextrun"/>
          <w:rFonts w:ascii="Times New Roman" w:hAnsi="Times New Roman"/>
          <w:lang w:val="en-US"/>
        </w:rPr>
        <w:t>Equality</w:t>
      </w:r>
      <w:r w:rsidR="002C76BC" w:rsidRPr="00602F08">
        <w:rPr>
          <w:rStyle w:val="normaltextrun"/>
          <w:rFonts w:ascii="Times New Roman" w:hAnsi="Times New Roman"/>
          <w:lang w:val="en-US"/>
        </w:rPr>
        <w:t xml:space="preserve"> Act.</w:t>
      </w:r>
      <w:r w:rsidR="00DA1D98" w:rsidRPr="00602F08">
        <w:rPr>
          <w:rStyle w:val="normaltextrun"/>
          <w:rFonts w:ascii="Times New Roman" w:hAnsi="Times New Roman"/>
          <w:lang w:val="en-US"/>
        </w:rPr>
        <w:t xml:space="preserve"> </w:t>
      </w:r>
    </w:p>
    <w:p w14:paraId="576D4560" w14:textId="77777777" w:rsidR="00590ACE" w:rsidRPr="00602F08" w:rsidRDefault="00590ACE" w:rsidP="00B6212D">
      <w:pPr>
        <w:pStyle w:val="ListParagraph"/>
        <w:ind w:left="687"/>
        <w:jc w:val="both"/>
        <w:rPr>
          <w:rStyle w:val="normaltextrun"/>
          <w:rFonts w:ascii="Times New Roman" w:hAnsi="Times New Roman"/>
          <w:lang w:val="en-US"/>
        </w:rPr>
      </w:pPr>
    </w:p>
    <w:p w14:paraId="4ADF0B3C" w14:textId="77777777" w:rsidR="00B659C8" w:rsidRDefault="00C5617A"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Whilst ELN </w:t>
      </w:r>
      <w:r w:rsidR="00BB6B1C" w:rsidRPr="00602F08">
        <w:rPr>
          <w:rStyle w:val="normaltextrun"/>
          <w:rFonts w:ascii="Times New Roman" w:hAnsi="Times New Roman"/>
          <w:lang w:val="en-US"/>
        </w:rPr>
        <w:t>has a “mental impairment” (section 6(1)(a))</w:t>
      </w:r>
      <w:r w:rsidR="00A776D9" w:rsidRPr="00602F08">
        <w:rPr>
          <w:rStyle w:val="normaltextrun"/>
          <w:rFonts w:ascii="Times New Roman" w:hAnsi="Times New Roman"/>
          <w:lang w:val="en-US"/>
        </w:rPr>
        <w:t xml:space="preserve">, </w:t>
      </w:r>
      <w:r w:rsidR="00477A60" w:rsidRPr="00602F08">
        <w:rPr>
          <w:rStyle w:val="normaltextrun"/>
          <w:rFonts w:ascii="Times New Roman" w:hAnsi="Times New Roman"/>
          <w:lang w:val="en-US"/>
        </w:rPr>
        <w:t>as described earlier, t</w:t>
      </w:r>
      <w:r w:rsidR="00A776D9" w:rsidRPr="00602F08">
        <w:rPr>
          <w:rStyle w:val="normaltextrun"/>
          <w:rFonts w:ascii="Times New Roman" w:hAnsi="Times New Roman"/>
          <w:lang w:val="en-US"/>
        </w:rPr>
        <w:t xml:space="preserve">here is </w:t>
      </w:r>
      <w:r w:rsidR="003579B4" w:rsidRPr="00602F08">
        <w:rPr>
          <w:rStyle w:val="normaltextrun"/>
          <w:rFonts w:ascii="Times New Roman" w:hAnsi="Times New Roman"/>
          <w:lang w:val="en-US"/>
        </w:rPr>
        <w:t xml:space="preserve">in my judgment </w:t>
      </w:r>
      <w:r w:rsidR="00A776D9" w:rsidRPr="00602F08">
        <w:rPr>
          <w:rStyle w:val="normaltextrun"/>
          <w:rFonts w:ascii="Times New Roman" w:hAnsi="Times New Roman"/>
          <w:lang w:val="en-US"/>
        </w:rPr>
        <w:t xml:space="preserve">insufficient </w:t>
      </w:r>
      <w:r w:rsidR="00DB414D" w:rsidRPr="00602F08">
        <w:rPr>
          <w:rStyle w:val="normaltextrun"/>
          <w:rFonts w:ascii="Times New Roman" w:hAnsi="Times New Roman"/>
          <w:lang w:val="en-US"/>
        </w:rPr>
        <w:t xml:space="preserve">detailed </w:t>
      </w:r>
      <w:r w:rsidR="00A776D9" w:rsidRPr="00602F08">
        <w:rPr>
          <w:rStyle w:val="normaltextrun"/>
          <w:rFonts w:ascii="Times New Roman" w:hAnsi="Times New Roman"/>
          <w:lang w:val="en-US"/>
        </w:rPr>
        <w:t>evidence to conclude that this had “</w:t>
      </w:r>
      <w:r w:rsidRPr="00602F08">
        <w:rPr>
          <w:rStyle w:val="normaltextrun"/>
          <w:rFonts w:ascii="Times New Roman" w:hAnsi="Times New Roman"/>
          <w:lang w:val="en-US"/>
        </w:rPr>
        <w:t xml:space="preserve">a substantial and long-term adverse effect on </w:t>
      </w:r>
      <w:r w:rsidR="00DD74B7" w:rsidRPr="00602F08">
        <w:rPr>
          <w:rStyle w:val="normaltextrun"/>
          <w:rFonts w:ascii="Times New Roman" w:hAnsi="Times New Roman"/>
          <w:lang w:val="en-US"/>
        </w:rPr>
        <w:t>[her]</w:t>
      </w:r>
      <w:r w:rsidRPr="00602F08">
        <w:rPr>
          <w:rStyle w:val="normaltextrun"/>
          <w:rFonts w:ascii="Times New Roman" w:hAnsi="Times New Roman"/>
          <w:lang w:val="en-US"/>
        </w:rPr>
        <w:t xml:space="preserve"> ability to carry out normal day-to-day activities</w:t>
      </w:r>
      <w:r w:rsidR="00A776D9" w:rsidRPr="00602F08">
        <w:rPr>
          <w:rStyle w:val="normaltextrun"/>
          <w:rFonts w:ascii="Times New Roman" w:hAnsi="Times New Roman"/>
          <w:lang w:val="en-US"/>
        </w:rPr>
        <w:t>”</w:t>
      </w:r>
      <w:r w:rsidR="00BB6B1C" w:rsidRPr="00602F08">
        <w:rPr>
          <w:rStyle w:val="normaltextrun"/>
          <w:rFonts w:ascii="Times New Roman" w:hAnsi="Times New Roman"/>
          <w:lang w:val="en-US"/>
        </w:rPr>
        <w:t xml:space="preserve"> (section 6(1)(b))</w:t>
      </w:r>
      <w:r w:rsidR="00A776D9" w:rsidRPr="00602F08">
        <w:rPr>
          <w:rStyle w:val="normaltextrun"/>
          <w:rFonts w:ascii="Times New Roman" w:hAnsi="Times New Roman"/>
          <w:lang w:val="en-US"/>
        </w:rPr>
        <w:t>.</w:t>
      </w:r>
      <w:r w:rsidR="003579B4" w:rsidRPr="00602F08">
        <w:rPr>
          <w:rStyle w:val="normaltextrun"/>
          <w:rFonts w:ascii="Times New Roman" w:hAnsi="Times New Roman"/>
          <w:lang w:val="en-US"/>
        </w:rPr>
        <w:t xml:space="preserve"> </w:t>
      </w:r>
    </w:p>
    <w:p w14:paraId="69BEC7B9" w14:textId="77777777" w:rsidR="00B659C8" w:rsidRPr="00B659C8" w:rsidRDefault="00B659C8" w:rsidP="00B659C8">
      <w:pPr>
        <w:pStyle w:val="ListParagraph"/>
        <w:rPr>
          <w:rStyle w:val="normaltextrun"/>
          <w:rFonts w:ascii="Times New Roman" w:hAnsi="Times New Roman"/>
          <w:lang w:val="en-US"/>
        </w:rPr>
      </w:pPr>
    </w:p>
    <w:p w14:paraId="0339DD31" w14:textId="04D3C2A6" w:rsidR="00FF0291" w:rsidRPr="00602F08" w:rsidRDefault="009C1E0C"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Thus</w:t>
      </w:r>
      <w:r w:rsidR="000B6A72" w:rsidRPr="00602F08">
        <w:rPr>
          <w:rStyle w:val="normaltextrun"/>
          <w:rFonts w:ascii="Times New Roman" w:hAnsi="Times New Roman"/>
          <w:lang w:val="en-US"/>
        </w:rPr>
        <w:t>,</w:t>
      </w:r>
      <w:r w:rsidRPr="00602F08">
        <w:rPr>
          <w:rStyle w:val="normaltextrun"/>
          <w:rFonts w:ascii="Times New Roman" w:hAnsi="Times New Roman"/>
          <w:lang w:val="en-US"/>
        </w:rPr>
        <w:t xml:space="preserve"> </w:t>
      </w:r>
      <w:r w:rsidR="00210984">
        <w:rPr>
          <w:rStyle w:val="normaltextrun"/>
          <w:rFonts w:ascii="Times New Roman" w:hAnsi="Times New Roman"/>
          <w:lang w:val="en-US"/>
        </w:rPr>
        <w:t xml:space="preserve">although </w:t>
      </w:r>
      <w:r w:rsidRPr="00602F08">
        <w:rPr>
          <w:rStyle w:val="normaltextrun"/>
          <w:rFonts w:ascii="Times New Roman" w:hAnsi="Times New Roman"/>
          <w:lang w:val="en-US"/>
        </w:rPr>
        <w:t xml:space="preserve">ELN’s position sits alongside that of DMA, </w:t>
      </w:r>
      <w:r w:rsidR="00750C99" w:rsidRPr="00602F08">
        <w:rPr>
          <w:rStyle w:val="normaltextrun"/>
          <w:rFonts w:ascii="Times New Roman" w:hAnsi="Times New Roman"/>
          <w:lang w:val="en-US"/>
        </w:rPr>
        <w:t xml:space="preserve">AHK and BK </w:t>
      </w:r>
      <w:r w:rsidR="00047987" w:rsidRPr="00602F08">
        <w:rPr>
          <w:rStyle w:val="normaltextrun"/>
          <w:rFonts w:ascii="Times New Roman" w:hAnsi="Times New Roman"/>
          <w:lang w:val="en-US"/>
        </w:rPr>
        <w:t>considered above,</w:t>
      </w:r>
      <w:r w:rsidR="00210984">
        <w:rPr>
          <w:rStyle w:val="normaltextrun"/>
          <w:rFonts w:ascii="Times New Roman" w:hAnsi="Times New Roman"/>
          <w:lang w:val="en-US"/>
        </w:rPr>
        <w:t xml:space="preserve"> </w:t>
      </w:r>
      <w:r w:rsidR="00047987" w:rsidRPr="00602F08">
        <w:rPr>
          <w:rStyle w:val="normaltextrun"/>
          <w:rFonts w:ascii="Times New Roman" w:hAnsi="Times New Roman"/>
          <w:lang w:val="en-US"/>
        </w:rPr>
        <w:t xml:space="preserve">it is in respect of AA </w:t>
      </w:r>
      <w:r w:rsidR="00F83817" w:rsidRPr="00602F08">
        <w:rPr>
          <w:rStyle w:val="normaltextrun"/>
          <w:rFonts w:ascii="Times New Roman" w:hAnsi="Times New Roman"/>
          <w:lang w:val="en-US"/>
        </w:rPr>
        <w:t xml:space="preserve">and not ELN </w:t>
      </w:r>
      <w:r w:rsidR="00047987" w:rsidRPr="00602F08">
        <w:rPr>
          <w:rStyle w:val="normaltextrun"/>
          <w:rFonts w:ascii="Times New Roman" w:hAnsi="Times New Roman"/>
          <w:lang w:val="en-US"/>
        </w:rPr>
        <w:t xml:space="preserve">that the equality </w:t>
      </w:r>
      <w:r w:rsidR="00590ACE" w:rsidRPr="00602F08">
        <w:rPr>
          <w:rStyle w:val="normaltextrun"/>
          <w:rFonts w:ascii="Times New Roman" w:hAnsi="Times New Roman"/>
          <w:lang w:val="en-US"/>
        </w:rPr>
        <w:t xml:space="preserve">and disability </w:t>
      </w:r>
      <w:r w:rsidR="00047987" w:rsidRPr="00602F08">
        <w:rPr>
          <w:rStyle w:val="normaltextrun"/>
          <w:rFonts w:ascii="Times New Roman" w:hAnsi="Times New Roman"/>
          <w:lang w:val="en-US"/>
        </w:rPr>
        <w:t>issues</w:t>
      </w:r>
      <w:r w:rsidR="00590ACE" w:rsidRPr="00602F08">
        <w:rPr>
          <w:rStyle w:val="normaltextrun"/>
          <w:rFonts w:ascii="Times New Roman" w:hAnsi="Times New Roman"/>
          <w:lang w:val="en-US"/>
        </w:rPr>
        <w:t xml:space="preserve"> are</w:t>
      </w:r>
      <w:r w:rsidR="00F03A72" w:rsidRPr="00602F08">
        <w:rPr>
          <w:rStyle w:val="normaltextrun"/>
          <w:rFonts w:ascii="Times New Roman" w:hAnsi="Times New Roman"/>
          <w:lang w:val="en-US"/>
        </w:rPr>
        <w:t xml:space="preserve"> </w:t>
      </w:r>
      <w:r w:rsidR="00590ACE" w:rsidRPr="00602F08">
        <w:rPr>
          <w:rStyle w:val="normaltextrun"/>
          <w:rFonts w:ascii="Times New Roman" w:hAnsi="Times New Roman"/>
          <w:lang w:val="en-US"/>
        </w:rPr>
        <w:t>engaged.</w:t>
      </w:r>
    </w:p>
    <w:p w14:paraId="0EE9F87C" w14:textId="7886BC44" w:rsidR="009C1E0C" w:rsidRPr="00602F08" w:rsidRDefault="009C1E0C" w:rsidP="00B6212D">
      <w:pPr>
        <w:ind w:left="119"/>
        <w:jc w:val="both"/>
        <w:rPr>
          <w:rStyle w:val="normaltextrun"/>
          <w:lang w:val="en-US"/>
        </w:rPr>
      </w:pPr>
    </w:p>
    <w:p w14:paraId="63F17B41" w14:textId="421264E0" w:rsidR="009C1E0C" w:rsidRPr="00602F08" w:rsidRDefault="009C1E0C" w:rsidP="00B6212D">
      <w:pPr>
        <w:ind w:left="119"/>
        <w:jc w:val="both"/>
        <w:rPr>
          <w:rStyle w:val="normaltextrun"/>
          <w:u w:val="single"/>
          <w:lang w:val="en-US"/>
        </w:rPr>
      </w:pPr>
    </w:p>
    <w:p w14:paraId="56B4AD4E" w14:textId="7FB997E6" w:rsidR="009C1E0C" w:rsidRPr="00602F08" w:rsidRDefault="008D7790" w:rsidP="00B6212D">
      <w:pPr>
        <w:ind w:left="119" w:firstLine="568"/>
        <w:jc w:val="both"/>
        <w:rPr>
          <w:rStyle w:val="normaltextrun"/>
          <w:u w:val="single"/>
          <w:lang w:val="en-US"/>
        </w:rPr>
      </w:pPr>
      <w:r w:rsidRPr="00602F08">
        <w:rPr>
          <w:rStyle w:val="normaltextrun"/>
          <w:u w:val="single"/>
          <w:lang w:val="en-US"/>
        </w:rPr>
        <w:t>Needs</w:t>
      </w:r>
    </w:p>
    <w:p w14:paraId="0ECCB725" w14:textId="77777777" w:rsidR="00FF0291" w:rsidRPr="00602F08" w:rsidRDefault="00FF0291" w:rsidP="00B6212D">
      <w:pPr>
        <w:ind w:left="687"/>
        <w:jc w:val="both"/>
        <w:rPr>
          <w:rStyle w:val="normaltextrun"/>
          <w:lang w:val="en-US"/>
        </w:rPr>
      </w:pPr>
    </w:p>
    <w:p w14:paraId="7B6F142F" w14:textId="20D093AC" w:rsidR="00750C75" w:rsidRPr="00602F08" w:rsidRDefault="007D7356" w:rsidP="00B6212D">
      <w:pPr>
        <w:numPr>
          <w:ilvl w:val="0"/>
          <w:numId w:val="10"/>
        </w:numPr>
        <w:jc w:val="both"/>
        <w:rPr>
          <w:lang w:val="en-US"/>
        </w:rPr>
      </w:pPr>
      <w:r w:rsidRPr="00602F08">
        <w:rPr>
          <w:rStyle w:val="normaltextrun"/>
          <w:lang w:val="en-US"/>
        </w:rPr>
        <w:t>AA’s</w:t>
      </w:r>
      <w:r w:rsidR="002E6071" w:rsidRPr="00602F08">
        <w:rPr>
          <w:rStyle w:val="normaltextrun"/>
          <w:lang w:val="en-US"/>
        </w:rPr>
        <w:t xml:space="preserve"> </w:t>
      </w:r>
      <w:r w:rsidR="00EF2135" w:rsidRPr="00602F08">
        <w:rPr>
          <w:rStyle w:val="normaltextrun"/>
          <w:lang w:val="en-US"/>
        </w:rPr>
        <w:t xml:space="preserve">accommodation </w:t>
      </w:r>
      <w:r w:rsidR="00B74221" w:rsidRPr="00602F08">
        <w:rPr>
          <w:rStyle w:val="normaltextrun"/>
          <w:lang w:val="en-US"/>
        </w:rPr>
        <w:t xml:space="preserve">needs </w:t>
      </w:r>
      <w:r w:rsidR="002E0D1F" w:rsidRPr="00602F08">
        <w:rPr>
          <w:rStyle w:val="normaltextrun"/>
          <w:lang w:val="en-US"/>
        </w:rPr>
        <w:t xml:space="preserve">have been described earlier. They </w:t>
      </w:r>
      <w:r w:rsidR="00B74221" w:rsidRPr="00602F08">
        <w:rPr>
          <w:rStyle w:val="normaltextrun"/>
          <w:lang w:val="en-US"/>
        </w:rPr>
        <w:t>extend to</w:t>
      </w:r>
      <w:r w:rsidR="00171F81" w:rsidRPr="00602F08">
        <w:rPr>
          <w:rStyle w:val="normaltextrun"/>
          <w:lang w:val="en-US"/>
        </w:rPr>
        <w:t xml:space="preserve"> mobility and </w:t>
      </w:r>
      <w:r w:rsidR="009B2E4A" w:rsidRPr="00602F08">
        <w:rPr>
          <w:rStyle w:val="normaltextrun"/>
          <w:lang w:val="en-US"/>
        </w:rPr>
        <w:t xml:space="preserve">medical </w:t>
      </w:r>
      <w:r w:rsidR="00171F81" w:rsidRPr="00602F08">
        <w:rPr>
          <w:rStyle w:val="normaltextrun"/>
          <w:lang w:val="en-US"/>
        </w:rPr>
        <w:t>dietary</w:t>
      </w:r>
      <w:r w:rsidR="009B2E4A" w:rsidRPr="00602F08">
        <w:rPr>
          <w:rStyle w:val="normaltextrun"/>
          <w:lang w:val="en-US"/>
        </w:rPr>
        <w:t xml:space="preserve"> need</w:t>
      </w:r>
      <w:r w:rsidR="00FF0291" w:rsidRPr="00602F08">
        <w:rPr>
          <w:rStyle w:val="normaltextrun"/>
          <w:lang w:val="en-US"/>
        </w:rPr>
        <w:t>s and</w:t>
      </w:r>
      <w:r w:rsidR="009829FA" w:rsidRPr="00602F08">
        <w:rPr>
          <w:rStyle w:val="normaltextrun"/>
          <w:lang w:val="en-US"/>
        </w:rPr>
        <w:t xml:space="preserve"> </w:t>
      </w:r>
      <w:r w:rsidR="009B2E4A" w:rsidRPr="00602F08">
        <w:rPr>
          <w:rStyle w:val="normaltextrun"/>
          <w:lang w:val="en-US"/>
        </w:rPr>
        <w:t xml:space="preserve">access </w:t>
      </w:r>
      <w:r w:rsidR="00FF0291" w:rsidRPr="00602F08">
        <w:rPr>
          <w:rStyle w:val="normaltextrun"/>
          <w:lang w:val="en-US"/>
        </w:rPr>
        <w:t xml:space="preserve">to </w:t>
      </w:r>
      <w:r w:rsidR="00D22751" w:rsidRPr="00602F08">
        <w:rPr>
          <w:rStyle w:val="normaltextrun"/>
          <w:lang w:val="en-US"/>
        </w:rPr>
        <w:t>a</w:t>
      </w:r>
      <w:r w:rsidR="00C14421" w:rsidRPr="00602F08">
        <w:rPr>
          <w:rStyle w:val="normaltextrun"/>
          <w:lang w:val="en-US"/>
        </w:rPr>
        <w:t xml:space="preserve"> clinic providing kidney</w:t>
      </w:r>
      <w:r w:rsidR="009B2E4A" w:rsidRPr="00602F08">
        <w:rPr>
          <w:rStyle w:val="normaltextrun"/>
          <w:lang w:val="en-US"/>
        </w:rPr>
        <w:t xml:space="preserve"> </w:t>
      </w:r>
      <w:r w:rsidR="009829FA" w:rsidRPr="00602F08">
        <w:rPr>
          <w:rStyle w:val="normaltextrun"/>
          <w:lang w:val="en-US"/>
        </w:rPr>
        <w:t>dialysi</w:t>
      </w:r>
      <w:r w:rsidR="00FF0291" w:rsidRPr="00602F08">
        <w:rPr>
          <w:rStyle w:val="normaltextrun"/>
          <w:lang w:val="en-US"/>
        </w:rPr>
        <w:t>s</w:t>
      </w:r>
      <w:r w:rsidR="009B2E4A" w:rsidRPr="00602F08">
        <w:rPr>
          <w:rStyle w:val="normaltextrun"/>
          <w:lang w:val="en-US"/>
        </w:rPr>
        <w:t>.</w:t>
      </w:r>
      <w:r w:rsidR="00B72F10" w:rsidRPr="00602F08">
        <w:rPr>
          <w:rStyle w:val="normaltextrun"/>
          <w:lang w:val="en-US"/>
        </w:rPr>
        <w:t xml:space="preserve"> </w:t>
      </w:r>
      <w:r w:rsidR="004009E0" w:rsidRPr="00602F08">
        <w:rPr>
          <w:lang w:eastAsia="en-GB"/>
        </w:rPr>
        <w:t>On behalf of t</w:t>
      </w:r>
      <w:r w:rsidR="000C7987" w:rsidRPr="00602F08">
        <w:rPr>
          <w:lang w:eastAsia="en-GB"/>
        </w:rPr>
        <w:t xml:space="preserve">he Secretary of State </w:t>
      </w:r>
      <w:r w:rsidR="004009E0" w:rsidRPr="00602F08">
        <w:rPr>
          <w:lang w:eastAsia="en-GB"/>
        </w:rPr>
        <w:t xml:space="preserve">it is denied </w:t>
      </w:r>
      <w:r w:rsidR="000C7987" w:rsidRPr="00602F08">
        <w:rPr>
          <w:lang w:eastAsia="en-GB"/>
        </w:rPr>
        <w:t xml:space="preserve">that these needs are </w:t>
      </w:r>
      <w:r w:rsidR="00ED4BA3" w:rsidRPr="00602F08">
        <w:rPr>
          <w:lang w:eastAsia="en-GB"/>
        </w:rPr>
        <w:t>“things arising” from his disability</w:t>
      </w:r>
      <w:r w:rsidR="00CF7040">
        <w:rPr>
          <w:lang w:eastAsia="en-GB"/>
        </w:rPr>
        <w:t>, within section 15</w:t>
      </w:r>
      <w:r w:rsidR="007E331D">
        <w:rPr>
          <w:lang w:eastAsia="en-GB"/>
        </w:rPr>
        <w:t>(1)(a)</w:t>
      </w:r>
      <w:r w:rsidR="00CF7040">
        <w:rPr>
          <w:lang w:eastAsia="en-GB"/>
        </w:rPr>
        <w:t xml:space="preserve"> of the Equality Act</w:t>
      </w:r>
      <w:r w:rsidR="00750C75" w:rsidRPr="00602F08">
        <w:rPr>
          <w:lang w:eastAsia="en-GB"/>
        </w:rPr>
        <w:t xml:space="preserve">. </w:t>
      </w:r>
      <w:r w:rsidR="00E024A4">
        <w:rPr>
          <w:lang w:eastAsia="en-GB"/>
        </w:rPr>
        <w:t xml:space="preserve">The </w:t>
      </w:r>
      <w:r w:rsidR="00374B21">
        <w:rPr>
          <w:lang w:eastAsia="en-GB"/>
        </w:rPr>
        <w:t xml:space="preserve">point is not developed. </w:t>
      </w:r>
      <w:r w:rsidR="00750C75" w:rsidRPr="00602F08">
        <w:rPr>
          <w:lang w:eastAsia="en-GB"/>
        </w:rPr>
        <w:t xml:space="preserve">I am satisfied that </w:t>
      </w:r>
      <w:r w:rsidR="00077615">
        <w:rPr>
          <w:lang w:eastAsia="en-GB"/>
        </w:rPr>
        <w:t xml:space="preserve">each is something arising </w:t>
      </w:r>
      <w:r w:rsidR="001654AC">
        <w:rPr>
          <w:lang w:eastAsia="en-GB"/>
        </w:rPr>
        <w:t>in consequence of AA’s disability</w:t>
      </w:r>
      <w:r w:rsidR="00750C75" w:rsidRPr="00602F08">
        <w:rPr>
          <w:lang w:eastAsia="en-GB"/>
        </w:rPr>
        <w:t>.</w:t>
      </w:r>
      <w:r w:rsidR="00ED4BA3" w:rsidRPr="00602F08">
        <w:rPr>
          <w:lang w:eastAsia="en-GB"/>
        </w:rPr>
        <w:t xml:space="preserve"> </w:t>
      </w:r>
    </w:p>
    <w:p w14:paraId="19600267" w14:textId="6E19616E" w:rsidR="00BA57BF" w:rsidRPr="00602F08" w:rsidRDefault="00BA57BF" w:rsidP="00B6212D">
      <w:pPr>
        <w:jc w:val="both"/>
        <w:rPr>
          <w:lang w:eastAsia="en-GB"/>
        </w:rPr>
      </w:pPr>
    </w:p>
    <w:p w14:paraId="5EBB98CB" w14:textId="77777777" w:rsidR="00BA57BF" w:rsidRPr="00602F08" w:rsidRDefault="00BA57BF" w:rsidP="00B6212D">
      <w:pPr>
        <w:jc w:val="both"/>
        <w:rPr>
          <w:lang w:eastAsia="en-GB"/>
        </w:rPr>
      </w:pPr>
    </w:p>
    <w:p w14:paraId="130345BA" w14:textId="62B8FEF1" w:rsidR="00BA57BF" w:rsidRPr="00602F08" w:rsidRDefault="00BA57BF" w:rsidP="00B6212D">
      <w:pPr>
        <w:ind w:left="687"/>
        <w:jc w:val="both"/>
        <w:rPr>
          <w:u w:val="single"/>
          <w:lang w:val="en-US"/>
        </w:rPr>
      </w:pPr>
      <w:r w:rsidRPr="00602F08">
        <w:rPr>
          <w:u w:val="single"/>
          <w:lang w:eastAsia="en-GB"/>
        </w:rPr>
        <w:t>Unfavourable treatment</w:t>
      </w:r>
    </w:p>
    <w:p w14:paraId="6F6656D7" w14:textId="77777777" w:rsidR="00750C75" w:rsidRPr="00602F08" w:rsidRDefault="00750C75" w:rsidP="00B6212D">
      <w:pPr>
        <w:pStyle w:val="ListParagraph"/>
        <w:jc w:val="both"/>
        <w:rPr>
          <w:rFonts w:ascii="Times New Roman" w:hAnsi="Times New Roman"/>
          <w:lang w:eastAsia="en-GB"/>
        </w:rPr>
      </w:pPr>
    </w:p>
    <w:p w14:paraId="1B39C393" w14:textId="33B99F03" w:rsidR="000B3427" w:rsidRPr="000B3427" w:rsidRDefault="00563D8D" w:rsidP="00B6212D">
      <w:pPr>
        <w:numPr>
          <w:ilvl w:val="0"/>
          <w:numId w:val="10"/>
        </w:numPr>
        <w:jc w:val="both"/>
        <w:rPr>
          <w:lang w:val="en-US"/>
        </w:rPr>
      </w:pPr>
      <w:r w:rsidRPr="00602F08">
        <w:rPr>
          <w:lang w:eastAsia="en-GB"/>
        </w:rPr>
        <w:t>On behalf of t</w:t>
      </w:r>
      <w:r w:rsidR="00750C75" w:rsidRPr="00602F08">
        <w:rPr>
          <w:lang w:eastAsia="en-GB"/>
        </w:rPr>
        <w:t xml:space="preserve">he Secretary of State </w:t>
      </w:r>
      <w:r w:rsidRPr="00602F08">
        <w:rPr>
          <w:lang w:eastAsia="en-GB"/>
        </w:rPr>
        <w:t xml:space="preserve">it is </w:t>
      </w:r>
      <w:r w:rsidR="002F67CE" w:rsidRPr="00602F08">
        <w:rPr>
          <w:lang w:eastAsia="en-GB"/>
        </w:rPr>
        <w:t>denie</w:t>
      </w:r>
      <w:r w:rsidRPr="00602F08">
        <w:rPr>
          <w:lang w:eastAsia="en-GB"/>
        </w:rPr>
        <w:t>d</w:t>
      </w:r>
      <w:r w:rsidR="002F67CE" w:rsidRPr="00602F08">
        <w:rPr>
          <w:lang w:eastAsia="en-GB"/>
        </w:rPr>
        <w:t xml:space="preserve"> </w:t>
      </w:r>
      <w:r w:rsidR="00ED4BA3" w:rsidRPr="00602F08">
        <w:rPr>
          <w:lang w:eastAsia="en-GB"/>
        </w:rPr>
        <w:t>that there has been any “unfavourable treatment”</w:t>
      </w:r>
      <w:r w:rsidR="007E331D">
        <w:rPr>
          <w:lang w:eastAsia="en-GB"/>
        </w:rPr>
        <w:t xml:space="preserve"> within section 15</w:t>
      </w:r>
      <w:r w:rsidR="00E024A4">
        <w:rPr>
          <w:lang w:eastAsia="en-GB"/>
        </w:rPr>
        <w:t>(1)(a) of the Equality Act</w:t>
      </w:r>
      <w:r w:rsidR="00ED4BA3" w:rsidRPr="00602F08">
        <w:rPr>
          <w:lang w:eastAsia="en-GB"/>
        </w:rPr>
        <w:t>.</w:t>
      </w:r>
    </w:p>
    <w:p w14:paraId="20E45479" w14:textId="77777777" w:rsidR="000B3427" w:rsidRPr="000B3427" w:rsidRDefault="000B3427" w:rsidP="000B3427">
      <w:pPr>
        <w:ind w:left="687"/>
        <w:jc w:val="both"/>
        <w:rPr>
          <w:lang w:val="en-US"/>
        </w:rPr>
      </w:pPr>
    </w:p>
    <w:p w14:paraId="71737510" w14:textId="77777777" w:rsidR="009F0905" w:rsidRDefault="000F64F7" w:rsidP="000B3427">
      <w:pPr>
        <w:numPr>
          <w:ilvl w:val="0"/>
          <w:numId w:val="10"/>
        </w:numPr>
        <w:jc w:val="both"/>
        <w:rPr>
          <w:lang w:val="en-US"/>
        </w:rPr>
      </w:pPr>
      <w:r w:rsidRPr="00602F08">
        <w:rPr>
          <w:lang w:eastAsia="en-GB"/>
        </w:rPr>
        <w:t>Looking at the facts of AA’s case, t</w:t>
      </w:r>
      <w:r w:rsidR="009E712A" w:rsidRPr="00602F08">
        <w:rPr>
          <w:lang w:eastAsia="en-GB"/>
        </w:rPr>
        <w:t xml:space="preserve">he Secretary of State </w:t>
      </w:r>
      <w:r w:rsidR="00DB414D" w:rsidRPr="00602F08">
        <w:rPr>
          <w:lang w:eastAsia="en-GB"/>
        </w:rPr>
        <w:t xml:space="preserve">realistically </w:t>
      </w:r>
      <w:r w:rsidR="009E712A" w:rsidRPr="00602F08">
        <w:rPr>
          <w:lang w:eastAsia="en-GB"/>
        </w:rPr>
        <w:t>acknowledges that “</w:t>
      </w:r>
      <w:r w:rsidR="00ED4BA3" w:rsidRPr="00602F08">
        <w:rPr>
          <w:lang w:eastAsia="en-GB"/>
        </w:rPr>
        <w:t>there were issues in identifying suitable accommodation</w:t>
      </w:r>
      <w:r w:rsidR="009E712A" w:rsidRPr="00602F08">
        <w:rPr>
          <w:lang w:eastAsia="en-GB"/>
        </w:rPr>
        <w:t>”</w:t>
      </w:r>
      <w:r w:rsidR="006772F3" w:rsidRPr="00602F08">
        <w:rPr>
          <w:lang w:eastAsia="en-GB"/>
        </w:rPr>
        <w:t>.</w:t>
      </w:r>
      <w:r w:rsidR="002E1DCA" w:rsidRPr="00602F08">
        <w:rPr>
          <w:lang w:eastAsia="en-GB"/>
        </w:rPr>
        <w:t xml:space="preserve"> </w:t>
      </w:r>
      <w:r w:rsidR="007178C2" w:rsidRPr="00602F08">
        <w:rPr>
          <w:lang w:eastAsia="en-GB"/>
        </w:rPr>
        <w:t>In argument on her behalf</w:t>
      </w:r>
      <w:r w:rsidR="00D82A3C">
        <w:rPr>
          <w:lang w:eastAsia="en-GB"/>
        </w:rPr>
        <w:t>,</w:t>
      </w:r>
      <w:r w:rsidR="007178C2" w:rsidRPr="00602F08">
        <w:rPr>
          <w:lang w:eastAsia="en-GB"/>
        </w:rPr>
        <w:t xml:space="preserve"> i</w:t>
      </w:r>
      <w:r w:rsidR="00902EC6" w:rsidRPr="00602F08">
        <w:rPr>
          <w:lang w:eastAsia="en-GB"/>
        </w:rPr>
        <w:t>t</w:t>
      </w:r>
      <w:r w:rsidR="007178C2" w:rsidRPr="00602F08">
        <w:rPr>
          <w:lang w:eastAsia="en-GB"/>
        </w:rPr>
        <w:t xml:space="preserve"> was sought to mitigate these issues</w:t>
      </w:r>
      <w:r w:rsidR="008B64BA" w:rsidRPr="00602F08">
        <w:rPr>
          <w:lang w:eastAsia="en-GB"/>
        </w:rPr>
        <w:t>.</w:t>
      </w:r>
      <w:r w:rsidR="00C3369E" w:rsidRPr="000B3427">
        <w:rPr>
          <w:lang w:val="en-US"/>
        </w:rPr>
        <w:t xml:space="preserve"> </w:t>
      </w:r>
    </w:p>
    <w:p w14:paraId="755EEAFC" w14:textId="77777777" w:rsidR="009F0905" w:rsidRDefault="009F0905" w:rsidP="009F0905">
      <w:pPr>
        <w:pStyle w:val="ListParagraph"/>
        <w:rPr>
          <w:lang w:eastAsia="en-GB"/>
        </w:rPr>
      </w:pPr>
    </w:p>
    <w:p w14:paraId="3A0D6363" w14:textId="410EEDF4" w:rsidR="008B64BA" w:rsidRPr="000B3427" w:rsidRDefault="004D632C" w:rsidP="000B3427">
      <w:pPr>
        <w:numPr>
          <w:ilvl w:val="0"/>
          <w:numId w:val="10"/>
        </w:numPr>
        <w:jc w:val="both"/>
        <w:rPr>
          <w:lang w:val="en-US"/>
        </w:rPr>
      </w:pPr>
      <w:r w:rsidRPr="00602F08">
        <w:rPr>
          <w:lang w:eastAsia="en-GB"/>
        </w:rPr>
        <w:t xml:space="preserve">The point </w:t>
      </w:r>
      <w:r w:rsidR="007178C2" w:rsidRPr="00602F08">
        <w:rPr>
          <w:lang w:eastAsia="en-GB"/>
        </w:rPr>
        <w:t>wa</w:t>
      </w:r>
      <w:r w:rsidRPr="00602F08">
        <w:rPr>
          <w:lang w:eastAsia="en-GB"/>
        </w:rPr>
        <w:t xml:space="preserve">s made that </w:t>
      </w:r>
      <w:r w:rsidR="008766AE" w:rsidRPr="00602F08">
        <w:rPr>
          <w:lang w:eastAsia="en-GB"/>
        </w:rPr>
        <w:t>an</w:t>
      </w:r>
      <w:r w:rsidR="00ED4BA3" w:rsidRPr="00602F08">
        <w:rPr>
          <w:lang w:eastAsia="en-GB"/>
        </w:rPr>
        <w:t xml:space="preserve"> initial application</w:t>
      </w:r>
      <w:r w:rsidR="00D82A3C">
        <w:rPr>
          <w:lang w:eastAsia="en-GB"/>
        </w:rPr>
        <w:t xml:space="preserve"> for AA</w:t>
      </w:r>
      <w:r w:rsidR="00ED4BA3" w:rsidRPr="00602F08">
        <w:rPr>
          <w:lang w:eastAsia="en-GB"/>
        </w:rPr>
        <w:t xml:space="preserve"> </w:t>
      </w:r>
      <w:r w:rsidR="008766AE" w:rsidRPr="00602F08">
        <w:rPr>
          <w:lang w:eastAsia="en-GB"/>
        </w:rPr>
        <w:t>sought</w:t>
      </w:r>
      <w:r w:rsidR="00ED4BA3" w:rsidRPr="00602F08">
        <w:rPr>
          <w:lang w:eastAsia="en-GB"/>
        </w:rPr>
        <w:t xml:space="preserve"> a room on the first floor</w:t>
      </w:r>
      <w:r w:rsidR="00162A16" w:rsidRPr="00602F08">
        <w:rPr>
          <w:lang w:eastAsia="en-GB"/>
        </w:rPr>
        <w:t xml:space="preserve"> rather than the ground floor</w:t>
      </w:r>
      <w:r w:rsidR="00ED4BA3" w:rsidRPr="00602F08">
        <w:rPr>
          <w:lang w:eastAsia="en-GB"/>
        </w:rPr>
        <w:t xml:space="preserve">. </w:t>
      </w:r>
      <w:r w:rsidR="007660FC" w:rsidRPr="00602F08">
        <w:rPr>
          <w:lang w:eastAsia="en-GB"/>
        </w:rPr>
        <w:t>However, t</w:t>
      </w:r>
      <w:r w:rsidR="00497C5D" w:rsidRPr="00602F08">
        <w:rPr>
          <w:lang w:eastAsia="en-GB"/>
        </w:rPr>
        <w:t xml:space="preserve">his was </w:t>
      </w:r>
      <w:r w:rsidR="00E2025E" w:rsidRPr="00602F08">
        <w:rPr>
          <w:lang w:eastAsia="en-GB"/>
        </w:rPr>
        <w:t>no longer the case from 20 March 2019 following an assessment by</w:t>
      </w:r>
      <w:r w:rsidR="00497C5D" w:rsidRPr="00602F08">
        <w:rPr>
          <w:lang w:eastAsia="en-GB"/>
        </w:rPr>
        <w:t xml:space="preserve"> </w:t>
      </w:r>
      <w:r w:rsidR="00D20E5A">
        <w:rPr>
          <w:lang w:eastAsia="en-GB"/>
        </w:rPr>
        <w:t xml:space="preserve">a </w:t>
      </w:r>
      <w:r w:rsidR="00497C5D" w:rsidRPr="00602F08">
        <w:rPr>
          <w:lang w:eastAsia="en-GB"/>
        </w:rPr>
        <w:t>Dr Keen</w:t>
      </w:r>
      <w:r w:rsidR="007660FC" w:rsidRPr="00602F08">
        <w:rPr>
          <w:lang w:eastAsia="en-GB"/>
        </w:rPr>
        <w:t>.</w:t>
      </w:r>
      <w:r w:rsidR="00497C5D" w:rsidRPr="00602F08">
        <w:rPr>
          <w:lang w:eastAsia="en-GB"/>
        </w:rPr>
        <w:t xml:space="preserve"> </w:t>
      </w:r>
      <w:r w:rsidRPr="00602F08">
        <w:rPr>
          <w:lang w:eastAsia="en-GB"/>
        </w:rPr>
        <w:t xml:space="preserve">The Secretary of State </w:t>
      </w:r>
      <w:r w:rsidR="00770569" w:rsidRPr="00602F08">
        <w:rPr>
          <w:lang w:eastAsia="en-GB"/>
        </w:rPr>
        <w:t>refer</w:t>
      </w:r>
      <w:r w:rsidR="008B64BA" w:rsidRPr="00602F08">
        <w:rPr>
          <w:lang w:eastAsia="en-GB"/>
        </w:rPr>
        <w:t>red</w:t>
      </w:r>
      <w:r w:rsidR="00770569" w:rsidRPr="00602F08">
        <w:rPr>
          <w:lang w:eastAsia="en-GB"/>
        </w:rPr>
        <w:t xml:space="preserve"> to advice of her Independent Medical Examiner</w:t>
      </w:r>
      <w:r w:rsidR="008B64BA" w:rsidRPr="00602F08">
        <w:rPr>
          <w:lang w:eastAsia="en-GB"/>
        </w:rPr>
        <w:t xml:space="preserve"> in early 2019</w:t>
      </w:r>
      <w:r w:rsidR="00162A16" w:rsidRPr="00602F08">
        <w:rPr>
          <w:lang w:eastAsia="en-GB"/>
        </w:rPr>
        <w:t xml:space="preserve"> on location</w:t>
      </w:r>
      <w:r w:rsidR="007660FC" w:rsidRPr="00602F08">
        <w:rPr>
          <w:lang w:eastAsia="en-GB"/>
        </w:rPr>
        <w:t>,</w:t>
      </w:r>
      <w:r w:rsidR="00770569" w:rsidRPr="00602F08">
        <w:rPr>
          <w:lang w:eastAsia="en-GB"/>
        </w:rPr>
        <w:t xml:space="preserve"> but</w:t>
      </w:r>
      <w:r w:rsidR="007660FC" w:rsidRPr="00602F08">
        <w:rPr>
          <w:lang w:eastAsia="en-GB"/>
        </w:rPr>
        <w:t xml:space="preserve"> t</w:t>
      </w:r>
      <w:r w:rsidR="002E6B1F" w:rsidRPr="00602F08">
        <w:rPr>
          <w:lang w:eastAsia="en-GB"/>
        </w:rPr>
        <w:t xml:space="preserve">his </w:t>
      </w:r>
      <w:r w:rsidR="00DD3CC6" w:rsidRPr="00602F08">
        <w:rPr>
          <w:lang w:eastAsia="en-GB"/>
        </w:rPr>
        <w:t xml:space="preserve">went only </w:t>
      </w:r>
      <w:r w:rsidR="008437AA" w:rsidRPr="00602F08">
        <w:rPr>
          <w:lang w:eastAsia="en-GB"/>
        </w:rPr>
        <w:t xml:space="preserve">whether </w:t>
      </w:r>
      <w:r w:rsidR="00DD3CC6" w:rsidRPr="00602F08">
        <w:rPr>
          <w:lang w:eastAsia="en-GB"/>
        </w:rPr>
        <w:t xml:space="preserve">to location </w:t>
      </w:r>
      <w:r w:rsidR="008437AA" w:rsidRPr="00602F08">
        <w:rPr>
          <w:lang w:eastAsia="en-GB"/>
        </w:rPr>
        <w:t>had to be in London</w:t>
      </w:r>
      <w:r w:rsidR="00E90564" w:rsidRPr="00602F08">
        <w:rPr>
          <w:lang w:eastAsia="en-GB"/>
        </w:rPr>
        <w:t>.</w:t>
      </w:r>
    </w:p>
    <w:p w14:paraId="2EAA8F47" w14:textId="77777777" w:rsidR="008B64BA" w:rsidRPr="00602F08" w:rsidRDefault="008B64BA" w:rsidP="00B6212D">
      <w:pPr>
        <w:pStyle w:val="ListParagraph"/>
        <w:jc w:val="both"/>
        <w:rPr>
          <w:rFonts w:ascii="Times New Roman" w:hAnsi="Times New Roman"/>
          <w:lang w:eastAsia="en-GB"/>
        </w:rPr>
      </w:pPr>
    </w:p>
    <w:p w14:paraId="7FCA849A" w14:textId="78CC9121" w:rsidR="00353D8B" w:rsidRPr="00602F08" w:rsidRDefault="00D10621" w:rsidP="00B6212D">
      <w:pPr>
        <w:numPr>
          <w:ilvl w:val="0"/>
          <w:numId w:val="10"/>
        </w:numPr>
        <w:jc w:val="both"/>
        <w:rPr>
          <w:rStyle w:val="normaltextrun"/>
          <w:lang w:val="en-US"/>
        </w:rPr>
      </w:pPr>
      <w:r w:rsidRPr="00602F08">
        <w:rPr>
          <w:lang w:eastAsia="en-GB"/>
        </w:rPr>
        <w:t>It was</w:t>
      </w:r>
      <w:r w:rsidR="008437AA" w:rsidRPr="00602F08">
        <w:rPr>
          <w:lang w:eastAsia="en-GB"/>
        </w:rPr>
        <w:t xml:space="preserve"> argue</w:t>
      </w:r>
      <w:r w:rsidR="008B64BA" w:rsidRPr="00602F08">
        <w:rPr>
          <w:lang w:eastAsia="en-GB"/>
        </w:rPr>
        <w:t>d</w:t>
      </w:r>
      <w:r w:rsidR="008437AA" w:rsidRPr="00602F08">
        <w:rPr>
          <w:lang w:eastAsia="en-GB"/>
        </w:rPr>
        <w:t xml:space="preserve"> </w:t>
      </w:r>
      <w:r w:rsidRPr="00602F08">
        <w:rPr>
          <w:lang w:eastAsia="en-GB"/>
        </w:rPr>
        <w:t xml:space="preserve">for the Secretary of State </w:t>
      </w:r>
      <w:r w:rsidR="008766AE" w:rsidRPr="00602F08">
        <w:rPr>
          <w:lang w:eastAsia="en-GB"/>
        </w:rPr>
        <w:t>that “o</w:t>
      </w:r>
      <w:r w:rsidR="00ED4BA3" w:rsidRPr="00602F08">
        <w:rPr>
          <w:lang w:eastAsia="en-GB"/>
        </w:rPr>
        <w:t xml:space="preserve">n 8 April 2019 </w:t>
      </w:r>
      <w:r w:rsidR="00610EF3">
        <w:rPr>
          <w:lang w:eastAsia="en-GB"/>
        </w:rPr>
        <w:t>[AA]</w:t>
      </w:r>
      <w:r w:rsidR="00ED4BA3" w:rsidRPr="00602F08">
        <w:rPr>
          <w:lang w:eastAsia="en-GB"/>
        </w:rPr>
        <w:t xml:space="preserve"> left his accommodation in Harrow and went to live with a friend</w:t>
      </w:r>
      <w:r w:rsidR="008766AE" w:rsidRPr="00602F08">
        <w:rPr>
          <w:lang w:eastAsia="en-GB"/>
        </w:rPr>
        <w:t>”</w:t>
      </w:r>
      <w:r w:rsidR="00ED4BA3" w:rsidRPr="00602F08">
        <w:rPr>
          <w:lang w:eastAsia="en-GB"/>
        </w:rPr>
        <w:t>.</w:t>
      </w:r>
      <w:r w:rsidR="007660FC" w:rsidRPr="00602F08">
        <w:rPr>
          <w:lang w:eastAsia="en-GB"/>
        </w:rPr>
        <w:t xml:space="preserve"> </w:t>
      </w:r>
      <w:r w:rsidR="008766AE" w:rsidRPr="00602F08">
        <w:rPr>
          <w:lang w:eastAsia="en-GB"/>
        </w:rPr>
        <w:t xml:space="preserve">This </w:t>
      </w:r>
      <w:r w:rsidR="003363A9" w:rsidRPr="00602F08">
        <w:rPr>
          <w:lang w:eastAsia="en-GB"/>
        </w:rPr>
        <w:t>does not give the full</w:t>
      </w:r>
      <w:r w:rsidR="00C81536" w:rsidRPr="00602F08">
        <w:rPr>
          <w:lang w:eastAsia="en-GB"/>
        </w:rPr>
        <w:t xml:space="preserve"> and accurate</w:t>
      </w:r>
      <w:r w:rsidR="003363A9" w:rsidRPr="00602F08">
        <w:rPr>
          <w:lang w:eastAsia="en-GB"/>
        </w:rPr>
        <w:t xml:space="preserve"> picture</w:t>
      </w:r>
      <w:r w:rsidR="008766AE" w:rsidRPr="00602F08">
        <w:rPr>
          <w:lang w:eastAsia="en-GB"/>
        </w:rPr>
        <w:t xml:space="preserve">. </w:t>
      </w:r>
      <w:r w:rsidR="00FF6291" w:rsidRPr="00602F08">
        <w:rPr>
          <w:lang w:eastAsia="en-GB"/>
        </w:rPr>
        <w:t xml:space="preserve">The Secretary of State </w:t>
      </w:r>
      <w:r w:rsidR="00563D8D" w:rsidRPr="00602F08">
        <w:rPr>
          <w:lang w:eastAsia="en-GB"/>
        </w:rPr>
        <w:t xml:space="preserve">by her officials </w:t>
      </w:r>
      <w:r w:rsidR="00FF6291" w:rsidRPr="00602F08">
        <w:rPr>
          <w:lang w:eastAsia="en-GB"/>
        </w:rPr>
        <w:t>had decided</w:t>
      </w:r>
      <w:r w:rsidR="007D3EDC" w:rsidRPr="00602F08">
        <w:rPr>
          <w:lang w:eastAsia="en-GB"/>
        </w:rPr>
        <w:t xml:space="preserve"> matters had reached the point at which the section 4(2) duty applied. </w:t>
      </w:r>
      <w:r w:rsidR="007D3EDC" w:rsidRPr="00602F08">
        <w:rPr>
          <w:rStyle w:val="normaltextrun"/>
        </w:rPr>
        <w:t>As</w:t>
      </w:r>
      <w:r w:rsidR="00F06583" w:rsidRPr="00602F08">
        <w:rPr>
          <w:rStyle w:val="normaltextrun"/>
        </w:rPr>
        <w:t xml:space="preserve"> I find above, whilst </w:t>
      </w:r>
      <w:r w:rsidR="00A56660" w:rsidRPr="00602F08">
        <w:rPr>
          <w:rStyle w:val="normaltextrun"/>
        </w:rPr>
        <w:t>th</w:t>
      </w:r>
      <w:r w:rsidR="00353D8B" w:rsidRPr="00602F08">
        <w:rPr>
          <w:rStyle w:val="normaltextrun"/>
        </w:rPr>
        <w:t>at</w:t>
      </w:r>
      <w:r w:rsidR="00A56660" w:rsidRPr="00602F08">
        <w:rPr>
          <w:rStyle w:val="normaltextrun"/>
        </w:rPr>
        <w:t xml:space="preserve"> duty was </w:t>
      </w:r>
      <w:r w:rsidR="00353D8B" w:rsidRPr="00602F08">
        <w:rPr>
          <w:rStyle w:val="normaltextrun"/>
        </w:rPr>
        <w:t xml:space="preserve">still </w:t>
      </w:r>
      <w:r w:rsidR="00A56660" w:rsidRPr="00602F08">
        <w:rPr>
          <w:rStyle w:val="normaltextrun"/>
        </w:rPr>
        <w:t>not being performed, f</w:t>
      </w:r>
      <w:r w:rsidR="008766AE" w:rsidRPr="00602F08">
        <w:rPr>
          <w:rStyle w:val="normaltextrun"/>
        </w:rPr>
        <w:t>or two months (from o</w:t>
      </w:r>
      <w:r w:rsidR="008766AE" w:rsidRPr="00602F08">
        <w:rPr>
          <w:rStyle w:val="normaltextrun"/>
          <w:lang w:val="en-US"/>
        </w:rPr>
        <w:t>n or around 26 March 2019 until 28 May 2019), AA stayed on friends’ sofas or floors and was also street homeless</w:t>
      </w:r>
      <w:r w:rsidR="002177A3">
        <w:rPr>
          <w:rStyle w:val="normaltextrun"/>
          <w:lang w:val="en-US"/>
        </w:rPr>
        <w:t xml:space="preserve">, sleeping on </w:t>
      </w:r>
      <w:r w:rsidR="00E63865">
        <w:rPr>
          <w:rStyle w:val="normaltextrun"/>
          <w:lang w:val="en-US"/>
        </w:rPr>
        <w:t>streets near the clinic</w:t>
      </w:r>
      <w:r w:rsidR="008766AE" w:rsidRPr="00602F08">
        <w:rPr>
          <w:rStyle w:val="normaltextrun"/>
          <w:lang w:val="en-US"/>
        </w:rPr>
        <w:t>.</w:t>
      </w:r>
      <w:r w:rsidR="00146B3B" w:rsidRPr="00602F08">
        <w:rPr>
          <w:rStyle w:val="normaltextrun"/>
          <w:lang w:val="en-US"/>
        </w:rPr>
        <w:t xml:space="preserve"> </w:t>
      </w:r>
    </w:p>
    <w:p w14:paraId="174DFD10" w14:textId="77777777" w:rsidR="00353D8B" w:rsidRPr="00602F08" w:rsidRDefault="00353D8B" w:rsidP="00B6212D">
      <w:pPr>
        <w:pStyle w:val="ListParagraph"/>
        <w:jc w:val="both"/>
        <w:rPr>
          <w:rFonts w:ascii="Times New Roman" w:hAnsi="Times New Roman"/>
          <w:lang w:eastAsia="en-GB"/>
        </w:rPr>
      </w:pPr>
    </w:p>
    <w:p w14:paraId="6646A941" w14:textId="77777777" w:rsidR="0078559B" w:rsidRPr="0078559B" w:rsidRDefault="00563D8D" w:rsidP="00B6212D">
      <w:pPr>
        <w:numPr>
          <w:ilvl w:val="0"/>
          <w:numId w:val="10"/>
        </w:numPr>
        <w:jc w:val="both"/>
        <w:rPr>
          <w:lang w:val="en-US"/>
        </w:rPr>
      </w:pPr>
      <w:r w:rsidRPr="00602F08">
        <w:rPr>
          <w:lang w:eastAsia="en-GB"/>
        </w:rPr>
        <w:t>It was argued for the</w:t>
      </w:r>
      <w:r w:rsidR="00A56660" w:rsidRPr="00602F08">
        <w:rPr>
          <w:lang w:eastAsia="en-GB"/>
        </w:rPr>
        <w:t xml:space="preserve"> Secretary of State that e</w:t>
      </w:r>
      <w:r w:rsidR="00ED4BA3" w:rsidRPr="00602F08">
        <w:rPr>
          <w:lang w:eastAsia="en-GB"/>
        </w:rPr>
        <w:t xml:space="preserve">fforts </w:t>
      </w:r>
      <w:r w:rsidR="00563D7B" w:rsidRPr="00602F08">
        <w:rPr>
          <w:lang w:eastAsia="en-GB"/>
        </w:rPr>
        <w:t xml:space="preserve">were </w:t>
      </w:r>
      <w:r w:rsidR="00E90564" w:rsidRPr="00602F08">
        <w:rPr>
          <w:lang w:eastAsia="en-GB"/>
        </w:rPr>
        <w:t>made</w:t>
      </w:r>
      <w:r w:rsidR="005D75DC">
        <w:rPr>
          <w:lang w:eastAsia="en-GB"/>
        </w:rPr>
        <w:t xml:space="preserve"> to address things</w:t>
      </w:r>
      <w:r w:rsidR="00EA457F" w:rsidRPr="00602F08">
        <w:rPr>
          <w:lang w:eastAsia="en-GB"/>
        </w:rPr>
        <w:t xml:space="preserve">. </w:t>
      </w:r>
      <w:r w:rsidR="00216DFF" w:rsidRPr="00602F08">
        <w:rPr>
          <w:lang w:eastAsia="en-GB"/>
        </w:rPr>
        <w:t>This argument referred</w:t>
      </w:r>
      <w:r w:rsidR="00D665FD" w:rsidRPr="00602F08">
        <w:rPr>
          <w:lang w:eastAsia="en-GB"/>
        </w:rPr>
        <w:t xml:space="preserve"> to the making of </w:t>
      </w:r>
      <w:r w:rsidR="00227FCA" w:rsidRPr="00602F08">
        <w:rPr>
          <w:lang w:eastAsia="en-GB"/>
        </w:rPr>
        <w:t>requests by the Secretary of State</w:t>
      </w:r>
      <w:r w:rsidRPr="00602F08">
        <w:rPr>
          <w:lang w:eastAsia="en-GB"/>
        </w:rPr>
        <w:t xml:space="preserve"> by her officials</w:t>
      </w:r>
      <w:r w:rsidR="00227FCA" w:rsidRPr="00602F08">
        <w:rPr>
          <w:lang w:eastAsia="en-GB"/>
        </w:rPr>
        <w:t xml:space="preserve"> to </w:t>
      </w:r>
      <w:r w:rsidR="00621D0B" w:rsidRPr="00602F08">
        <w:rPr>
          <w:lang w:eastAsia="en-GB"/>
        </w:rPr>
        <w:t>a contracted accommodation</w:t>
      </w:r>
      <w:r w:rsidR="00227FCA" w:rsidRPr="00602F08">
        <w:rPr>
          <w:lang w:eastAsia="en-GB"/>
        </w:rPr>
        <w:t xml:space="preserve"> provider</w:t>
      </w:r>
      <w:r w:rsidR="00CA671B" w:rsidRPr="00602F08">
        <w:rPr>
          <w:lang w:eastAsia="en-GB"/>
        </w:rPr>
        <w:t>, to</w:t>
      </w:r>
      <w:r w:rsidR="001D2C68" w:rsidRPr="00602F08">
        <w:rPr>
          <w:lang w:eastAsia="en-GB"/>
        </w:rPr>
        <w:t xml:space="preserve"> the use of priorit</w:t>
      </w:r>
      <w:r w:rsidR="00316D6E" w:rsidRPr="00602F08">
        <w:rPr>
          <w:lang w:eastAsia="en-GB"/>
        </w:rPr>
        <w:t>y</w:t>
      </w:r>
      <w:r w:rsidR="001D2C68" w:rsidRPr="00602F08">
        <w:rPr>
          <w:lang w:eastAsia="en-GB"/>
        </w:rPr>
        <w:t xml:space="preserve"> levels</w:t>
      </w:r>
      <w:r w:rsidR="00CA671B" w:rsidRPr="00602F08">
        <w:rPr>
          <w:lang w:eastAsia="en-GB"/>
        </w:rPr>
        <w:t>,</w:t>
      </w:r>
      <w:r w:rsidR="00A7310B" w:rsidRPr="00602F08">
        <w:rPr>
          <w:lang w:eastAsia="en-GB"/>
        </w:rPr>
        <w:t xml:space="preserve"> </w:t>
      </w:r>
      <w:r w:rsidR="00D665FD" w:rsidRPr="00602F08">
        <w:rPr>
          <w:lang w:eastAsia="en-GB"/>
        </w:rPr>
        <w:t xml:space="preserve">and </w:t>
      </w:r>
      <w:r w:rsidR="00CA671B" w:rsidRPr="00602F08">
        <w:rPr>
          <w:lang w:eastAsia="en-GB"/>
        </w:rPr>
        <w:t>to</w:t>
      </w:r>
      <w:r w:rsidR="00643B07" w:rsidRPr="00602F08">
        <w:rPr>
          <w:lang w:eastAsia="en-GB"/>
        </w:rPr>
        <w:t xml:space="preserve"> </w:t>
      </w:r>
      <w:r w:rsidR="00DD2037" w:rsidRPr="00602F08">
        <w:rPr>
          <w:lang w:eastAsia="en-GB"/>
        </w:rPr>
        <w:t xml:space="preserve">efforts by </w:t>
      </w:r>
      <w:r w:rsidR="00DE2DDD" w:rsidRPr="00602F08">
        <w:rPr>
          <w:lang w:eastAsia="en-GB"/>
        </w:rPr>
        <w:t>an accommodation</w:t>
      </w:r>
      <w:r w:rsidR="00C97B4D" w:rsidRPr="00602F08">
        <w:rPr>
          <w:lang w:eastAsia="en-GB"/>
        </w:rPr>
        <w:t xml:space="preserve"> provider </w:t>
      </w:r>
      <w:r w:rsidR="00ED4BA3" w:rsidRPr="00602F08">
        <w:rPr>
          <w:lang w:eastAsia="en-GB"/>
        </w:rPr>
        <w:t>to acquir</w:t>
      </w:r>
      <w:r w:rsidR="002770CD" w:rsidRPr="00602F08">
        <w:rPr>
          <w:lang w:eastAsia="en-GB"/>
        </w:rPr>
        <w:t xml:space="preserve">e property </w:t>
      </w:r>
      <w:r w:rsidR="00ED4BA3" w:rsidRPr="00602F08">
        <w:rPr>
          <w:lang w:eastAsia="en-GB"/>
        </w:rPr>
        <w:t xml:space="preserve">outside </w:t>
      </w:r>
      <w:r w:rsidR="00C97B4D" w:rsidRPr="00602F08">
        <w:rPr>
          <w:lang w:eastAsia="en-GB"/>
        </w:rPr>
        <w:t>its</w:t>
      </w:r>
      <w:r w:rsidR="00ED4BA3" w:rsidRPr="00602F08">
        <w:rPr>
          <w:lang w:eastAsia="en-GB"/>
        </w:rPr>
        <w:t xml:space="preserve"> portfolio</w:t>
      </w:r>
      <w:r w:rsidR="002C66F3" w:rsidRPr="00602F08">
        <w:rPr>
          <w:lang w:eastAsia="en-GB"/>
        </w:rPr>
        <w:t xml:space="preserve">. </w:t>
      </w:r>
    </w:p>
    <w:p w14:paraId="3FD80764" w14:textId="77777777" w:rsidR="0078559B" w:rsidRDefault="0078559B" w:rsidP="0078559B">
      <w:pPr>
        <w:pStyle w:val="ListParagraph"/>
        <w:rPr>
          <w:lang w:eastAsia="en-GB"/>
        </w:rPr>
      </w:pPr>
    </w:p>
    <w:p w14:paraId="1E0E03E9" w14:textId="716A5F23" w:rsidR="00552DB5" w:rsidRPr="00393C10" w:rsidRDefault="00955BA0" w:rsidP="00393C10">
      <w:pPr>
        <w:numPr>
          <w:ilvl w:val="0"/>
          <w:numId w:val="10"/>
        </w:numPr>
        <w:jc w:val="both"/>
        <w:rPr>
          <w:lang w:val="en-US"/>
        </w:rPr>
      </w:pPr>
      <w:r w:rsidRPr="00602F08">
        <w:rPr>
          <w:lang w:eastAsia="en-GB"/>
        </w:rPr>
        <w:t>Th</w:t>
      </w:r>
      <w:r w:rsidR="00C81536" w:rsidRPr="00602F08">
        <w:rPr>
          <w:lang w:eastAsia="en-GB"/>
        </w:rPr>
        <w:t>is</w:t>
      </w:r>
      <w:r w:rsidRPr="00602F08">
        <w:rPr>
          <w:lang w:eastAsia="en-GB"/>
        </w:rPr>
        <w:t xml:space="preserve"> argument ignores the reality of the huge delay in AA’s case</w:t>
      </w:r>
      <w:r w:rsidR="008B7394" w:rsidRPr="00602F08">
        <w:rPr>
          <w:lang w:eastAsia="en-GB"/>
        </w:rPr>
        <w:t xml:space="preserve">. AA’s case demonstrates the ineffectiveness of </w:t>
      </w:r>
      <w:r w:rsidR="00BD2C67" w:rsidRPr="00602F08">
        <w:rPr>
          <w:lang w:eastAsia="en-GB"/>
        </w:rPr>
        <w:t xml:space="preserve">simply </w:t>
      </w:r>
      <w:r w:rsidR="002C66F3" w:rsidRPr="00602F08">
        <w:rPr>
          <w:lang w:eastAsia="en-GB"/>
        </w:rPr>
        <w:t xml:space="preserve">making requests of </w:t>
      </w:r>
      <w:r w:rsidR="00DE2DDD" w:rsidRPr="00602F08">
        <w:rPr>
          <w:lang w:eastAsia="en-GB"/>
        </w:rPr>
        <w:t>an accommodation</w:t>
      </w:r>
      <w:r w:rsidR="00621D0B" w:rsidRPr="00602F08">
        <w:rPr>
          <w:lang w:eastAsia="en-GB"/>
        </w:rPr>
        <w:t xml:space="preserve"> </w:t>
      </w:r>
      <w:r w:rsidR="002C66F3" w:rsidRPr="00602F08">
        <w:rPr>
          <w:lang w:eastAsia="en-GB"/>
        </w:rPr>
        <w:t>provider</w:t>
      </w:r>
      <w:r w:rsidR="00916C89" w:rsidRPr="00602F08">
        <w:rPr>
          <w:lang w:eastAsia="en-GB"/>
        </w:rPr>
        <w:t xml:space="preserve">. </w:t>
      </w:r>
      <w:r w:rsidR="00316D6E" w:rsidRPr="00602F08">
        <w:rPr>
          <w:lang w:eastAsia="en-GB"/>
        </w:rPr>
        <w:t xml:space="preserve">As to priority level, </w:t>
      </w:r>
      <w:r w:rsidR="003A0E88" w:rsidRPr="00602F08">
        <w:rPr>
          <w:lang w:eastAsia="en-GB"/>
        </w:rPr>
        <w:t>it is urged th</w:t>
      </w:r>
      <w:r w:rsidR="001217A0">
        <w:rPr>
          <w:lang w:eastAsia="en-GB"/>
        </w:rPr>
        <w:t>is</w:t>
      </w:r>
      <w:r w:rsidR="003A0E88" w:rsidRPr="00602F08">
        <w:rPr>
          <w:lang w:eastAsia="en-GB"/>
        </w:rPr>
        <w:t xml:space="preserve"> w</w:t>
      </w:r>
      <w:r w:rsidR="001217A0">
        <w:rPr>
          <w:lang w:eastAsia="en-GB"/>
        </w:rPr>
        <w:t>as</w:t>
      </w:r>
      <w:r w:rsidR="003A0E88" w:rsidRPr="00602F08">
        <w:rPr>
          <w:lang w:eastAsia="en-GB"/>
        </w:rPr>
        <w:t xml:space="preserve"> raised</w:t>
      </w:r>
      <w:r w:rsidR="00C24DA5">
        <w:rPr>
          <w:lang w:eastAsia="en-GB"/>
        </w:rPr>
        <w:t>,</w:t>
      </w:r>
      <w:r w:rsidR="00316D6E" w:rsidRPr="00602F08">
        <w:rPr>
          <w:lang w:eastAsia="en-GB"/>
        </w:rPr>
        <w:t xml:space="preserve"> to </w:t>
      </w:r>
      <w:r w:rsidR="00CD610E">
        <w:rPr>
          <w:lang w:eastAsia="en-GB"/>
        </w:rPr>
        <w:t>“</w:t>
      </w:r>
      <w:r w:rsidR="00770AB1">
        <w:rPr>
          <w:lang w:eastAsia="en-GB"/>
        </w:rPr>
        <w:t xml:space="preserve">level </w:t>
      </w:r>
      <w:r w:rsidR="00316D6E" w:rsidRPr="00602F08">
        <w:rPr>
          <w:lang w:eastAsia="en-GB"/>
        </w:rPr>
        <w:t>B</w:t>
      </w:r>
      <w:r w:rsidR="00CD610E">
        <w:rPr>
          <w:lang w:eastAsia="en-GB"/>
        </w:rPr>
        <w:t>”</w:t>
      </w:r>
      <w:r w:rsidR="00316D6E" w:rsidRPr="00602F08">
        <w:rPr>
          <w:lang w:eastAsia="en-GB"/>
        </w:rPr>
        <w:t xml:space="preserve"> on 5 June 2019 </w:t>
      </w:r>
      <w:r w:rsidR="003A0E88" w:rsidRPr="00602F08">
        <w:rPr>
          <w:lang w:eastAsia="en-GB"/>
        </w:rPr>
        <w:t>although then reduced</w:t>
      </w:r>
      <w:r w:rsidR="00316D6E" w:rsidRPr="00602F08">
        <w:rPr>
          <w:lang w:eastAsia="en-GB"/>
        </w:rPr>
        <w:t xml:space="preserve"> to </w:t>
      </w:r>
      <w:r w:rsidR="00CD610E">
        <w:rPr>
          <w:lang w:eastAsia="en-GB"/>
        </w:rPr>
        <w:t>“</w:t>
      </w:r>
      <w:r w:rsidR="00316D6E" w:rsidRPr="00602F08">
        <w:rPr>
          <w:lang w:eastAsia="en-GB"/>
        </w:rPr>
        <w:t>level C</w:t>
      </w:r>
      <w:r w:rsidR="00CD610E">
        <w:rPr>
          <w:lang w:eastAsia="en-GB"/>
        </w:rPr>
        <w:t>”</w:t>
      </w:r>
      <w:r w:rsidR="00316D6E" w:rsidRPr="00602F08">
        <w:rPr>
          <w:lang w:eastAsia="en-GB"/>
        </w:rPr>
        <w:t xml:space="preserve"> </w:t>
      </w:r>
      <w:r w:rsidR="003A0E88" w:rsidRPr="00602F08">
        <w:rPr>
          <w:lang w:eastAsia="en-GB"/>
        </w:rPr>
        <w:t>before being</w:t>
      </w:r>
      <w:r w:rsidR="00316D6E" w:rsidRPr="00602F08">
        <w:rPr>
          <w:lang w:eastAsia="en-GB"/>
        </w:rPr>
        <w:t xml:space="preserve"> put back to </w:t>
      </w:r>
      <w:r w:rsidR="00E363B7">
        <w:rPr>
          <w:lang w:eastAsia="en-GB"/>
        </w:rPr>
        <w:t>“</w:t>
      </w:r>
      <w:r w:rsidR="00316D6E" w:rsidRPr="00602F08">
        <w:rPr>
          <w:lang w:eastAsia="en-GB"/>
        </w:rPr>
        <w:t>level B</w:t>
      </w:r>
      <w:r w:rsidR="00E363B7">
        <w:rPr>
          <w:lang w:eastAsia="en-GB"/>
        </w:rPr>
        <w:t>”</w:t>
      </w:r>
      <w:r w:rsidR="00316D6E" w:rsidRPr="00602F08">
        <w:rPr>
          <w:lang w:eastAsia="en-GB"/>
        </w:rPr>
        <w:t xml:space="preserve"> on 31 October 2019</w:t>
      </w:r>
      <w:r w:rsidR="003A0E88" w:rsidRPr="00602F08">
        <w:rPr>
          <w:lang w:eastAsia="en-GB"/>
        </w:rPr>
        <w:t xml:space="preserve">. But </w:t>
      </w:r>
      <w:r w:rsidR="001217A0">
        <w:rPr>
          <w:lang w:eastAsia="en-GB"/>
        </w:rPr>
        <w:t xml:space="preserve">the problem is that </w:t>
      </w:r>
      <w:r w:rsidR="002C5A00">
        <w:rPr>
          <w:lang w:eastAsia="en-GB"/>
        </w:rPr>
        <w:t>this</w:t>
      </w:r>
      <w:r w:rsidR="00AF659A">
        <w:rPr>
          <w:lang w:eastAsia="en-GB"/>
        </w:rPr>
        <w:t xml:space="preserve"> had no effect</w:t>
      </w:r>
      <w:r w:rsidR="003A5988" w:rsidRPr="00602F08">
        <w:rPr>
          <w:lang w:eastAsia="en-GB"/>
        </w:rPr>
        <w:t>.</w:t>
      </w:r>
      <w:r w:rsidR="008B7394" w:rsidRPr="00602F08">
        <w:rPr>
          <w:lang w:eastAsia="en-GB"/>
        </w:rPr>
        <w:t xml:space="preserve"> </w:t>
      </w:r>
    </w:p>
    <w:p w14:paraId="1AB8D56B" w14:textId="77777777" w:rsidR="00552DB5" w:rsidRDefault="00552DB5" w:rsidP="00552DB5">
      <w:pPr>
        <w:pStyle w:val="ListParagraph"/>
        <w:rPr>
          <w:lang w:eastAsia="en-GB"/>
        </w:rPr>
      </w:pPr>
    </w:p>
    <w:p w14:paraId="5B0D96F7" w14:textId="5CF4489F" w:rsidR="00A4767D" w:rsidRPr="00602F08" w:rsidRDefault="00DD6A86" w:rsidP="00B6212D">
      <w:pPr>
        <w:numPr>
          <w:ilvl w:val="0"/>
          <w:numId w:val="10"/>
        </w:numPr>
        <w:jc w:val="both"/>
        <w:rPr>
          <w:rStyle w:val="normaltextrun"/>
          <w:lang w:val="en-US"/>
        </w:rPr>
      </w:pPr>
      <w:r w:rsidRPr="00602F08">
        <w:rPr>
          <w:lang w:eastAsia="en-GB"/>
        </w:rPr>
        <w:t xml:space="preserve">The </w:t>
      </w:r>
      <w:r w:rsidR="00552DB5">
        <w:rPr>
          <w:lang w:eastAsia="en-GB"/>
        </w:rPr>
        <w:t>accommodation provider</w:t>
      </w:r>
      <w:r w:rsidR="00026E9E" w:rsidRPr="00602F08">
        <w:rPr>
          <w:lang w:eastAsia="en-GB"/>
        </w:rPr>
        <w:t xml:space="preserve"> said of its efforts</w:t>
      </w:r>
      <w:r w:rsidRPr="00602F08">
        <w:rPr>
          <w:lang w:eastAsia="en-GB"/>
        </w:rPr>
        <w:t xml:space="preserve"> “17 properties were identified, however 12 were deemed unsuitable due to layout or location and we were unable to reach an agreement with the Landlord/Agent in respect of a further 5”. </w:t>
      </w:r>
      <w:r w:rsidR="005751A2" w:rsidRPr="00602F08">
        <w:rPr>
          <w:lang w:eastAsia="en-GB"/>
        </w:rPr>
        <w:t>However, n</w:t>
      </w:r>
      <w:r w:rsidR="002770CD" w:rsidRPr="00602F08">
        <w:rPr>
          <w:lang w:eastAsia="en-GB"/>
        </w:rPr>
        <w:t xml:space="preserve">o details are </w:t>
      </w:r>
      <w:r w:rsidR="00447FD5" w:rsidRPr="00602F08">
        <w:rPr>
          <w:lang w:eastAsia="en-GB"/>
        </w:rPr>
        <w:t>given</w:t>
      </w:r>
      <w:r w:rsidR="002770CD" w:rsidRPr="00602F08">
        <w:rPr>
          <w:lang w:eastAsia="en-GB"/>
        </w:rPr>
        <w:t xml:space="preserve"> of </w:t>
      </w:r>
      <w:r w:rsidR="00D47CC6" w:rsidRPr="00602F08">
        <w:rPr>
          <w:lang w:eastAsia="en-GB"/>
        </w:rPr>
        <w:t xml:space="preserve">what the provider was </w:t>
      </w:r>
      <w:r w:rsidR="00D15C80" w:rsidRPr="00602F08">
        <w:rPr>
          <w:lang w:eastAsia="en-GB"/>
        </w:rPr>
        <w:t>prepared to pay</w:t>
      </w:r>
      <w:r w:rsidR="005751A2" w:rsidRPr="00602F08">
        <w:rPr>
          <w:lang w:eastAsia="en-GB"/>
        </w:rPr>
        <w:t xml:space="preserve"> </w:t>
      </w:r>
      <w:r w:rsidR="00393C10">
        <w:rPr>
          <w:lang w:eastAsia="en-GB"/>
        </w:rPr>
        <w:t xml:space="preserve">for accommodation </w:t>
      </w:r>
      <w:r w:rsidR="005751A2" w:rsidRPr="00602F08">
        <w:rPr>
          <w:lang w:eastAsia="en-GB"/>
        </w:rPr>
        <w:t>in these efforts</w:t>
      </w:r>
      <w:r w:rsidR="00D15C80" w:rsidRPr="00602F08">
        <w:rPr>
          <w:lang w:eastAsia="en-GB"/>
        </w:rPr>
        <w:t>.</w:t>
      </w:r>
      <w:r w:rsidR="005B6618" w:rsidRPr="00602F08">
        <w:rPr>
          <w:rStyle w:val="normaltextrun"/>
          <w:lang w:val="en-US"/>
        </w:rPr>
        <w:t xml:space="preserve"> The argument does not deal </w:t>
      </w:r>
      <w:r w:rsidR="00393C10">
        <w:rPr>
          <w:rStyle w:val="normaltextrun"/>
          <w:lang w:val="en-US"/>
        </w:rPr>
        <w:t xml:space="preserve">with </w:t>
      </w:r>
      <w:r w:rsidR="005B6618" w:rsidRPr="00602F08">
        <w:rPr>
          <w:rStyle w:val="normaltextrun"/>
          <w:lang w:val="en-US"/>
        </w:rPr>
        <w:t>the evidence of Ms McLean</w:t>
      </w:r>
      <w:r w:rsidR="009047BB">
        <w:rPr>
          <w:rStyle w:val="normaltextrun"/>
          <w:lang w:val="en-US"/>
        </w:rPr>
        <w:t xml:space="preserve">, from the accommodation provider, </w:t>
      </w:r>
      <w:r w:rsidR="005B6618" w:rsidRPr="00602F08">
        <w:rPr>
          <w:rStyle w:val="normaltextrun"/>
          <w:lang w:val="en-US"/>
        </w:rPr>
        <w:t>that she could find “no reference of this booking being chased” from July to early November 2019.</w:t>
      </w:r>
      <w:r w:rsidR="000E5144" w:rsidRPr="00602F08">
        <w:rPr>
          <w:rStyle w:val="normaltextrun"/>
          <w:lang w:val="en-US"/>
        </w:rPr>
        <w:t xml:space="preserve"> </w:t>
      </w:r>
    </w:p>
    <w:p w14:paraId="33655BB8" w14:textId="77777777" w:rsidR="00A4767D" w:rsidRPr="00602F08" w:rsidRDefault="00A4767D" w:rsidP="00B6212D">
      <w:pPr>
        <w:pStyle w:val="ListParagraph"/>
        <w:jc w:val="both"/>
        <w:rPr>
          <w:rFonts w:ascii="Times New Roman" w:hAnsi="Times New Roman"/>
          <w:lang w:eastAsia="en-GB"/>
        </w:rPr>
      </w:pPr>
    </w:p>
    <w:p w14:paraId="13D97B76" w14:textId="53345C4B" w:rsidR="007110EA" w:rsidRDefault="008B0B57" w:rsidP="00B6212D">
      <w:pPr>
        <w:numPr>
          <w:ilvl w:val="0"/>
          <w:numId w:val="10"/>
        </w:numPr>
        <w:jc w:val="both"/>
        <w:rPr>
          <w:rStyle w:val="normaltextrun"/>
          <w:lang w:val="en-US"/>
        </w:rPr>
      </w:pPr>
      <w:r w:rsidRPr="00602F08">
        <w:rPr>
          <w:lang w:eastAsia="en-GB"/>
        </w:rPr>
        <w:t xml:space="preserve">The </w:t>
      </w:r>
      <w:r w:rsidR="00527D00" w:rsidRPr="00602F08">
        <w:rPr>
          <w:lang w:eastAsia="en-GB"/>
        </w:rPr>
        <w:t xml:space="preserve">written argument for the </w:t>
      </w:r>
      <w:r w:rsidRPr="00602F08">
        <w:rPr>
          <w:lang w:eastAsia="en-GB"/>
        </w:rPr>
        <w:t xml:space="preserve">Secretary of State refers to </w:t>
      </w:r>
      <w:r w:rsidR="00666C87" w:rsidRPr="00602F08">
        <w:rPr>
          <w:lang w:eastAsia="en-GB"/>
        </w:rPr>
        <w:t>AA at one stage</w:t>
      </w:r>
      <w:r w:rsidR="00965B06" w:rsidRPr="00602F08">
        <w:rPr>
          <w:lang w:eastAsia="en-GB"/>
        </w:rPr>
        <w:t xml:space="preserve"> </w:t>
      </w:r>
      <w:r w:rsidR="00ED4BA3" w:rsidRPr="00602F08">
        <w:rPr>
          <w:lang w:eastAsia="en-GB"/>
        </w:rPr>
        <w:t>request</w:t>
      </w:r>
      <w:r w:rsidR="00666C87" w:rsidRPr="00602F08">
        <w:rPr>
          <w:lang w:eastAsia="en-GB"/>
        </w:rPr>
        <w:t>ing</w:t>
      </w:r>
      <w:r w:rsidR="00ED4BA3" w:rsidRPr="00602F08">
        <w:rPr>
          <w:lang w:eastAsia="en-GB"/>
        </w:rPr>
        <w:t xml:space="preserve"> accommodation </w:t>
      </w:r>
      <w:r w:rsidR="004F4B87" w:rsidRPr="00602F08">
        <w:rPr>
          <w:lang w:eastAsia="en-GB"/>
        </w:rPr>
        <w:t xml:space="preserve">that </w:t>
      </w:r>
      <w:r w:rsidR="0052203F" w:rsidRPr="00602F08">
        <w:rPr>
          <w:lang w:eastAsia="en-GB"/>
        </w:rPr>
        <w:t xml:space="preserve">would </w:t>
      </w:r>
      <w:r w:rsidR="008661C3" w:rsidRPr="00602F08">
        <w:rPr>
          <w:lang w:eastAsia="en-GB"/>
        </w:rPr>
        <w:t>allow AA to</w:t>
      </w:r>
      <w:r w:rsidR="004F4B87" w:rsidRPr="00602F08">
        <w:rPr>
          <w:lang w:eastAsia="en-GB"/>
        </w:rPr>
        <w:t xml:space="preserve"> reach the clinic </w:t>
      </w:r>
      <w:r w:rsidR="00ED4BA3" w:rsidRPr="00602F08">
        <w:rPr>
          <w:lang w:eastAsia="en-GB"/>
        </w:rPr>
        <w:t>by public transport</w:t>
      </w:r>
      <w:r w:rsidR="001E0892" w:rsidRPr="00602F08">
        <w:rPr>
          <w:lang w:eastAsia="en-GB"/>
        </w:rPr>
        <w:t xml:space="preserve"> with a journey time of up to one hour</w:t>
      </w:r>
      <w:r w:rsidR="00D063D0" w:rsidRPr="00602F08">
        <w:rPr>
          <w:lang w:eastAsia="en-GB"/>
        </w:rPr>
        <w:t>, and to the subsequent arrangements made for</w:t>
      </w:r>
      <w:r w:rsidR="00ED4BA3" w:rsidRPr="00602F08">
        <w:rPr>
          <w:lang w:eastAsia="en-GB"/>
        </w:rPr>
        <w:t xml:space="preserve"> transporting </w:t>
      </w:r>
      <w:r w:rsidR="007F4648" w:rsidRPr="00602F08">
        <w:rPr>
          <w:lang w:eastAsia="en-GB"/>
        </w:rPr>
        <w:t xml:space="preserve">by </w:t>
      </w:r>
      <w:r w:rsidR="00A16128" w:rsidRPr="00602F08">
        <w:rPr>
          <w:lang w:eastAsia="en-GB"/>
        </w:rPr>
        <w:t>vehicle</w:t>
      </w:r>
      <w:r w:rsidR="007F4648" w:rsidRPr="00602F08">
        <w:rPr>
          <w:lang w:eastAsia="en-GB"/>
        </w:rPr>
        <w:t xml:space="preserve"> </w:t>
      </w:r>
      <w:r w:rsidR="00D063D0" w:rsidRPr="00602F08">
        <w:rPr>
          <w:lang w:eastAsia="en-GB"/>
        </w:rPr>
        <w:t>to the dialysis centre</w:t>
      </w:r>
      <w:r w:rsidR="004F4B87" w:rsidRPr="00602F08">
        <w:rPr>
          <w:lang w:eastAsia="en-GB"/>
        </w:rPr>
        <w:t>.</w:t>
      </w:r>
      <w:r w:rsidR="00A4767D" w:rsidRPr="00602F08">
        <w:rPr>
          <w:lang w:eastAsia="en-GB"/>
        </w:rPr>
        <w:t xml:space="preserve"> </w:t>
      </w:r>
      <w:r w:rsidR="000E5144" w:rsidRPr="00602F08">
        <w:rPr>
          <w:rStyle w:val="normaltextrun"/>
          <w:lang w:val="en-US"/>
        </w:rPr>
        <w:t xml:space="preserve">But </w:t>
      </w:r>
      <w:r w:rsidR="002765E1">
        <w:rPr>
          <w:rStyle w:val="normaltextrun"/>
          <w:lang w:val="en-US"/>
        </w:rPr>
        <w:t xml:space="preserve">without diminishing them, </w:t>
      </w:r>
      <w:r w:rsidR="000E5144" w:rsidRPr="00602F08">
        <w:rPr>
          <w:rStyle w:val="normaltextrun"/>
          <w:lang w:val="en-US"/>
        </w:rPr>
        <w:t>th</w:t>
      </w:r>
      <w:r w:rsidR="00E655B4" w:rsidRPr="00602F08">
        <w:rPr>
          <w:rStyle w:val="normaltextrun"/>
          <w:lang w:val="en-US"/>
        </w:rPr>
        <w:t>ese are</w:t>
      </w:r>
      <w:r w:rsidR="002765E1">
        <w:rPr>
          <w:rStyle w:val="normaltextrun"/>
          <w:lang w:val="en-US"/>
        </w:rPr>
        <w:t>, ultimately,</w:t>
      </w:r>
      <w:r w:rsidR="00E655B4" w:rsidRPr="00602F08">
        <w:rPr>
          <w:rStyle w:val="normaltextrun"/>
          <w:lang w:val="en-US"/>
        </w:rPr>
        <w:t xml:space="preserve"> selective points</w:t>
      </w:r>
      <w:r w:rsidR="00D55EFA" w:rsidRPr="00602F08">
        <w:rPr>
          <w:rStyle w:val="normaltextrun"/>
          <w:lang w:val="en-US"/>
        </w:rPr>
        <w:t xml:space="preserve"> when seen against the </w:t>
      </w:r>
      <w:r w:rsidR="0097559C" w:rsidRPr="00602F08">
        <w:rPr>
          <w:rStyle w:val="normaltextrun"/>
          <w:lang w:val="en-US"/>
        </w:rPr>
        <w:t>course of the 9 months as a whole as described above</w:t>
      </w:r>
      <w:r w:rsidR="00E655B4" w:rsidRPr="00602F08">
        <w:rPr>
          <w:rStyle w:val="normaltextrun"/>
          <w:lang w:val="en-US"/>
        </w:rPr>
        <w:t xml:space="preserve">. </w:t>
      </w:r>
      <w:r w:rsidR="001E0892" w:rsidRPr="00602F08">
        <w:rPr>
          <w:rStyle w:val="normaltextrun"/>
          <w:lang w:val="en-US"/>
        </w:rPr>
        <w:t>There was a period w</w:t>
      </w:r>
      <w:r w:rsidR="00E655B4" w:rsidRPr="00602F08">
        <w:rPr>
          <w:rStyle w:val="normaltextrun"/>
          <w:lang w:val="en-US"/>
        </w:rPr>
        <w:t xml:space="preserve">hen AA was transported by </w:t>
      </w:r>
      <w:r w:rsidR="001E0892" w:rsidRPr="00602F08">
        <w:rPr>
          <w:rStyle w:val="normaltextrun"/>
          <w:lang w:val="en-US"/>
        </w:rPr>
        <w:t>vehicle</w:t>
      </w:r>
      <w:r w:rsidR="006363A6" w:rsidRPr="00602F08">
        <w:rPr>
          <w:rStyle w:val="normaltextrun"/>
          <w:lang w:val="en-US"/>
        </w:rPr>
        <w:t>,</w:t>
      </w:r>
      <w:r w:rsidR="00E655B4" w:rsidRPr="00602F08">
        <w:rPr>
          <w:rStyle w:val="normaltextrun"/>
          <w:lang w:val="en-US"/>
        </w:rPr>
        <w:t xml:space="preserve"> </w:t>
      </w:r>
      <w:r w:rsidR="001E0892" w:rsidRPr="00602F08">
        <w:rPr>
          <w:rStyle w:val="normaltextrun"/>
          <w:lang w:val="en-US"/>
        </w:rPr>
        <w:t>but</w:t>
      </w:r>
      <w:r w:rsidR="000E5144" w:rsidRPr="00602F08">
        <w:rPr>
          <w:rStyle w:val="normaltextrun"/>
          <w:lang w:val="en-US"/>
        </w:rPr>
        <w:t xml:space="preserve"> </w:t>
      </w:r>
      <w:r w:rsidR="006363A6" w:rsidRPr="00602F08">
        <w:rPr>
          <w:rStyle w:val="normaltextrun"/>
          <w:lang w:val="en-US"/>
        </w:rPr>
        <w:t xml:space="preserve">the </w:t>
      </w:r>
      <w:r w:rsidR="000E5144" w:rsidRPr="00602F08">
        <w:rPr>
          <w:rStyle w:val="normaltextrun"/>
          <w:lang w:val="en-US"/>
        </w:rPr>
        <w:t>dietary requirements of his disability were not met.</w:t>
      </w:r>
      <w:r w:rsidR="006363A6" w:rsidRPr="00602F08">
        <w:rPr>
          <w:rStyle w:val="normaltextrun"/>
          <w:lang w:val="en-US"/>
        </w:rPr>
        <w:t xml:space="preserve"> </w:t>
      </w:r>
      <w:r w:rsidR="007D66E7" w:rsidRPr="00602F08">
        <w:rPr>
          <w:rStyle w:val="normaltextrun"/>
          <w:lang w:val="en-US"/>
        </w:rPr>
        <w:t>The Court had to become involved twice</w:t>
      </w:r>
      <w:r w:rsidR="0097559C" w:rsidRPr="00602F08">
        <w:rPr>
          <w:rStyle w:val="normaltextrun"/>
          <w:lang w:val="en-US"/>
        </w:rPr>
        <w:t xml:space="preserve"> over transport</w:t>
      </w:r>
      <w:r w:rsidR="007D66E7" w:rsidRPr="00602F08">
        <w:rPr>
          <w:rStyle w:val="normaltextrun"/>
          <w:lang w:val="en-US"/>
        </w:rPr>
        <w:t xml:space="preserve">. </w:t>
      </w:r>
    </w:p>
    <w:p w14:paraId="28DD96AA" w14:textId="77777777" w:rsidR="002765E1" w:rsidRDefault="002765E1" w:rsidP="002765E1">
      <w:pPr>
        <w:pStyle w:val="ListParagraph"/>
        <w:rPr>
          <w:rStyle w:val="normaltextrun"/>
          <w:lang w:val="en-US"/>
        </w:rPr>
      </w:pPr>
    </w:p>
    <w:p w14:paraId="0E8C4A21" w14:textId="58A111CD" w:rsidR="00DC273D" w:rsidRPr="002765E1" w:rsidRDefault="002765E1" w:rsidP="002765E1">
      <w:pPr>
        <w:numPr>
          <w:ilvl w:val="0"/>
          <w:numId w:val="10"/>
        </w:numPr>
        <w:jc w:val="both"/>
        <w:rPr>
          <w:lang w:val="en-US"/>
        </w:rPr>
      </w:pPr>
      <w:r>
        <w:rPr>
          <w:rStyle w:val="normaltextrun"/>
          <w:lang w:val="en-US"/>
        </w:rPr>
        <w:t>I cannot accept the argument</w:t>
      </w:r>
      <w:r w:rsidRPr="00602F08">
        <w:rPr>
          <w:lang w:eastAsia="en-GB"/>
        </w:rPr>
        <w:t xml:space="preserve"> of the Secretary of State that there has </w:t>
      </w:r>
      <w:r>
        <w:rPr>
          <w:lang w:eastAsia="en-GB"/>
        </w:rPr>
        <w:t>not been</w:t>
      </w:r>
      <w:r w:rsidRPr="00602F08">
        <w:rPr>
          <w:lang w:eastAsia="en-GB"/>
        </w:rPr>
        <w:t xml:space="preserve"> “unfavourable treatment”</w:t>
      </w:r>
      <w:r>
        <w:rPr>
          <w:lang w:eastAsia="en-GB"/>
        </w:rPr>
        <w:t xml:space="preserve"> within section 15(1)(a) of the Equality Act</w:t>
      </w:r>
      <w:r w:rsidRPr="00602F08">
        <w:rPr>
          <w:lang w:eastAsia="en-GB"/>
        </w:rPr>
        <w:t>.</w:t>
      </w:r>
    </w:p>
    <w:p w14:paraId="4933EBF9" w14:textId="1C41E300" w:rsidR="00A4767D" w:rsidRDefault="00A4767D" w:rsidP="00B6212D">
      <w:pPr>
        <w:ind w:left="119"/>
        <w:jc w:val="both"/>
        <w:rPr>
          <w:b/>
          <w:bCs/>
          <w:u w:val="single"/>
          <w:lang w:val="en-US"/>
        </w:rPr>
      </w:pPr>
    </w:p>
    <w:p w14:paraId="26AE392A" w14:textId="77777777" w:rsidR="00B659C8" w:rsidRPr="00602F08" w:rsidRDefault="00B659C8" w:rsidP="00B6212D">
      <w:pPr>
        <w:ind w:left="119"/>
        <w:jc w:val="both"/>
        <w:rPr>
          <w:b/>
          <w:bCs/>
          <w:u w:val="single"/>
          <w:lang w:val="en-US"/>
        </w:rPr>
      </w:pPr>
    </w:p>
    <w:p w14:paraId="3704879D" w14:textId="179719B2" w:rsidR="00DC273D" w:rsidRPr="00602F08" w:rsidRDefault="00DC273D" w:rsidP="00B6212D">
      <w:pPr>
        <w:pStyle w:val="ListParagraph"/>
        <w:ind w:left="687"/>
        <w:jc w:val="both"/>
        <w:rPr>
          <w:rFonts w:ascii="Times New Roman" w:hAnsi="Times New Roman"/>
          <w:u w:val="single"/>
          <w:lang w:val="en-US"/>
        </w:rPr>
      </w:pPr>
      <w:r w:rsidRPr="00602F08">
        <w:rPr>
          <w:rFonts w:ascii="Times New Roman" w:hAnsi="Times New Roman"/>
          <w:u w:val="single"/>
          <w:lang w:val="en-US"/>
        </w:rPr>
        <w:t xml:space="preserve">The </w:t>
      </w:r>
      <w:r w:rsidR="00DA382F" w:rsidRPr="00602F08">
        <w:rPr>
          <w:rFonts w:ascii="Times New Roman" w:hAnsi="Times New Roman"/>
          <w:u w:val="single"/>
          <w:lang w:val="en-US"/>
        </w:rPr>
        <w:t>system</w:t>
      </w:r>
    </w:p>
    <w:p w14:paraId="43D371A5" w14:textId="77777777" w:rsidR="00DC273D" w:rsidRPr="00602F08" w:rsidRDefault="00DC273D" w:rsidP="00B6212D">
      <w:pPr>
        <w:pStyle w:val="ListParagraph"/>
        <w:ind w:left="687"/>
        <w:jc w:val="both"/>
        <w:rPr>
          <w:rFonts w:ascii="Times New Roman" w:hAnsi="Times New Roman"/>
          <w:u w:val="single"/>
          <w:lang w:val="en-US"/>
        </w:rPr>
      </w:pPr>
    </w:p>
    <w:p w14:paraId="15A6E110" w14:textId="7017CF4D" w:rsidR="00A45EC9" w:rsidRPr="00602F08" w:rsidRDefault="00DC273D" w:rsidP="00B6212D">
      <w:pPr>
        <w:pStyle w:val="ListParagraph"/>
        <w:numPr>
          <w:ilvl w:val="0"/>
          <w:numId w:val="10"/>
        </w:numPr>
        <w:jc w:val="both"/>
        <w:rPr>
          <w:rStyle w:val="normaltextrun"/>
          <w:rFonts w:ascii="Times New Roman" w:hAnsi="Times New Roman"/>
          <w:lang w:val="en-US"/>
        </w:rPr>
      </w:pPr>
      <w:r w:rsidRPr="00602F08">
        <w:rPr>
          <w:rFonts w:ascii="Times New Roman" w:hAnsi="Times New Roman"/>
          <w:bCs/>
        </w:rPr>
        <w:t xml:space="preserve">Addressing </w:t>
      </w:r>
      <w:r w:rsidR="00F535A6" w:rsidRPr="00602F08">
        <w:rPr>
          <w:rFonts w:ascii="Times New Roman" w:hAnsi="Times New Roman"/>
          <w:bCs/>
        </w:rPr>
        <w:t xml:space="preserve">Mr Tam QC’s </w:t>
      </w:r>
      <w:r w:rsidRPr="00602F08">
        <w:rPr>
          <w:rFonts w:ascii="Times New Roman" w:hAnsi="Times New Roman"/>
          <w:bCs/>
        </w:rPr>
        <w:t xml:space="preserve">overarching submission </w:t>
      </w:r>
      <w:r w:rsidR="00F535A6" w:rsidRPr="00602F08">
        <w:rPr>
          <w:rFonts w:ascii="Times New Roman" w:hAnsi="Times New Roman"/>
          <w:bCs/>
        </w:rPr>
        <w:t xml:space="preserve">on behalf of the Secretary of State </w:t>
      </w:r>
      <w:r w:rsidRPr="00602F08">
        <w:rPr>
          <w:rFonts w:ascii="Times New Roman" w:hAnsi="Times New Roman"/>
          <w:bCs/>
        </w:rPr>
        <w:t>about constitutional roles, Ms L</w:t>
      </w:r>
      <w:r w:rsidR="00902EC6" w:rsidRPr="00602F08">
        <w:rPr>
          <w:rFonts w:ascii="Times New Roman" w:hAnsi="Times New Roman"/>
          <w:bCs/>
        </w:rPr>
        <w:t>ev</w:t>
      </w:r>
      <w:r w:rsidRPr="00602F08">
        <w:rPr>
          <w:rFonts w:ascii="Times New Roman" w:hAnsi="Times New Roman"/>
          <w:bCs/>
        </w:rPr>
        <w:t>enthal</w:t>
      </w:r>
      <w:r w:rsidR="0073241D">
        <w:rPr>
          <w:rFonts w:ascii="Times New Roman" w:hAnsi="Times New Roman"/>
          <w:bCs/>
        </w:rPr>
        <w:t>’s</w:t>
      </w:r>
      <w:r w:rsidRPr="00602F08">
        <w:rPr>
          <w:rFonts w:ascii="Times New Roman" w:hAnsi="Times New Roman"/>
          <w:bCs/>
        </w:rPr>
        <w:t xml:space="preserve"> conten</w:t>
      </w:r>
      <w:r w:rsidR="0073241D">
        <w:rPr>
          <w:rFonts w:ascii="Times New Roman" w:hAnsi="Times New Roman"/>
          <w:bCs/>
        </w:rPr>
        <w:t>tion for AA was</w:t>
      </w:r>
      <w:r w:rsidRPr="00602F08">
        <w:rPr>
          <w:rFonts w:ascii="Times New Roman" w:hAnsi="Times New Roman"/>
          <w:bCs/>
        </w:rPr>
        <w:t xml:space="preserve"> that the Equality Act</w:t>
      </w:r>
      <w:r w:rsidRPr="00602F08">
        <w:rPr>
          <w:rStyle w:val="normaltextrun"/>
          <w:rFonts w:ascii="Times New Roman" w:hAnsi="Times New Roman"/>
          <w:lang w:val="en-US"/>
        </w:rPr>
        <w:t xml:space="preserve"> is properly an area for the Court, and I agree. </w:t>
      </w:r>
    </w:p>
    <w:p w14:paraId="41B837AF" w14:textId="77777777" w:rsidR="00A45EC9" w:rsidRPr="00602F08" w:rsidRDefault="00A45EC9" w:rsidP="00B6212D">
      <w:pPr>
        <w:pStyle w:val="ListParagraph"/>
        <w:ind w:left="687"/>
        <w:jc w:val="both"/>
        <w:rPr>
          <w:rStyle w:val="normaltextrun"/>
          <w:rFonts w:ascii="Times New Roman" w:hAnsi="Times New Roman"/>
          <w:lang w:val="en-US"/>
        </w:rPr>
      </w:pPr>
    </w:p>
    <w:p w14:paraId="2DBC02A9" w14:textId="77777777" w:rsidR="00200FE5" w:rsidRDefault="0011361D"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Mr Ta</w:t>
      </w:r>
      <w:r w:rsidR="00BC4024" w:rsidRPr="00602F08">
        <w:rPr>
          <w:rStyle w:val="normaltextrun"/>
          <w:rFonts w:ascii="Times New Roman" w:hAnsi="Times New Roman"/>
          <w:lang w:val="en-US"/>
        </w:rPr>
        <w:t>m</w:t>
      </w:r>
      <w:r w:rsidRPr="00602F08">
        <w:rPr>
          <w:rStyle w:val="normaltextrun"/>
          <w:rFonts w:ascii="Times New Roman" w:hAnsi="Times New Roman"/>
          <w:lang w:val="en-US"/>
        </w:rPr>
        <w:t xml:space="preserve"> QC urged </w:t>
      </w:r>
      <w:r w:rsidR="00AA62C9">
        <w:rPr>
          <w:rStyle w:val="normaltextrun"/>
          <w:rFonts w:ascii="Times New Roman" w:hAnsi="Times New Roman"/>
          <w:lang w:val="en-US"/>
        </w:rPr>
        <w:t xml:space="preserve">for the Secretary of State </w:t>
      </w:r>
      <w:r w:rsidRPr="00602F08">
        <w:rPr>
          <w:rStyle w:val="normaltextrun"/>
          <w:rFonts w:ascii="Times New Roman" w:hAnsi="Times New Roman"/>
          <w:lang w:val="en-US"/>
        </w:rPr>
        <w:t xml:space="preserve">that </w:t>
      </w:r>
      <w:r w:rsidR="004B3ECF" w:rsidRPr="00602F08">
        <w:rPr>
          <w:rStyle w:val="normaltextrun"/>
          <w:rFonts w:ascii="Times New Roman" w:hAnsi="Times New Roman"/>
          <w:lang w:val="en-US"/>
        </w:rPr>
        <w:t>the</w:t>
      </w:r>
      <w:r w:rsidRPr="00602F08">
        <w:rPr>
          <w:rStyle w:val="normaltextrun"/>
          <w:rFonts w:ascii="Times New Roman" w:hAnsi="Times New Roman"/>
          <w:lang w:val="en-US"/>
        </w:rPr>
        <w:t xml:space="preserve"> debate had now passed beyond what the Courts can deal with, and if the Court intervened it would be venturing into </w:t>
      </w:r>
      <w:r w:rsidR="006E5368" w:rsidRPr="00602F08">
        <w:rPr>
          <w:rStyle w:val="normaltextrun"/>
          <w:rFonts w:ascii="Times New Roman" w:hAnsi="Times New Roman"/>
          <w:lang w:val="en-US"/>
        </w:rPr>
        <w:t>“</w:t>
      </w:r>
      <w:r w:rsidRPr="00602F08">
        <w:rPr>
          <w:rStyle w:val="normaltextrun"/>
          <w:rFonts w:ascii="Times New Roman" w:hAnsi="Times New Roman"/>
          <w:lang w:val="en-US"/>
        </w:rPr>
        <w:t>areas of supervision</w:t>
      </w:r>
      <w:r w:rsidR="006E5368" w:rsidRPr="00602F08">
        <w:rPr>
          <w:rStyle w:val="normaltextrun"/>
          <w:rFonts w:ascii="Times New Roman" w:hAnsi="Times New Roman"/>
          <w:lang w:val="en-US"/>
        </w:rPr>
        <w:t>”</w:t>
      </w:r>
      <w:r w:rsidR="000269A8" w:rsidRPr="00602F08">
        <w:rPr>
          <w:rStyle w:val="normaltextrun"/>
          <w:rFonts w:ascii="Times New Roman" w:hAnsi="Times New Roman"/>
          <w:lang w:val="en-US"/>
        </w:rPr>
        <w:t xml:space="preserve"> </w:t>
      </w:r>
      <w:r w:rsidR="00917B09" w:rsidRPr="00602F08">
        <w:rPr>
          <w:rStyle w:val="normaltextrun"/>
          <w:rFonts w:ascii="Times New Roman" w:hAnsi="Times New Roman"/>
          <w:lang w:val="en-US"/>
        </w:rPr>
        <w:t>of the system</w:t>
      </w:r>
      <w:r w:rsidR="004B3ECF" w:rsidRPr="00602F08">
        <w:rPr>
          <w:rStyle w:val="normaltextrun"/>
          <w:rFonts w:ascii="Times New Roman" w:hAnsi="Times New Roman"/>
          <w:lang w:val="en-US"/>
        </w:rPr>
        <w:t>.</w:t>
      </w:r>
      <w:r w:rsidR="00040375" w:rsidRPr="00602F08">
        <w:rPr>
          <w:rStyle w:val="normaltextrun"/>
          <w:rFonts w:ascii="Times New Roman" w:hAnsi="Times New Roman"/>
          <w:lang w:val="en-US"/>
        </w:rPr>
        <w:t xml:space="preserve"> </w:t>
      </w:r>
      <w:r w:rsidR="00CF7689" w:rsidRPr="00602F08">
        <w:rPr>
          <w:rStyle w:val="normaltextrun"/>
          <w:rFonts w:ascii="Times New Roman" w:hAnsi="Times New Roman"/>
          <w:lang w:val="en-US"/>
        </w:rPr>
        <w:t xml:space="preserve">In my judgment </w:t>
      </w:r>
      <w:r w:rsidR="00734989" w:rsidRPr="00602F08">
        <w:rPr>
          <w:rStyle w:val="normaltextrun"/>
          <w:rFonts w:ascii="Times New Roman" w:hAnsi="Times New Roman"/>
          <w:lang w:val="en-US"/>
        </w:rPr>
        <w:t>it is for the</w:t>
      </w:r>
      <w:r w:rsidR="00E75D78" w:rsidRPr="00602F08">
        <w:rPr>
          <w:rStyle w:val="normaltextrun"/>
          <w:rFonts w:ascii="Times New Roman" w:hAnsi="Times New Roman"/>
          <w:lang w:val="en-US"/>
        </w:rPr>
        <w:t xml:space="preserve"> Court to </w:t>
      </w:r>
      <w:r w:rsidR="00F4327D" w:rsidRPr="00602F08">
        <w:rPr>
          <w:rStyle w:val="normaltextrun"/>
          <w:rFonts w:ascii="Times New Roman" w:hAnsi="Times New Roman"/>
          <w:lang w:val="en-US"/>
        </w:rPr>
        <w:t xml:space="preserve">say if what </w:t>
      </w:r>
      <w:r w:rsidR="006D443A" w:rsidRPr="00602F08">
        <w:rPr>
          <w:rStyle w:val="normaltextrun"/>
          <w:rFonts w:ascii="Times New Roman" w:hAnsi="Times New Roman"/>
          <w:lang w:val="en-US"/>
        </w:rPr>
        <w:t>is happening is lawful or unlawful; if that is an “area of supervision” so be it</w:t>
      </w:r>
      <w:r w:rsidR="002F489F" w:rsidRPr="00602F08">
        <w:rPr>
          <w:rStyle w:val="normaltextrun"/>
          <w:rFonts w:ascii="Times New Roman" w:hAnsi="Times New Roman"/>
          <w:lang w:val="en-US"/>
        </w:rPr>
        <w:t>,</w:t>
      </w:r>
      <w:r w:rsidR="00BD7502" w:rsidRPr="00602F08">
        <w:rPr>
          <w:rStyle w:val="normaltextrun"/>
          <w:rFonts w:ascii="Times New Roman" w:hAnsi="Times New Roman"/>
          <w:lang w:val="en-US"/>
        </w:rPr>
        <w:t xml:space="preserve"> </w:t>
      </w:r>
      <w:r w:rsidR="00917B09" w:rsidRPr="00602F08">
        <w:rPr>
          <w:rStyle w:val="normaltextrun"/>
          <w:rFonts w:ascii="Times New Roman" w:hAnsi="Times New Roman"/>
          <w:lang w:val="en-US"/>
        </w:rPr>
        <w:t>but t</w:t>
      </w:r>
      <w:r w:rsidR="00B601C0" w:rsidRPr="00602F08">
        <w:rPr>
          <w:rStyle w:val="normaltextrun"/>
          <w:rFonts w:ascii="Times New Roman" w:hAnsi="Times New Roman"/>
          <w:lang w:val="en-US"/>
        </w:rPr>
        <w:t xml:space="preserve">o perform that </w:t>
      </w:r>
      <w:r w:rsidR="00804719" w:rsidRPr="00602F08">
        <w:rPr>
          <w:rStyle w:val="normaltextrun"/>
          <w:rFonts w:ascii="Times New Roman" w:hAnsi="Times New Roman"/>
          <w:lang w:val="en-US"/>
        </w:rPr>
        <w:t>function</w:t>
      </w:r>
      <w:r w:rsidR="00B601C0" w:rsidRPr="00602F08">
        <w:rPr>
          <w:rStyle w:val="normaltextrun"/>
          <w:rFonts w:ascii="Times New Roman" w:hAnsi="Times New Roman"/>
          <w:lang w:val="en-US"/>
        </w:rPr>
        <w:t xml:space="preserve"> is not to </w:t>
      </w:r>
      <w:r w:rsidR="00484F54" w:rsidRPr="00602F08">
        <w:rPr>
          <w:rStyle w:val="normaltextrun"/>
          <w:rFonts w:ascii="Times New Roman" w:hAnsi="Times New Roman"/>
          <w:lang w:val="en-US"/>
        </w:rPr>
        <w:t>enter into “areas of supervision” generally</w:t>
      </w:r>
      <w:r w:rsidR="00B601C0" w:rsidRPr="00602F08">
        <w:rPr>
          <w:rStyle w:val="normaltextrun"/>
          <w:rFonts w:ascii="Times New Roman" w:hAnsi="Times New Roman"/>
          <w:lang w:val="en-US"/>
        </w:rPr>
        <w:t>.</w:t>
      </w:r>
      <w:r w:rsidR="00734989" w:rsidRPr="00602F08">
        <w:rPr>
          <w:rStyle w:val="normaltextrun"/>
          <w:rFonts w:ascii="Times New Roman" w:hAnsi="Times New Roman"/>
          <w:lang w:val="en-US"/>
        </w:rPr>
        <w:t xml:space="preserve"> </w:t>
      </w:r>
    </w:p>
    <w:p w14:paraId="20BED999" w14:textId="77777777" w:rsidR="00200FE5" w:rsidRPr="00200FE5" w:rsidRDefault="00200FE5" w:rsidP="00200FE5">
      <w:pPr>
        <w:pStyle w:val="ListParagraph"/>
        <w:rPr>
          <w:rStyle w:val="normaltextrun"/>
          <w:rFonts w:ascii="Times New Roman" w:hAnsi="Times New Roman"/>
          <w:lang w:val="en-US"/>
        </w:rPr>
      </w:pPr>
    </w:p>
    <w:p w14:paraId="6708169A" w14:textId="7DAA237E" w:rsidR="004C7B75" w:rsidRPr="00602F08" w:rsidRDefault="006564A5"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To take the example in the case of AA, the Secretary of State accepts that there is no monitoring </w:t>
      </w:r>
      <w:r w:rsidR="007E509D">
        <w:rPr>
          <w:rStyle w:val="normaltextrun"/>
          <w:rFonts w:ascii="Times New Roman" w:hAnsi="Times New Roman"/>
          <w:lang w:val="en-US"/>
        </w:rPr>
        <w:t xml:space="preserve">within the system </w:t>
      </w:r>
      <w:r w:rsidRPr="00602F08">
        <w:rPr>
          <w:rStyle w:val="normaltextrun"/>
          <w:rFonts w:ascii="Times New Roman" w:hAnsi="Times New Roman"/>
          <w:lang w:val="en-US"/>
        </w:rPr>
        <w:t xml:space="preserve">of the numbers of disabled </w:t>
      </w:r>
      <w:r w:rsidR="00642EDA">
        <w:rPr>
          <w:rStyle w:val="normaltextrun"/>
          <w:rFonts w:ascii="Times New Roman" w:hAnsi="Times New Roman"/>
          <w:lang w:val="en-US"/>
        </w:rPr>
        <w:t>persons</w:t>
      </w:r>
      <w:r w:rsidR="007B36D7">
        <w:rPr>
          <w:rStyle w:val="normaltextrun"/>
          <w:rFonts w:ascii="Times New Roman" w:hAnsi="Times New Roman"/>
          <w:lang w:val="en-US"/>
        </w:rPr>
        <w:t xml:space="preserve">. </w:t>
      </w:r>
      <w:r w:rsidR="001C2A57">
        <w:rPr>
          <w:rStyle w:val="normaltextrun"/>
          <w:rFonts w:ascii="Times New Roman" w:hAnsi="Times New Roman"/>
          <w:lang w:val="en-US"/>
        </w:rPr>
        <w:t>The Secretary of State</w:t>
      </w:r>
      <w:r w:rsidR="007B36D7">
        <w:rPr>
          <w:rStyle w:val="normaltextrun"/>
          <w:rFonts w:ascii="Times New Roman" w:hAnsi="Times New Roman"/>
          <w:lang w:val="en-US"/>
        </w:rPr>
        <w:t xml:space="preserve"> does</w:t>
      </w:r>
      <w:r w:rsidRPr="00602F08">
        <w:rPr>
          <w:rStyle w:val="normaltextrun"/>
          <w:rFonts w:ascii="Times New Roman" w:hAnsi="Times New Roman"/>
          <w:lang w:val="en-US"/>
        </w:rPr>
        <w:t xml:space="preserve"> </w:t>
      </w:r>
      <w:r w:rsidR="00642EDA">
        <w:rPr>
          <w:rStyle w:val="normaltextrun"/>
          <w:rFonts w:ascii="Times New Roman" w:hAnsi="Times New Roman"/>
          <w:lang w:val="en-US"/>
        </w:rPr>
        <w:t xml:space="preserve">not </w:t>
      </w:r>
      <w:r w:rsidRPr="00602F08">
        <w:rPr>
          <w:rStyle w:val="normaltextrun"/>
          <w:rFonts w:ascii="Times New Roman" w:hAnsi="Times New Roman"/>
          <w:lang w:val="en-US"/>
        </w:rPr>
        <w:t>accept that there needs to be</w:t>
      </w:r>
      <w:r w:rsidR="00196B88" w:rsidRPr="00602F08">
        <w:rPr>
          <w:rStyle w:val="normaltextrun"/>
          <w:rFonts w:ascii="Times New Roman" w:hAnsi="Times New Roman"/>
          <w:lang w:val="en-US"/>
        </w:rPr>
        <w:t xml:space="preserve"> as a matter of law</w:t>
      </w:r>
      <w:r w:rsidRPr="00602F08">
        <w:rPr>
          <w:rStyle w:val="normaltextrun"/>
          <w:rFonts w:ascii="Times New Roman" w:hAnsi="Times New Roman"/>
          <w:lang w:val="en-US"/>
        </w:rPr>
        <w:t>. Th</w:t>
      </w:r>
      <w:r w:rsidR="00196B88" w:rsidRPr="00602F08">
        <w:rPr>
          <w:rStyle w:val="normaltextrun"/>
          <w:rFonts w:ascii="Times New Roman" w:hAnsi="Times New Roman"/>
          <w:lang w:val="en-US"/>
        </w:rPr>
        <w:t>e</w:t>
      </w:r>
      <w:r w:rsidRPr="00602F08">
        <w:rPr>
          <w:rStyle w:val="normaltextrun"/>
          <w:rFonts w:ascii="Times New Roman" w:hAnsi="Times New Roman"/>
          <w:lang w:val="en-US"/>
        </w:rPr>
        <w:t xml:space="preserve"> Court cannot simply leave things there.</w:t>
      </w:r>
      <w:r w:rsidR="00A74BD2">
        <w:rPr>
          <w:rStyle w:val="normaltextrun"/>
          <w:rFonts w:ascii="Times New Roman" w:hAnsi="Times New Roman"/>
          <w:lang w:val="en-US"/>
        </w:rPr>
        <w:t xml:space="preserve"> This is a matter </w:t>
      </w:r>
      <w:r w:rsidR="001C2A57">
        <w:rPr>
          <w:rStyle w:val="normaltextrun"/>
          <w:rFonts w:ascii="Times New Roman" w:hAnsi="Times New Roman"/>
          <w:lang w:val="en-US"/>
        </w:rPr>
        <w:t>to which I return separately below.</w:t>
      </w:r>
    </w:p>
    <w:p w14:paraId="162536DD" w14:textId="77777777" w:rsidR="004C7B75" w:rsidRPr="00602F08" w:rsidRDefault="004C7B75" w:rsidP="00B6212D">
      <w:pPr>
        <w:pStyle w:val="BodyText"/>
        <w:ind w:left="687"/>
        <w:jc w:val="both"/>
        <w:rPr>
          <w:rStyle w:val="normaltextrun"/>
          <w:lang w:val="en-US"/>
        </w:rPr>
      </w:pPr>
    </w:p>
    <w:p w14:paraId="21BB9817" w14:textId="4313D483" w:rsidR="00DC273D" w:rsidRPr="00602F08" w:rsidRDefault="00DC273D" w:rsidP="00B6212D">
      <w:pPr>
        <w:pStyle w:val="BodyText"/>
        <w:numPr>
          <w:ilvl w:val="0"/>
          <w:numId w:val="10"/>
        </w:numPr>
        <w:jc w:val="both"/>
        <w:rPr>
          <w:rStyle w:val="normaltextrun"/>
          <w:lang w:val="en-US"/>
        </w:rPr>
      </w:pPr>
      <w:r w:rsidRPr="00602F08">
        <w:rPr>
          <w:rStyle w:val="normaltextrun"/>
          <w:lang w:val="en-US"/>
        </w:rPr>
        <w:t xml:space="preserve">Beatson LJ in </w:t>
      </w:r>
      <w:r w:rsidRPr="00602F08">
        <w:rPr>
          <w:rStyle w:val="normaltextrun"/>
          <w:u w:val="single"/>
        </w:rPr>
        <w:t>VC v Secretary of State for the Home Department</w:t>
      </w:r>
      <w:r w:rsidRPr="00602F08">
        <w:rPr>
          <w:rStyle w:val="normaltextrun"/>
        </w:rPr>
        <w:t xml:space="preserve"> </w:t>
      </w:r>
      <w:r w:rsidR="0084489E" w:rsidRPr="001D194F">
        <w:rPr>
          <w:rStyle w:val="normaltextrun"/>
          <w:u w:val="single"/>
        </w:rPr>
        <w:t xml:space="preserve">(Equality and </w:t>
      </w:r>
      <w:r w:rsidR="001D4909" w:rsidRPr="001D194F">
        <w:rPr>
          <w:rStyle w:val="normaltextrun"/>
          <w:u w:val="single"/>
        </w:rPr>
        <w:t>Human Rights Commission Intervening)</w:t>
      </w:r>
      <w:r w:rsidR="001D4909">
        <w:rPr>
          <w:rStyle w:val="normaltextrun"/>
        </w:rPr>
        <w:t xml:space="preserve"> </w:t>
      </w:r>
      <w:r w:rsidRPr="00602F08">
        <w:rPr>
          <w:rStyle w:val="normaltextrun"/>
        </w:rPr>
        <w:t>[</w:t>
      </w:r>
      <w:r w:rsidR="00B54D77" w:rsidRPr="00602F08">
        <w:rPr>
          <w:rStyle w:val="normaltextrun"/>
        </w:rPr>
        <w:t>201</w:t>
      </w:r>
      <w:r w:rsidR="001D4909">
        <w:rPr>
          <w:rStyle w:val="normaltextrun"/>
        </w:rPr>
        <w:t>8</w:t>
      </w:r>
      <w:r w:rsidRPr="00602F08">
        <w:rPr>
          <w:rStyle w:val="normaltextrun"/>
        </w:rPr>
        <w:t>]</w:t>
      </w:r>
      <w:r w:rsidR="00B54D77" w:rsidRPr="00602F08">
        <w:rPr>
          <w:rStyle w:val="normaltextrun"/>
        </w:rPr>
        <w:t xml:space="preserve"> EWCA Civ 57</w:t>
      </w:r>
      <w:r w:rsidR="001D4909">
        <w:rPr>
          <w:rStyle w:val="normaltextrun"/>
        </w:rPr>
        <w:t xml:space="preserve">; </w:t>
      </w:r>
      <w:r w:rsidR="001D194F">
        <w:rPr>
          <w:rStyle w:val="normaltextrun"/>
        </w:rPr>
        <w:t xml:space="preserve">[2018] 1 WLR 4781 </w:t>
      </w:r>
      <w:r w:rsidRPr="00602F08">
        <w:rPr>
          <w:rStyle w:val="normaltextrun"/>
        </w:rPr>
        <w:t xml:space="preserve">at </w:t>
      </w:r>
      <w:r w:rsidR="001D194F">
        <w:rPr>
          <w:rStyle w:val="normaltextrun"/>
        </w:rPr>
        <w:t>[</w:t>
      </w:r>
      <w:r w:rsidRPr="00602F08">
        <w:rPr>
          <w:rStyle w:val="normaltextrun"/>
        </w:rPr>
        <w:t>144</w:t>
      </w:r>
      <w:r w:rsidR="001D194F">
        <w:rPr>
          <w:rStyle w:val="normaltextrun"/>
        </w:rPr>
        <w:t>]</w:t>
      </w:r>
      <w:r w:rsidRPr="00602F08">
        <w:rPr>
          <w:rStyle w:val="normaltextrun"/>
        </w:rPr>
        <w:t xml:space="preserve"> put things in this way</w:t>
      </w:r>
      <w:r w:rsidR="00374B40">
        <w:rPr>
          <w:rStyle w:val="normaltextrun"/>
        </w:rPr>
        <w:t xml:space="preserve"> (with Arden and Lewison LJJ agreeing)</w:t>
      </w:r>
      <w:r w:rsidRPr="00602F08">
        <w:rPr>
          <w:rStyle w:val="normaltextrun"/>
        </w:rPr>
        <w:t>:</w:t>
      </w:r>
    </w:p>
    <w:p w14:paraId="34C67955" w14:textId="77777777" w:rsidR="00DC273D" w:rsidRPr="00602F08" w:rsidRDefault="00DC273D" w:rsidP="00B6212D">
      <w:pPr>
        <w:ind w:left="1134" w:hanging="448"/>
        <w:jc w:val="both"/>
        <w:rPr>
          <w:rStyle w:val="normaltextrun"/>
        </w:rPr>
      </w:pPr>
    </w:p>
    <w:p w14:paraId="3D297697" w14:textId="0EDAB6C3" w:rsidR="00DC273D" w:rsidRPr="00602F08" w:rsidRDefault="00DC273D" w:rsidP="00606F23">
      <w:pPr>
        <w:ind w:left="1440" w:hanging="754"/>
        <w:jc w:val="both"/>
        <w:rPr>
          <w:rStyle w:val="normaltextrun"/>
        </w:rPr>
      </w:pPr>
      <w:r w:rsidRPr="00602F08">
        <w:rPr>
          <w:rStyle w:val="normaltextrun"/>
        </w:rPr>
        <w:t xml:space="preserve"> </w:t>
      </w:r>
      <w:r w:rsidRPr="00602F08">
        <w:rPr>
          <w:rStyle w:val="normaltextrun"/>
        </w:rPr>
        <w:tab/>
        <w:t>“On behalf of the Secretary of State, Ms Anderson submitted that the court should dismiss the claimant's appeal on the Equality Act ground because this is a “dynamic area in which many public bodies and NGOs are involved so it is inapt to seek to draw the court into an impossible general evaluation of all matters relevant to the equality position in the absence of the principal responsible bodies”. I reject this argument. As the body exercising the public function of detention it is for the Secretary of State to ensure compliance with the Equality Act in the exercise of that function. If the Secretary of State has breached that duty she cannot expect the court to decline to declare a breach because the context is complex or dynamic. Such an approach would risk exempting a significant proportion of government activity from the requirements of the Equality Act.”</w:t>
      </w:r>
    </w:p>
    <w:p w14:paraId="3E5DFD6F" w14:textId="77777777" w:rsidR="0083594D" w:rsidRPr="00602F08" w:rsidRDefault="0083594D" w:rsidP="00B6212D">
      <w:pPr>
        <w:jc w:val="both"/>
        <w:rPr>
          <w:rStyle w:val="normaltextrun"/>
          <w:lang w:val="en-US"/>
        </w:rPr>
      </w:pPr>
    </w:p>
    <w:p w14:paraId="626689C7" w14:textId="66989F03" w:rsidR="006F4FFD" w:rsidRPr="006F4FFD" w:rsidRDefault="00A203ED" w:rsidP="006F4FFD">
      <w:pPr>
        <w:pStyle w:val="BodyText"/>
        <w:numPr>
          <w:ilvl w:val="0"/>
          <w:numId w:val="10"/>
        </w:numPr>
        <w:jc w:val="both"/>
        <w:rPr>
          <w:rStyle w:val="normaltextrun"/>
        </w:rPr>
      </w:pPr>
      <w:r w:rsidRPr="00602F08">
        <w:rPr>
          <w:rStyle w:val="normaltextrun"/>
          <w:lang w:val="en-US"/>
        </w:rPr>
        <w:t xml:space="preserve">Ms Leventhal </w:t>
      </w:r>
      <w:r w:rsidR="000F400F">
        <w:rPr>
          <w:rStyle w:val="normaltextrun"/>
          <w:lang w:val="en-US"/>
        </w:rPr>
        <w:t>argued that</w:t>
      </w:r>
      <w:r w:rsidR="007A3E41" w:rsidRPr="00602F08">
        <w:rPr>
          <w:rStyle w:val="normaltextrun"/>
          <w:lang w:val="en-US"/>
        </w:rPr>
        <w:t xml:space="preserve"> there is a “provision, criterion or practice” </w:t>
      </w:r>
      <w:r w:rsidR="001F07D6">
        <w:rPr>
          <w:rStyle w:val="normaltextrun"/>
          <w:lang w:val="en-US"/>
        </w:rPr>
        <w:t xml:space="preserve">within the system </w:t>
      </w:r>
      <w:r w:rsidR="007A3E41" w:rsidRPr="00602F08">
        <w:rPr>
          <w:rStyle w:val="normaltextrun"/>
          <w:lang w:val="en-US"/>
        </w:rPr>
        <w:t>which put</w:t>
      </w:r>
      <w:r w:rsidR="00D44038">
        <w:rPr>
          <w:rStyle w:val="normaltextrun"/>
          <w:lang w:val="en-US"/>
        </w:rPr>
        <w:t>s</w:t>
      </w:r>
      <w:r w:rsidR="007A3E41" w:rsidRPr="00602F08">
        <w:rPr>
          <w:rStyle w:val="normaltextrun"/>
          <w:lang w:val="en-US"/>
        </w:rPr>
        <w:t xml:space="preserve"> AA at a substantial disadvantage.</w:t>
      </w:r>
      <w:r w:rsidR="00541D01" w:rsidRPr="00602F08">
        <w:rPr>
          <w:rStyle w:val="normaltextrun"/>
          <w:lang w:val="en-US"/>
        </w:rPr>
        <w:t xml:space="preserve"> </w:t>
      </w:r>
      <w:r w:rsidR="00592602">
        <w:rPr>
          <w:rStyle w:val="normaltextrun"/>
          <w:lang w:val="en-US"/>
        </w:rPr>
        <w:t>In her contention, t</w:t>
      </w:r>
      <w:r w:rsidR="00541D01" w:rsidRPr="00602F08">
        <w:rPr>
          <w:rStyle w:val="normaltextrun"/>
          <w:lang w:val="en-US"/>
        </w:rPr>
        <w:t>he</w:t>
      </w:r>
      <w:r w:rsidRPr="00602F08">
        <w:rPr>
          <w:rStyle w:val="normaltextrun"/>
          <w:lang w:val="en-US"/>
        </w:rPr>
        <w:t xml:space="preserve"> delays and failings in the case of AA “are indicative of wider systemic failures” for severely disabled people.</w:t>
      </w:r>
      <w:r w:rsidR="007E5894">
        <w:rPr>
          <w:rStyle w:val="normaltextrun"/>
          <w:lang w:val="en-US"/>
        </w:rPr>
        <w:t xml:space="preserve"> She</w:t>
      </w:r>
      <w:r w:rsidR="00DE454D" w:rsidRPr="006F4FFD">
        <w:rPr>
          <w:rStyle w:val="normaltextrun"/>
          <w:lang w:val="en-US"/>
        </w:rPr>
        <w:t xml:space="preserve"> accepted the constraints that followed where the Court did not have the ‘full run of cases’ before it and tailored her oral argument on systemic unlawfulness accordingly. </w:t>
      </w:r>
    </w:p>
    <w:p w14:paraId="12C0849E" w14:textId="77777777" w:rsidR="006F4FFD" w:rsidRDefault="006F4FFD" w:rsidP="006F4FFD">
      <w:pPr>
        <w:pStyle w:val="ListParagraph"/>
        <w:rPr>
          <w:rStyle w:val="normaltextrun"/>
          <w:lang w:val="en-US"/>
        </w:rPr>
      </w:pPr>
    </w:p>
    <w:p w14:paraId="71F80021" w14:textId="629C90A5" w:rsidR="00D5079F" w:rsidRPr="00D67820" w:rsidRDefault="007E5894" w:rsidP="00D67820">
      <w:pPr>
        <w:pStyle w:val="BodyText"/>
        <w:numPr>
          <w:ilvl w:val="0"/>
          <w:numId w:val="10"/>
        </w:numPr>
        <w:jc w:val="both"/>
      </w:pPr>
      <w:r>
        <w:rPr>
          <w:rStyle w:val="normaltextrun"/>
          <w:lang w:val="en-US"/>
        </w:rPr>
        <w:t>Ms Leventhal</w:t>
      </w:r>
      <w:r w:rsidR="0084764F" w:rsidRPr="00D67820">
        <w:rPr>
          <w:rStyle w:val="normaltextrun"/>
          <w:lang w:val="en-US"/>
        </w:rPr>
        <w:t xml:space="preserve"> recognise</w:t>
      </w:r>
      <w:r w:rsidR="000F400F" w:rsidRPr="00D67820">
        <w:rPr>
          <w:rStyle w:val="normaltextrun"/>
          <w:lang w:val="en-US"/>
        </w:rPr>
        <w:t>d</w:t>
      </w:r>
      <w:r w:rsidR="0084764F" w:rsidRPr="00D67820">
        <w:rPr>
          <w:rStyle w:val="normaltextrun"/>
          <w:lang w:val="en-US"/>
        </w:rPr>
        <w:t xml:space="preserve"> </w:t>
      </w:r>
      <w:r w:rsidR="00C26FEA">
        <w:rPr>
          <w:rStyle w:val="normaltextrun"/>
          <w:lang w:val="en-US"/>
        </w:rPr>
        <w:t xml:space="preserve">in her argument </w:t>
      </w:r>
      <w:r w:rsidR="007A3E41" w:rsidRPr="00D67820">
        <w:rPr>
          <w:rStyle w:val="normaltextrun"/>
          <w:lang w:val="en-US"/>
        </w:rPr>
        <w:t>that in the Policy (and also in the Secretary of State’s published guidance “Healthcare needs and Pregnancy Dispersal Guidance”</w:t>
      </w:r>
      <w:r w:rsidR="00902EC6" w:rsidRPr="00D67820">
        <w:rPr>
          <w:rStyle w:val="normaltextrun"/>
          <w:lang w:val="en-US"/>
        </w:rPr>
        <w:t>)</w:t>
      </w:r>
      <w:r w:rsidR="007A3E41" w:rsidRPr="00D67820">
        <w:rPr>
          <w:rStyle w:val="normaltextrun"/>
          <w:lang w:val="en-US"/>
        </w:rPr>
        <w:t xml:space="preserve"> those acting for the Secretary of State are permitted to consider providing accommodation in a particular location or of a particular type where medical or healthcare needs are identified and to prioritise those needs</w:t>
      </w:r>
      <w:r w:rsidR="003F471A" w:rsidRPr="00D67820">
        <w:rPr>
          <w:rStyle w:val="normaltextrun"/>
          <w:lang w:val="en-US"/>
        </w:rPr>
        <w:t>.</w:t>
      </w:r>
      <w:r w:rsidR="002919E2" w:rsidRPr="00D67820">
        <w:rPr>
          <w:rStyle w:val="normaltextrun"/>
          <w:lang w:val="en-US"/>
        </w:rPr>
        <w:t xml:space="preserve"> Ms Leventhal made clear that the focus of her challenge is on the practice of the Secretary of State</w:t>
      </w:r>
      <w:r w:rsidR="00A36387" w:rsidRPr="00D67820">
        <w:rPr>
          <w:rStyle w:val="normaltextrun"/>
          <w:lang w:val="en-US"/>
        </w:rPr>
        <w:t xml:space="preserve"> </w:t>
      </w:r>
      <w:r w:rsidR="002919E2" w:rsidRPr="00D67820">
        <w:rPr>
          <w:rStyle w:val="normaltextrun"/>
          <w:lang w:val="en-US"/>
        </w:rPr>
        <w:t>rather than the policy</w:t>
      </w:r>
      <w:r w:rsidR="00B90476">
        <w:rPr>
          <w:rStyle w:val="normaltextrun"/>
          <w:lang w:val="en-US"/>
        </w:rPr>
        <w:t>;</w:t>
      </w:r>
      <w:r w:rsidR="002919E2" w:rsidRPr="00D67820">
        <w:rPr>
          <w:rStyle w:val="normaltextrun"/>
          <w:lang w:val="en-US"/>
        </w:rPr>
        <w:t xml:space="preserve"> on </w:t>
      </w:r>
      <w:r w:rsidR="002919E2" w:rsidRPr="00D67820">
        <w:t>“the [Secretary of State’s] practice in operating this policy, i.e. the focus being on the systems, methods and resources in place”</w:t>
      </w:r>
      <w:r w:rsidR="002919E2" w:rsidRPr="00D67820">
        <w:rPr>
          <w:rStyle w:val="normaltextrun"/>
          <w:lang w:val="en-US"/>
        </w:rPr>
        <w:t>.</w:t>
      </w:r>
    </w:p>
    <w:p w14:paraId="5229EE3F" w14:textId="77777777" w:rsidR="00D5079F" w:rsidRPr="00F800FC" w:rsidRDefault="00D5079F" w:rsidP="00B6212D">
      <w:pPr>
        <w:pStyle w:val="ListParagraph"/>
        <w:jc w:val="both"/>
        <w:rPr>
          <w:rFonts w:ascii="Times New Roman" w:hAnsi="Times New Roman"/>
          <w:lang w:eastAsia="en-GB"/>
        </w:rPr>
      </w:pPr>
    </w:p>
    <w:p w14:paraId="0A778A2D" w14:textId="5EB22513" w:rsidR="00D5079F" w:rsidRPr="00F800FC" w:rsidRDefault="006E0D4A" w:rsidP="00B6212D">
      <w:pPr>
        <w:numPr>
          <w:ilvl w:val="0"/>
          <w:numId w:val="10"/>
        </w:numPr>
        <w:jc w:val="both"/>
        <w:rPr>
          <w:rStyle w:val="normaltextrun"/>
          <w:lang w:val="en-US"/>
        </w:rPr>
      </w:pPr>
      <w:r>
        <w:rPr>
          <w:rStyle w:val="normaltextrun"/>
          <w:lang w:val="en-US"/>
        </w:rPr>
        <w:t xml:space="preserve">I return later to the </w:t>
      </w:r>
      <w:r w:rsidR="00290DC4">
        <w:rPr>
          <w:rStyle w:val="normaltextrun"/>
          <w:lang w:val="en-US"/>
        </w:rPr>
        <w:t xml:space="preserve">absence of monitoring of disabled people in the system. At this stage </w:t>
      </w:r>
      <w:r w:rsidR="00C922F7">
        <w:rPr>
          <w:rStyle w:val="normaltextrun"/>
          <w:lang w:val="en-US"/>
        </w:rPr>
        <w:t xml:space="preserve">it is convenient to focus on </w:t>
      </w:r>
      <w:r w:rsidR="00E35273" w:rsidRPr="00F800FC">
        <w:rPr>
          <w:rStyle w:val="normaltextrun"/>
          <w:lang w:val="en-US"/>
        </w:rPr>
        <w:t>evidence</w:t>
      </w:r>
      <w:r w:rsidR="009335C2">
        <w:rPr>
          <w:rStyle w:val="normaltextrun"/>
          <w:lang w:val="en-US"/>
        </w:rPr>
        <w:t>, tendered on behalf of the Secretary of State,</w:t>
      </w:r>
      <w:r w:rsidR="006F7E13">
        <w:rPr>
          <w:rStyle w:val="normaltextrun"/>
          <w:lang w:val="en-US"/>
        </w:rPr>
        <w:t xml:space="preserve"> from</w:t>
      </w:r>
      <w:r w:rsidR="00C86A50" w:rsidRPr="00F800FC">
        <w:rPr>
          <w:rStyle w:val="normaltextrun"/>
          <w:lang w:val="en-US"/>
        </w:rPr>
        <w:t xml:space="preserve"> Ms McLean, </w:t>
      </w:r>
      <w:r w:rsidR="004A5360" w:rsidRPr="00F800FC">
        <w:rPr>
          <w:rStyle w:val="normaltextrun"/>
          <w:lang w:val="en-US"/>
        </w:rPr>
        <w:t>the Contract Compliance Manager at one of the accommodation providers</w:t>
      </w:r>
      <w:r w:rsidR="006F7E13">
        <w:rPr>
          <w:rStyle w:val="normaltextrun"/>
          <w:lang w:val="en-US"/>
        </w:rPr>
        <w:t>.</w:t>
      </w:r>
      <w:r w:rsidR="009335C2">
        <w:rPr>
          <w:rStyle w:val="normaltextrun"/>
          <w:lang w:val="en-US"/>
        </w:rPr>
        <w:t xml:space="preserve">  Ms McLean </w:t>
      </w:r>
      <w:r w:rsidR="004A59C3">
        <w:rPr>
          <w:rStyle w:val="normaltextrun"/>
          <w:lang w:val="en-US"/>
        </w:rPr>
        <w:t>acknowledges</w:t>
      </w:r>
      <w:r w:rsidR="00D5079F" w:rsidRPr="00F800FC">
        <w:rPr>
          <w:rStyle w:val="normaltextrun"/>
          <w:lang w:val="en-US"/>
        </w:rPr>
        <w:t>:</w:t>
      </w:r>
    </w:p>
    <w:p w14:paraId="26FC9686" w14:textId="77777777" w:rsidR="00D5079F" w:rsidRPr="00F800FC" w:rsidRDefault="00D5079F" w:rsidP="00B6212D">
      <w:pPr>
        <w:ind w:left="119"/>
        <w:jc w:val="both"/>
        <w:rPr>
          <w:rStyle w:val="normaltextrun"/>
          <w:lang w:val="en-US"/>
        </w:rPr>
      </w:pPr>
    </w:p>
    <w:p w14:paraId="75B7B62A" w14:textId="52E3EEC4" w:rsidR="007A3E41" w:rsidRPr="00F800FC" w:rsidRDefault="00D5079F" w:rsidP="00B6212D">
      <w:pPr>
        <w:ind w:left="1440"/>
        <w:jc w:val="both"/>
        <w:rPr>
          <w:rStyle w:val="normaltextrun"/>
          <w:lang w:val="en-US"/>
        </w:rPr>
      </w:pPr>
      <w:r w:rsidRPr="00F800FC">
        <w:rPr>
          <w:rStyle w:val="normaltextrun"/>
          <w:lang w:val="en-US"/>
        </w:rPr>
        <w:t>“For cases with specific needs or specific locations, it is unlikely that any [appropriate property] will be found within 14 days.”</w:t>
      </w:r>
    </w:p>
    <w:p w14:paraId="0D4BC3E0" w14:textId="2EA6322E" w:rsidR="00D5079F" w:rsidRPr="00F800FC" w:rsidRDefault="00D5079F" w:rsidP="00B6212D">
      <w:pPr>
        <w:ind w:left="1440"/>
        <w:jc w:val="both"/>
        <w:rPr>
          <w:rStyle w:val="normaltextrun"/>
          <w:lang w:val="en-US"/>
        </w:rPr>
      </w:pPr>
    </w:p>
    <w:p w14:paraId="38258257" w14:textId="72BD98AA" w:rsidR="004C55E7" w:rsidRPr="00F800FC" w:rsidRDefault="008508C2" w:rsidP="00F800FC">
      <w:pPr>
        <w:pStyle w:val="ListParagraph"/>
        <w:numPr>
          <w:ilvl w:val="0"/>
          <w:numId w:val="10"/>
        </w:numPr>
        <w:jc w:val="both"/>
        <w:rPr>
          <w:rStyle w:val="normaltextrun"/>
          <w:rFonts w:ascii="Times New Roman" w:hAnsi="Times New Roman"/>
          <w:lang w:val="en-US"/>
        </w:rPr>
      </w:pPr>
      <w:r w:rsidRPr="00F800FC">
        <w:rPr>
          <w:rStyle w:val="normaltextrun"/>
          <w:rFonts w:ascii="Times New Roman" w:hAnsi="Times New Roman"/>
          <w:lang w:val="en-US"/>
        </w:rPr>
        <w:t>N</w:t>
      </w:r>
      <w:r w:rsidR="001F1F48" w:rsidRPr="00F800FC">
        <w:rPr>
          <w:rStyle w:val="normaltextrun"/>
          <w:rFonts w:ascii="Times New Roman" w:hAnsi="Times New Roman"/>
          <w:lang w:val="en-US"/>
        </w:rPr>
        <w:t>o</w:t>
      </w:r>
      <w:r w:rsidRPr="00F800FC">
        <w:rPr>
          <w:rStyle w:val="normaltextrun"/>
          <w:rFonts w:ascii="Times New Roman" w:hAnsi="Times New Roman"/>
          <w:lang w:val="en-US"/>
        </w:rPr>
        <w:t>t</w:t>
      </w:r>
      <w:r w:rsidR="001F1F48" w:rsidRPr="00F800FC">
        <w:rPr>
          <w:rStyle w:val="normaltextrun"/>
          <w:rFonts w:ascii="Times New Roman" w:hAnsi="Times New Roman"/>
          <w:lang w:val="en-US"/>
        </w:rPr>
        <w:t xml:space="preserve"> every disabled person will have </w:t>
      </w:r>
      <w:r w:rsidR="00EB56F5" w:rsidRPr="00F800FC">
        <w:rPr>
          <w:rStyle w:val="normaltextrun"/>
          <w:rFonts w:ascii="Times New Roman" w:hAnsi="Times New Roman"/>
          <w:lang w:val="en-US"/>
        </w:rPr>
        <w:t xml:space="preserve">what Ms McLean terms </w:t>
      </w:r>
      <w:r w:rsidR="004A59C3">
        <w:rPr>
          <w:rStyle w:val="normaltextrun"/>
          <w:rFonts w:ascii="Times New Roman" w:hAnsi="Times New Roman"/>
          <w:lang w:val="en-US"/>
        </w:rPr>
        <w:t>“</w:t>
      </w:r>
      <w:r w:rsidR="001F1F48" w:rsidRPr="00F800FC">
        <w:rPr>
          <w:rStyle w:val="normaltextrun"/>
          <w:rFonts w:ascii="Times New Roman" w:hAnsi="Times New Roman"/>
          <w:lang w:val="en-US"/>
        </w:rPr>
        <w:t>specific needs</w:t>
      </w:r>
      <w:r w:rsidR="004A59C3">
        <w:rPr>
          <w:rStyle w:val="normaltextrun"/>
          <w:rFonts w:ascii="Times New Roman" w:hAnsi="Times New Roman"/>
          <w:lang w:val="en-US"/>
        </w:rPr>
        <w:t>”</w:t>
      </w:r>
      <w:r w:rsidR="001F1F48" w:rsidRPr="00F800FC">
        <w:rPr>
          <w:rStyle w:val="normaltextrun"/>
          <w:rFonts w:ascii="Times New Roman" w:hAnsi="Times New Roman"/>
          <w:lang w:val="en-US"/>
        </w:rPr>
        <w:t xml:space="preserve"> (including for location)</w:t>
      </w:r>
      <w:r w:rsidRPr="00F800FC">
        <w:rPr>
          <w:rStyle w:val="normaltextrun"/>
          <w:rFonts w:ascii="Times New Roman" w:hAnsi="Times New Roman"/>
          <w:lang w:val="en-US"/>
        </w:rPr>
        <w:t xml:space="preserve">. But </w:t>
      </w:r>
      <w:r w:rsidR="00EC42F6" w:rsidRPr="00F800FC">
        <w:rPr>
          <w:rStyle w:val="normaltextrun"/>
          <w:rFonts w:ascii="Times New Roman" w:hAnsi="Times New Roman"/>
          <w:lang w:val="en-US"/>
        </w:rPr>
        <w:t>the fact is that</w:t>
      </w:r>
      <w:r w:rsidR="00AD2770" w:rsidRPr="00F800FC">
        <w:rPr>
          <w:rStyle w:val="normaltextrun"/>
          <w:rFonts w:ascii="Times New Roman" w:hAnsi="Times New Roman"/>
          <w:lang w:val="en-US"/>
        </w:rPr>
        <w:t xml:space="preserve"> </w:t>
      </w:r>
      <w:r w:rsidR="00F717F6" w:rsidRPr="00F800FC">
        <w:rPr>
          <w:rStyle w:val="normaltextrun"/>
          <w:rFonts w:ascii="Times New Roman" w:hAnsi="Times New Roman"/>
          <w:lang w:val="en-US"/>
        </w:rPr>
        <w:t xml:space="preserve">under the system </w:t>
      </w:r>
      <w:r w:rsidR="00B92D0F" w:rsidRPr="00F800FC">
        <w:rPr>
          <w:rStyle w:val="normaltextrun"/>
          <w:rFonts w:ascii="Times New Roman" w:hAnsi="Times New Roman"/>
          <w:lang w:val="en-US"/>
        </w:rPr>
        <w:t xml:space="preserve">disabled </w:t>
      </w:r>
      <w:r w:rsidR="005406CE" w:rsidRPr="00F800FC">
        <w:rPr>
          <w:rStyle w:val="normaltextrun"/>
          <w:rFonts w:ascii="Times New Roman" w:hAnsi="Times New Roman"/>
          <w:lang w:val="en-US"/>
        </w:rPr>
        <w:t xml:space="preserve">persons </w:t>
      </w:r>
      <w:r w:rsidR="00D0476C" w:rsidRPr="00F800FC">
        <w:rPr>
          <w:rStyle w:val="normaltextrun"/>
          <w:rFonts w:ascii="Times New Roman" w:hAnsi="Times New Roman"/>
          <w:lang w:val="en-US"/>
        </w:rPr>
        <w:t>are</w:t>
      </w:r>
      <w:r w:rsidR="00575054" w:rsidRPr="00F800FC">
        <w:rPr>
          <w:rStyle w:val="normaltextrun"/>
          <w:rFonts w:ascii="Times New Roman" w:hAnsi="Times New Roman"/>
          <w:lang w:val="en-US"/>
        </w:rPr>
        <w:t xml:space="preserve"> </w:t>
      </w:r>
      <w:r w:rsidR="00D0476C" w:rsidRPr="00F800FC">
        <w:rPr>
          <w:rStyle w:val="normaltextrun"/>
          <w:rFonts w:ascii="Times New Roman" w:hAnsi="Times New Roman"/>
          <w:lang w:val="en-US"/>
        </w:rPr>
        <w:t>un</w:t>
      </w:r>
      <w:r w:rsidR="00575054" w:rsidRPr="00F800FC">
        <w:rPr>
          <w:rStyle w:val="normaltextrun"/>
          <w:rFonts w:ascii="Times New Roman" w:hAnsi="Times New Roman"/>
          <w:lang w:val="en-US"/>
        </w:rPr>
        <w:t>likely to</w:t>
      </w:r>
      <w:r w:rsidR="00555477" w:rsidRPr="00F800FC">
        <w:rPr>
          <w:rStyle w:val="normaltextrun"/>
          <w:rFonts w:ascii="Times New Roman" w:hAnsi="Times New Roman"/>
          <w:lang w:val="en-US"/>
        </w:rPr>
        <w:t xml:space="preserve"> be provided with </w:t>
      </w:r>
      <w:r w:rsidR="00D73B64" w:rsidRPr="00F800FC">
        <w:rPr>
          <w:rStyle w:val="normaltextrun"/>
          <w:rFonts w:ascii="Times New Roman" w:hAnsi="Times New Roman"/>
          <w:lang w:val="en-US"/>
        </w:rPr>
        <w:t xml:space="preserve">accommodation within the periods </w:t>
      </w:r>
      <w:r w:rsidR="003D7150" w:rsidRPr="00F800FC">
        <w:rPr>
          <w:rStyle w:val="normaltextrun"/>
          <w:rFonts w:ascii="Times New Roman" w:hAnsi="Times New Roman"/>
          <w:lang w:val="en-US"/>
        </w:rPr>
        <w:t xml:space="preserve">set out in </w:t>
      </w:r>
      <w:r w:rsidR="00E016AB" w:rsidRPr="00F800FC">
        <w:rPr>
          <w:rStyle w:val="normaltextrun"/>
          <w:rFonts w:ascii="Times New Roman" w:hAnsi="Times New Roman"/>
          <w:lang w:val="en-US"/>
        </w:rPr>
        <w:t>the Guidance</w:t>
      </w:r>
      <w:r w:rsidR="00FE1F62" w:rsidRPr="00F800FC">
        <w:rPr>
          <w:rStyle w:val="normaltextrun"/>
          <w:rFonts w:ascii="Times New Roman" w:hAnsi="Times New Roman"/>
          <w:lang w:val="en-US"/>
        </w:rPr>
        <w:t>; in this respect the Guidance does not in practice apply to them</w:t>
      </w:r>
      <w:r w:rsidR="001A7408" w:rsidRPr="00F800FC">
        <w:rPr>
          <w:rStyle w:val="normaltextrun"/>
          <w:rFonts w:ascii="Times New Roman" w:hAnsi="Times New Roman"/>
          <w:lang w:val="en-US"/>
        </w:rPr>
        <w:t>.</w:t>
      </w:r>
      <w:r w:rsidR="00C641C7" w:rsidRPr="00F800FC">
        <w:rPr>
          <w:rStyle w:val="normaltextrun"/>
          <w:rFonts w:ascii="Times New Roman" w:hAnsi="Times New Roman"/>
          <w:lang w:val="en-US"/>
        </w:rPr>
        <w:t xml:space="preserve"> </w:t>
      </w:r>
      <w:r w:rsidR="007576AE" w:rsidRPr="00F800FC">
        <w:rPr>
          <w:rStyle w:val="normaltextrun"/>
          <w:rFonts w:ascii="Times New Roman" w:hAnsi="Times New Roman"/>
          <w:lang w:val="en-US"/>
        </w:rPr>
        <w:t>Of course</w:t>
      </w:r>
      <w:r w:rsidR="008A2822" w:rsidRPr="00F800FC">
        <w:rPr>
          <w:rStyle w:val="normaltextrun"/>
          <w:rFonts w:ascii="Times New Roman" w:hAnsi="Times New Roman"/>
          <w:lang w:val="en-US"/>
        </w:rPr>
        <w:t>,</w:t>
      </w:r>
      <w:r w:rsidR="007576AE" w:rsidRPr="00F800FC">
        <w:rPr>
          <w:rStyle w:val="normaltextrun"/>
          <w:rFonts w:ascii="Times New Roman" w:hAnsi="Times New Roman"/>
          <w:lang w:val="en-US"/>
        </w:rPr>
        <w:t xml:space="preserve"> there is </w:t>
      </w:r>
      <w:r w:rsidR="00103BED" w:rsidRPr="00F800FC">
        <w:rPr>
          <w:rStyle w:val="normaltextrun"/>
          <w:rFonts w:ascii="Times New Roman" w:hAnsi="Times New Roman"/>
          <w:lang w:val="en-US"/>
        </w:rPr>
        <w:t xml:space="preserve">also </w:t>
      </w:r>
      <w:r w:rsidR="007576AE" w:rsidRPr="00F800FC">
        <w:rPr>
          <w:rStyle w:val="normaltextrun"/>
          <w:rFonts w:ascii="Times New Roman" w:hAnsi="Times New Roman"/>
          <w:lang w:val="en-US"/>
        </w:rPr>
        <w:t xml:space="preserve">evidence in these proceedings that the treatment of non-disabled people falls short of the </w:t>
      </w:r>
      <w:r w:rsidR="00D549D7" w:rsidRPr="00F800FC">
        <w:rPr>
          <w:rStyle w:val="normaltextrun"/>
          <w:rFonts w:ascii="Times New Roman" w:hAnsi="Times New Roman"/>
          <w:lang w:val="en-US"/>
        </w:rPr>
        <w:t>claims made for the system</w:t>
      </w:r>
      <w:r w:rsidR="007576AE" w:rsidRPr="00F800FC">
        <w:rPr>
          <w:rStyle w:val="normaltextrun"/>
          <w:rFonts w:ascii="Times New Roman" w:hAnsi="Times New Roman"/>
          <w:lang w:val="en-US"/>
        </w:rPr>
        <w:t xml:space="preserve"> </w:t>
      </w:r>
      <w:r w:rsidR="009A2518" w:rsidRPr="00F800FC">
        <w:rPr>
          <w:rStyle w:val="normaltextrun"/>
          <w:rFonts w:ascii="Times New Roman" w:hAnsi="Times New Roman"/>
          <w:lang w:val="en-US"/>
        </w:rPr>
        <w:t>on behalf of</w:t>
      </w:r>
      <w:r w:rsidR="007576AE" w:rsidRPr="00F800FC">
        <w:rPr>
          <w:rStyle w:val="normaltextrun"/>
          <w:rFonts w:ascii="Times New Roman" w:hAnsi="Times New Roman"/>
          <w:lang w:val="en-US"/>
        </w:rPr>
        <w:t xml:space="preserve"> the Secretary of State. </w:t>
      </w:r>
      <w:r w:rsidR="00E37365" w:rsidRPr="00F800FC">
        <w:rPr>
          <w:rStyle w:val="normaltextrun"/>
          <w:rFonts w:ascii="Times New Roman" w:hAnsi="Times New Roman"/>
          <w:lang w:val="en-US"/>
        </w:rPr>
        <w:t xml:space="preserve">But the position is </w:t>
      </w:r>
      <w:r w:rsidR="00103BED" w:rsidRPr="00F800FC">
        <w:rPr>
          <w:rStyle w:val="normaltextrun"/>
          <w:rFonts w:ascii="Times New Roman" w:hAnsi="Times New Roman"/>
          <w:lang w:val="en-US"/>
        </w:rPr>
        <w:t xml:space="preserve">still </w:t>
      </w:r>
      <w:r w:rsidR="00E37365" w:rsidRPr="00F800FC">
        <w:rPr>
          <w:rStyle w:val="normaltextrun"/>
          <w:rFonts w:ascii="Times New Roman" w:hAnsi="Times New Roman"/>
          <w:lang w:val="en-US"/>
        </w:rPr>
        <w:t>relativ</w:t>
      </w:r>
      <w:r w:rsidR="00C641C7" w:rsidRPr="00F800FC">
        <w:rPr>
          <w:rStyle w:val="normaltextrun"/>
          <w:rFonts w:ascii="Times New Roman" w:hAnsi="Times New Roman"/>
          <w:lang w:val="en-US"/>
        </w:rPr>
        <w:t>e.</w:t>
      </w:r>
    </w:p>
    <w:p w14:paraId="1206191A" w14:textId="77777777" w:rsidR="004C55E7" w:rsidRPr="00F800FC" w:rsidRDefault="004C55E7" w:rsidP="00B6212D">
      <w:pPr>
        <w:pStyle w:val="ListParagraph"/>
        <w:jc w:val="both"/>
        <w:rPr>
          <w:rFonts w:ascii="Times New Roman" w:hAnsi="Times New Roman"/>
          <w:lang w:eastAsia="en-GB"/>
        </w:rPr>
      </w:pPr>
    </w:p>
    <w:p w14:paraId="2861CE37" w14:textId="7283BB65" w:rsidR="00266AA4" w:rsidRPr="00F800FC" w:rsidRDefault="009A2518" w:rsidP="00B6212D">
      <w:pPr>
        <w:pStyle w:val="ListParagraph"/>
        <w:numPr>
          <w:ilvl w:val="0"/>
          <w:numId w:val="10"/>
        </w:numPr>
        <w:jc w:val="both"/>
        <w:rPr>
          <w:rFonts w:ascii="Times New Roman" w:hAnsi="Times New Roman"/>
        </w:rPr>
      </w:pPr>
      <w:r w:rsidRPr="00F800FC">
        <w:rPr>
          <w:rFonts w:ascii="Times New Roman" w:hAnsi="Times New Roman"/>
          <w:lang w:eastAsia="en-GB"/>
        </w:rPr>
        <w:t xml:space="preserve">It is argued for the Secretary of State </w:t>
      </w:r>
      <w:r w:rsidR="007A3E41" w:rsidRPr="00F800FC">
        <w:rPr>
          <w:rFonts w:ascii="Times New Roman" w:hAnsi="Times New Roman"/>
          <w:lang w:eastAsia="en-GB"/>
        </w:rPr>
        <w:t xml:space="preserve">that </w:t>
      </w:r>
      <w:r w:rsidR="00480C7D" w:rsidRPr="00F800FC">
        <w:rPr>
          <w:rFonts w:ascii="Times New Roman" w:hAnsi="Times New Roman"/>
          <w:lang w:eastAsia="en-GB"/>
        </w:rPr>
        <w:t xml:space="preserve">the system did not </w:t>
      </w:r>
      <w:r w:rsidR="00004916" w:rsidRPr="00F800FC">
        <w:rPr>
          <w:rFonts w:ascii="Times New Roman" w:hAnsi="Times New Roman"/>
          <w:lang w:eastAsia="en-GB"/>
        </w:rPr>
        <w:t xml:space="preserve">place </w:t>
      </w:r>
      <w:r w:rsidR="00FC3AB0" w:rsidRPr="00F800FC">
        <w:rPr>
          <w:rFonts w:ascii="Times New Roman" w:hAnsi="Times New Roman"/>
          <w:lang w:eastAsia="en-GB"/>
        </w:rPr>
        <w:t>AA</w:t>
      </w:r>
      <w:r w:rsidR="007A3E41" w:rsidRPr="00F800FC">
        <w:rPr>
          <w:rFonts w:ascii="Times New Roman" w:hAnsi="Times New Roman"/>
          <w:lang w:eastAsia="en-GB"/>
        </w:rPr>
        <w:t xml:space="preserve"> </w:t>
      </w:r>
      <w:r w:rsidR="00493C39">
        <w:rPr>
          <w:rFonts w:ascii="Times New Roman" w:hAnsi="Times New Roman"/>
          <w:lang w:eastAsia="en-GB"/>
        </w:rPr>
        <w:t xml:space="preserve">(or like severely disabled people) </w:t>
      </w:r>
      <w:r w:rsidR="007A3E41" w:rsidRPr="00F800FC">
        <w:rPr>
          <w:rFonts w:ascii="Times New Roman" w:hAnsi="Times New Roman"/>
          <w:lang w:eastAsia="en-GB"/>
        </w:rPr>
        <w:t xml:space="preserve">at a particular disadvantage when compared to </w:t>
      </w:r>
      <w:r w:rsidR="009C2E1D" w:rsidRPr="00F800FC">
        <w:rPr>
          <w:rFonts w:ascii="Times New Roman" w:hAnsi="Times New Roman"/>
          <w:lang w:eastAsia="en-GB"/>
        </w:rPr>
        <w:t>other groups</w:t>
      </w:r>
      <w:r w:rsidR="00304A1B">
        <w:rPr>
          <w:rFonts w:ascii="Times New Roman" w:hAnsi="Times New Roman"/>
          <w:lang w:eastAsia="en-GB"/>
        </w:rPr>
        <w:t xml:space="preserve"> offered for comparison</w:t>
      </w:r>
      <w:r w:rsidR="009C2E1D" w:rsidRPr="00F800FC">
        <w:rPr>
          <w:rFonts w:ascii="Times New Roman" w:hAnsi="Times New Roman"/>
          <w:lang w:eastAsia="en-GB"/>
        </w:rPr>
        <w:t xml:space="preserve">. The first comparison offered </w:t>
      </w:r>
      <w:r w:rsidR="00F420CA">
        <w:rPr>
          <w:rFonts w:ascii="Times New Roman" w:hAnsi="Times New Roman"/>
          <w:lang w:eastAsia="en-GB"/>
        </w:rPr>
        <w:t>was</w:t>
      </w:r>
      <w:r w:rsidR="009C2E1D" w:rsidRPr="00F800FC">
        <w:rPr>
          <w:rFonts w:ascii="Times New Roman" w:hAnsi="Times New Roman"/>
          <w:lang w:eastAsia="en-GB"/>
        </w:rPr>
        <w:t xml:space="preserve"> with </w:t>
      </w:r>
      <w:r w:rsidR="00B473CE" w:rsidRPr="00F800FC">
        <w:rPr>
          <w:rFonts w:ascii="Times New Roman" w:hAnsi="Times New Roman"/>
          <w:lang w:eastAsia="en-GB"/>
        </w:rPr>
        <w:t>“</w:t>
      </w:r>
      <w:r w:rsidR="007A3E41" w:rsidRPr="00F800FC">
        <w:rPr>
          <w:rFonts w:ascii="Times New Roman" w:hAnsi="Times New Roman"/>
          <w:lang w:eastAsia="en-GB"/>
        </w:rPr>
        <w:t>non-disabled asylum seekers (particularly those who are street homeless or imminently street homeless)</w:t>
      </w:r>
      <w:r w:rsidR="00760C1E" w:rsidRPr="00F800FC">
        <w:rPr>
          <w:rFonts w:ascii="Times New Roman" w:hAnsi="Times New Roman"/>
          <w:lang w:eastAsia="en-GB"/>
        </w:rPr>
        <w:t>”</w:t>
      </w:r>
      <w:r w:rsidR="007A3E41" w:rsidRPr="00F800FC">
        <w:rPr>
          <w:rFonts w:ascii="Times New Roman" w:hAnsi="Times New Roman"/>
          <w:lang w:eastAsia="en-GB"/>
        </w:rPr>
        <w:t>.</w:t>
      </w:r>
      <w:r w:rsidR="00A42F64" w:rsidRPr="00F800FC">
        <w:rPr>
          <w:rFonts w:ascii="Times New Roman" w:hAnsi="Times New Roman"/>
          <w:lang w:eastAsia="en-GB"/>
        </w:rPr>
        <w:t xml:space="preserve"> </w:t>
      </w:r>
      <w:r w:rsidR="00681BC0" w:rsidRPr="00F800FC">
        <w:rPr>
          <w:rFonts w:ascii="Times New Roman" w:hAnsi="Times New Roman"/>
          <w:lang w:eastAsia="en-GB"/>
        </w:rPr>
        <w:t xml:space="preserve">The relevant comparison is </w:t>
      </w:r>
      <w:r w:rsidR="0023048E" w:rsidRPr="00F800FC">
        <w:rPr>
          <w:rFonts w:ascii="Times New Roman" w:hAnsi="Times New Roman"/>
          <w:lang w:eastAsia="en-GB"/>
        </w:rPr>
        <w:t xml:space="preserve">however </w:t>
      </w:r>
      <w:r w:rsidR="00681BC0" w:rsidRPr="00F800FC">
        <w:rPr>
          <w:rFonts w:ascii="Times New Roman" w:hAnsi="Times New Roman"/>
          <w:lang w:eastAsia="en-GB"/>
        </w:rPr>
        <w:t>with non-disabled individuals</w:t>
      </w:r>
      <w:r w:rsidR="00BA4F2C" w:rsidRPr="00F800FC">
        <w:rPr>
          <w:rFonts w:ascii="Times New Roman" w:hAnsi="Times New Roman"/>
          <w:lang w:eastAsia="en-GB"/>
        </w:rPr>
        <w:t xml:space="preserve"> entitled to section 4(2) accommodation</w:t>
      </w:r>
      <w:r w:rsidR="001938AC">
        <w:rPr>
          <w:rFonts w:ascii="Times New Roman" w:hAnsi="Times New Roman"/>
          <w:lang w:eastAsia="en-GB"/>
        </w:rPr>
        <w:t>. T</w:t>
      </w:r>
      <w:r w:rsidR="00DC39E3" w:rsidRPr="00F800FC">
        <w:rPr>
          <w:rFonts w:ascii="Times New Roman" w:hAnsi="Times New Roman"/>
          <w:lang w:eastAsia="en-GB"/>
        </w:rPr>
        <w:t>hat comparison is adverse to the Secretary of State</w:t>
      </w:r>
      <w:r w:rsidR="00BA4F2C" w:rsidRPr="00F800FC">
        <w:rPr>
          <w:rFonts w:ascii="Times New Roman" w:hAnsi="Times New Roman"/>
          <w:lang w:eastAsia="en-GB"/>
        </w:rPr>
        <w:t xml:space="preserve">. </w:t>
      </w:r>
    </w:p>
    <w:p w14:paraId="4B30DC83" w14:textId="77777777" w:rsidR="00266AA4" w:rsidRPr="00F800FC" w:rsidRDefault="00266AA4" w:rsidP="00B6212D">
      <w:pPr>
        <w:pStyle w:val="ListParagraph"/>
        <w:jc w:val="both"/>
        <w:rPr>
          <w:rFonts w:ascii="Times New Roman" w:hAnsi="Times New Roman"/>
          <w:lang w:eastAsia="en-GB"/>
        </w:rPr>
      </w:pPr>
    </w:p>
    <w:p w14:paraId="6E327465" w14:textId="233C2B5A" w:rsidR="00266AA4" w:rsidRPr="00F800FC" w:rsidRDefault="00E70AD5" w:rsidP="00B6212D">
      <w:pPr>
        <w:pStyle w:val="ListParagraph"/>
        <w:numPr>
          <w:ilvl w:val="0"/>
          <w:numId w:val="10"/>
        </w:numPr>
        <w:jc w:val="both"/>
        <w:rPr>
          <w:rFonts w:ascii="Times New Roman" w:hAnsi="Times New Roman"/>
        </w:rPr>
      </w:pPr>
      <w:r w:rsidRPr="00F800FC">
        <w:rPr>
          <w:rFonts w:ascii="Times New Roman" w:hAnsi="Times New Roman"/>
          <w:lang w:eastAsia="en-GB"/>
        </w:rPr>
        <w:t xml:space="preserve">The second comparison offered </w:t>
      </w:r>
      <w:r w:rsidR="00634146">
        <w:rPr>
          <w:rFonts w:ascii="Times New Roman" w:hAnsi="Times New Roman"/>
          <w:lang w:eastAsia="en-GB"/>
        </w:rPr>
        <w:t>wa</w:t>
      </w:r>
      <w:r w:rsidRPr="00F800FC">
        <w:rPr>
          <w:rFonts w:ascii="Times New Roman" w:hAnsi="Times New Roman"/>
          <w:lang w:eastAsia="en-GB"/>
        </w:rPr>
        <w:t>s with “</w:t>
      </w:r>
      <w:r w:rsidR="007A3E41" w:rsidRPr="00F800FC">
        <w:rPr>
          <w:rFonts w:ascii="Times New Roman" w:hAnsi="Times New Roman"/>
          <w:lang w:eastAsia="en-GB"/>
        </w:rPr>
        <w:t xml:space="preserve">non-disabled failed asylum seekers </w:t>
      </w:r>
      <w:r w:rsidR="00C02027" w:rsidRPr="00F800FC">
        <w:rPr>
          <w:rFonts w:ascii="Times New Roman" w:hAnsi="Times New Roman"/>
          <w:lang w:eastAsia="en-GB"/>
        </w:rPr>
        <w:t>[</w:t>
      </w:r>
      <w:r w:rsidR="00B54834">
        <w:rPr>
          <w:rFonts w:ascii="Times New Roman" w:hAnsi="Times New Roman"/>
          <w:lang w:eastAsia="en-GB"/>
        </w:rPr>
        <w:t>who have</w:t>
      </w:r>
      <w:r w:rsidR="00C02027" w:rsidRPr="00F800FC">
        <w:rPr>
          <w:rFonts w:ascii="Times New Roman" w:hAnsi="Times New Roman"/>
          <w:lang w:eastAsia="en-GB"/>
        </w:rPr>
        <w:t>]</w:t>
      </w:r>
      <w:r w:rsidR="007A3E41" w:rsidRPr="00F800FC">
        <w:rPr>
          <w:rFonts w:ascii="Times New Roman" w:hAnsi="Times New Roman"/>
          <w:lang w:eastAsia="en-GB"/>
        </w:rPr>
        <w:t xml:space="preserve"> special requirements as to their living arrangements and in particular whether their accommodation is accessible, e.g. non-disabled asylum seekers who are pregnant or have small children</w:t>
      </w:r>
      <w:r w:rsidR="00041CD6" w:rsidRPr="00F800FC">
        <w:rPr>
          <w:rFonts w:ascii="Times New Roman" w:hAnsi="Times New Roman"/>
          <w:lang w:eastAsia="en-GB"/>
        </w:rPr>
        <w:t>”</w:t>
      </w:r>
      <w:r w:rsidR="007A3E41" w:rsidRPr="00F800FC">
        <w:rPr>
          <w:rFonts w:ascii="Times New Roman" w:hAnsi="Times New Roman"/>
          <w:lang w:eastAsia="en-GB"/>
        </w:rPr>
        <w:t>.</w:t>
      </w:r>
      <w:r w:rsidR="00041CD6" w:rsidRPr="00F800FC">
        <w:rPr>
          <w:rFonts w:ascii="Times New Roman" w:hAnsi="Times New Roman"/>
          <w:lang w:eastAsia="en-GB"/>
        </w:rPr>
        <w:t xml:space="preserve"> This is</w:t>
      </w:r>
      <w:r w:rsidR="00297658" w:rsidRPr="00F800FC">
        <w:rPr>
          <w:rFonts w:ascii="Times New Roman" w:hAnsi="Times New Roman"/>
          <w:lang w:eastAsia="en-GB"/>
        </w:rPr>
        <w:t xml:space="preserve"> simply to identify another </w:t>
      </w:r>
      <w:r w:rsidR="0040784F" w:rsidRPr="00F800FC">
        <w:rPr>
          <w:rFonts w:ascii="Times New Roman" w:hAnsi="Times New Roman"/>
          <w:lang w:eastAsia="en-GB"/>
        </w:rPr>
        <w:t>group that</w:t>
      </w:r>
      <w:r w:rsidR="002F50ED">
        <w:rPr>
          <w:rFonts w:ascii="Times New Roman" w:hAnsi="Times New Roman"/>
          <w:lang w:eastAsia="en-GB"/>
        </w:rPr>
        <w:t xml:space="preserve"> the system may place</w:t>
      </w:r>
      <w:r w:rsidR="0040784F" w:rsidRPr="00F800FC">
        <w:rPr>
          <w:rFonts w:ascii="Times New Roman" w:hAnsi="Times New Roman"/>
          <w:lang w:eastAsia="en-GB"/>
        </w:rPr>
        <w:t xml:space="preserve"> at a particular disadvantage</w:t>
      </w:r>
      <w:r w:rsidR="004C55E7" w:rsidRPr="00F800FC">
        <w:rPr>
          <w:rFonts w:ascii="Times New Roman" w:hAnsi="Times New Roman"/>
          <w:lang w:eastAsia="en-GB"/>
        </w:rPr>
        <w:t>; it does not avoid the relevant comparison</w:t>
      </w:r>
      <w:r w:rsidR="00C819BB" w:rsidRPr="00F800FC">
        <w:rPr>
          <w:rFonts w:ascii="Times New Roman" w:hAnsi="Times New Roman"/>
          <w:lang w:eastAsia="en-GB"/>
        </w:rPr>
        <w:t xml:space="preserve">. </w:t>
      </w:r>
    </w:p>
    <w:p w14:paraId="20A82A33" w14:textId="77777777" w:rsidR="00266AA4" w:rsidRPr="00F800FC" w:rsidRDefault="00266AA4" w:rsidP="00B6212D">
      <w:pPr>
        <w:pStyle w:val="ListParagraph"/>
        <w:jc w:val="both"/>
        <w:rPr>
          <w:rFonts w:ascii="Times New Roman" w:hAnsi="Times New Roman"/>
          <w:lang w:eastAsia="en-GB"/>
        </w:rPr>
      </w:pPr>
    </w:p>
    <w:p w14:paraId="4381914C" w14:textId="77777777" w:rsidR="006B20F4" w:rsidRDefault="00C819BB" w:rsidP="00B6212D">
      <w:pPr>
        <w:pStyle w:val="ListParagraph"/>
        <w:numPr>
          <w:ilvl w:val="0"/>
          <w:numId w:val="10"/>
        </w:numPr>
        <w:jc w:val="both"/>
        <w:rPr>
          <w:rFonts w:ascii="Times New Roman" w:hAnsi="Times New Roman"/>
        </w:rPr>
      </w:pPr>
      <w:r w:rsidRPr="00F800FC">
        <w:rPr>
          <w:rFonts w:ascii="Times New Roman" w:hAnsi="Times New Roman"/>
          <w:lang w:eastAsia="en-GB"/>
        </w:rPr>
        <w:t>The third comparison offered</w:t>
      </w:r>
      <w:r w:rsidR="00562D52" w:rsidRPr="00F800FC">
        <w:rPr>
          <w:rFonts w:ascii="Times New Roman" w:hAnsi="Times New Roman"/>
          <w:lang w:eastAsia="en-GB"/>
        </w:rPr>
        <w:t xml:space="preserve"> </w:t>
      </w:r>
      <w:r w:rsidR="00DD1C03">
        <w:rPr>
          <w:rFonts w:ascii="Times New Roman" w:hAnsi="Times New Roman"/>
          <w:lang w:eastAsia="en-GB"/>
        </w:rPr>
        <w:t>wa</w:t>
      </w:r>
      <w:r w:rsidR="00562D52" w:rsidRPr="00F800FC">
        <w:rPr>
          <w:rFonts w:ascii="Times New Roman" w:hAnsi="Times New Roman"/>
          <w:lang w:eastAsia="en-GB"/>
        </w:rPr>
        <w:t>s</w:t>
      </w:r>
      <w:r w:rsidR="007A3E41" w:rsidRPr="00F800FC">
        <w:rPr>
          <w:rFonts w:ascii="Times New Roman" w:hAnsi="Times New Roman"/>
          <w:lang w:eastAsia="en-GB"/>
        </w:rPr>
        <w:t xml:space="preserve"> </w:t>
      </w:r>
      <w:r w:rsidR="00DD1C03">
        <w:rPr>
          <w:rFonts w:ascii="Times New Roman" w:hAnsi="Times New Roman"/>
          <w:lang w:eastAsia="en-GB"/>
        </w:rPr>
        <w:t xml:space="preserve">with </w:t>
      </w:r>
      <w:r w:rsidRPr="00F800FC">
        <w:rPr>
          <w:rFonts w:ascii="Times New Roman" w:hAnsi="Times New Roman"/>
          <w:lang w:eastAsia="en-GB"/>
        </w:rPr>
        <w:t>“</w:t>
      </w:r>
      <w:r w:rsidR="007A3E41" w:rsidRPr="00F800FC">
        <w:rPr>
          <w:rFonts w:ascii="Times New Roman" w:hAnsi="Times New Roman"/>
          <w:lang w:eastAsia="en-GB"/>
        </w:rPr>
        <w:t>disabled recipients of income support but who may also have to make long journeys several times a week to receive treatment</w:t>
      </w:r>
      <w:r w:rsidRPr="00F800FC">
        <w:rPr>
          <w:rFonts w:ascii="Times New Roman" w:hAnsi="Times New Roman"/>
          <w:lang w:eastAsia="en-GB"/>
        </w:rPr>
        <w:t>”</w:t>
      </w:r>
      <w:r w:rsidR="007A3E41" w:rsidRPr="00F800FC">
        <w:rPr>
          <w:rFonts w:ascii="Times New Roman" w:hAnsi="Times New Roman"/>
          <w:lang w:eastAsia="en-GB"/>
        </w:rPr>
        <w:t>.</w:t>
      </w:r>
      <w:r w:rsidR="00BC4FEB" w:rsidRPr="00F800FC">
        <w:rPr>
          <w:rFonts w:ascii="Times New Roman" w:hAnsi="Times New Roman"/>
          <w:lang w:eastAsia="en-GB"/>
        </w:rPr>
        <w:t xml:space="preserve"> </w:t>
      </w:r>
      <w:r w:rsidR="00511991" w:rsidRPr="00F800FC">
        <w:rPr>
          <w:rFonts w:ascii="Times New Roman" w:hAnsi="Times New Roman"/>
          <w:lang w:eastAsia="en-GB"/>
        </w:rPr>
        <w:t>Th</w:t>
      </w:r>
      <w:r w:rsidR="00752412">
        <w:rPr>
          <w:rFonts w:ascii="Times New Roman" w:hAnsi="Times New Roman"/>
          <w:lang w:eastAsia="en-GB"/>
        </w:rPr>
        <w:t>is</w:t>
      </w:r>
      <w:r w:rsidR="00511991" w:rsidRPr="00F800FC">
        <w:rPr>
          <w:rFonts w:ascii="Times New Roman" w:hAnsi="Times New Roman"/>
          <w:lang w:eastAsia="en-GB"/>
        </w:rPr>
        <w:t xml:space="preserve"> third compa</w:t>
      </w:r>
      <w:r w:rsidR="00987C3A" w:rsidRPr="00F800FC">
        <w:rPr>
          <w:rFonts w:ascii="Times New Roman" w:hAnsi="Times New Roman"/>
          <w:lang w:eastAsia="en-GB"/>
        </w:rPr>
        <w:t>rison</w:t>
      </w:r>
      <w:r w:rsidR="007C6962" w:rsidRPr="007C6962">
        <w:rPr>
          <w:rFonts w:ascii="Times New Roman" w:hAnsi="Times New Roman"/>
          <w:lang w:eastAsia="en-GB"/>
        </w:rPr>
        <w:t xml:space="preserve"> </w:t>
      </w:r>
      <w:r w:rsidR="007C6962">
        <w:rPr>
          <w:rFonts w:ascii="Times New Roman" w:hAnsi="Times New Roman"/>
          <w:lang w:eastAsia="en-GB"/>
        </w:rPr>
        <w:t>is again</w:t>
      </w:r>
      <w:r w:rsidR="007C6962" w:rsidRPr="00F800FC">
        <w:rPr>
          <w:rFonts w:ascii="Times New Roman" w:hAnsi="Times New Roman"/>
          <w:lang w:eastAsia="en-GB"/>
        </w:rPr>
        <w:t xml:space="preserve"> simply to identify another group</w:t>
      </w:r>
      <w:r w:rsidR="003B64BE">
        <w:rPr>
          <w:rFonts w:ascii="Times New Roman" w:hAnsi="Times New Roman"/>
          <w:lang w:eastAsia="en-GB"/>
        </w:rPr>
        <w:t xml:space="preserve"> (this time outside the area asylum and immigration) that may be</w:t>
      </w:r>
      <w:r w:rsidR="007C6962" w:rsidRPr="00F800FC">
        <w:rPr>
          <w:rFonts w:ascii="Times New Roman" w:hAnsi="Times New Roman"/>
          <w:lang w:eastAsia="en-GB"/>
        </w:rPr>
        <w:t xml:space="preserve"> at a particular disadvantage</w:t>
      </w:r>
      <w:r w:rsidR="003B64BE">
        <w:rPr>
          <w:rFonts w:ascii="Times New Roman" w:hAnsi="Times New Roman"/>
          <w:lang w:eastAsia="en-GB"/>
        </w:rPr>
        <w:t xml:space="preserve">. For present purposes however it is sufficient to say that the comparison </w:t>
      </w:r>
      <w:r w:rsidR="00987C3A" w:rsidRPr="00F800FC">
        <w:rPr>
          <w:rFonts w:ascii="Times New Roman" w:hAnsi="Times New Roman"/>
          <w:lang w:eastAsia="en-GB"/>
        </w:rPr>
        <w:t xml:space="preserve">does not appear to keep in mind that an individual entitled to section 4(2) accommodation </w:t>
      </w:r>
      <w:r w:rsidR="00987C3A" w:rsidRPr="00F800FC">
        <w:rPr>
          <w:rFonts w:ascii="Times New Roman" w:hAnsi="Times New Roman"/>
        </w:rPr>
        <w:t xml:space="preserve">faces </w:t>
      </w:r>
      <w:r w:rsidR="001B47AA" w:rsidRPr="00F800FC">
        <w:rPr>
          <w:rFonts w:ascii="Times New Roman" w:hAnsi="Times New Roman"/>
        </w:rPr>
        <w:t>“</w:t>
      </w:r>
      <w:r w:rsidR="00987C3A" w:rsidRPr="00F800FC">
        <w:rPr>
          <w:rFonts w:ascii="Times New Roman" w:hAnsi="Times New Roman"/>
        </w:rPr>
        <w:t>an imminent prospect of serious suffering caused or materially aggravated by denial of shelter, food or the most basic necessities of life</w:t>
      </w:r>
      <w:r w:rsidR="001B47AA" w:rsidRPr="00F800FC">
        <w:rPr>
          <w:rFonts w:ascii="Times New Roman" w:hAnsi="Times New Roman"/>
        </w:rPr>
        <w:t>”</w:t>
      </w:r>
      <w:r w:rsidR="00987C3A" w:rsidRPr="00F800FC">
        <w:rPr>
          <w:rFonts w:ascii="Times New Roman" w:hAnsi="Times New Roman"/>
        </w:rPr>
        <w:t xml:space="preserve"> and is prevented from addressing these needs in any other way</w:t>
      </w:r>
      <w:r w:rsidR="00266AA4" w:rsidRPr="00F800FC">
        <w:rPr>
          <w:rFonts w:ascii="Times New Roman" w:hAnsi="Times New Roman"/>
        </w:rPr>
        <w:t xml:space="preserve"> including by recourse to public funds</w:t>
      </w:r>
      <w:r w:rsidR="00E074A1">
        <w:rPr>
          <w:rFonts w:ascii="Times New Roman" w:hAnsi="Times New Roman"/>
        </w:rPr>
        <w:t xml:space="preserve"> such as income support</w:t>
      </w:r>
      <w:r w:rsidR="00987C3A" w:rsidRPr="00F800FC">
        <w:rPr>
          <w:rFonts w:ascii="Times New Roman" w:hAnsi="Times New Roman"/>
        </w:rPr>
        <w:t>.</w:t>
      </w:r>
      <w:r w:rsidR="00E074A1">
        <w:rPr>
          <w:rFonts w:ascii="Times New Roman" w:hAnsi="Times New Roman"/>
        </w:rPr>
        <w:t xml:space="preserve"> This is</w:t>
      </w:r>
      <w:r w:rsidR="0052617D">
        <w:rPr>
          <w:rFonts w:ascii="Times New Roman" w:hAnsi="Times New Roman"/>
        </w:rPr>
        <w:t xml:space="preserve"> the context</w:t>
      </w:r>
      <w:r w:rsidR="00224465">
        <w:rPr>
          <w:rFonts w:ascii="Times New Roman" w:hAnsi="Times New Roman"/>
        </w:rPr>
        <w:t xml:space="preserve"> in which</w:t>
      </w:r>
      <w:r w:rsidR="00E074A1">
        <w:rPr>
          <w:rFonts w:ascii="Times New Roman" w:hAnsi="Times New Roman"/>
        </w:rPr>
        <w:t xml:space="preserve"> </w:t>
      </w:r>
      <w:r w:rsidR="0052617D">
        <w:rPr>
          <w:rFonts w:ascii="Times New Roman" w:hAnsi="Times New Roman"/>
        </w:rPr>
        <w:t xml:space="preserve">the Secretary of State </w:t>
      </w:r>
      <w:r w:rsidR="00224465">
        <w:rPr>
          <w:rFonts w:ascii="Times New Roman" w:hAnsi="Times New Roman"/>
        </w:rPr>
        <w:t xml:space="preserve">owes </w:t>
      </w:r>
      <w:r w:rsidR="00945AAF">
        <w:rPr>
          <w:rFonts w:ascii="Times New Roman" w:hAnsi="Times New Roman"/>
        </w:rPr>
        <w:t>her section 4(2) duty</w:t>
      </w:r>
      <w:r w:rsidR="0052617D">
        <w:rPr>
          <w:rFonts w:ascii="Times New Roman" w:hAnsi="Times New Roman"/>
        </w:rPr>
        <w:t xml:space="preserve">. </w:t>
      </w:r>
    </w:p>
    <w:p w14:paraId="1046D414" w14:textId="77777777" w:rsidR="006B20F4" w:rsidRPr="004777DE" w:rsidRDefault="006B20F4" w:rsidP="004777DE">
      <w:pPr>
        <w:rPr>
          <w:rStyle w:val="normaltextrun"/>
          <w:lang w:val="en-US"/>
        </w:rPr>
      </w:pPr>
    </w:p>
    <w:p w14:paraId="5C7FE73E" w14:textId="48A0AC40" w:rsidR="007A3E41" w:rsidRPr="006E244E" w:rsidRDefault="007F3561" w:rsidP="006E244E">
      <w:pPr>
        <w:pStyle w:val="BodyText"/>
        <w:numPr>
          <w:ilvl w:val="0"/>
          <w:numId w:val="10"/>
        </w:numPr>
        <w:jc w:val="both"/>
      </w:pPr>
      <w:r>
        <w:rPr>
          <w:rStyle w:val="normaltextrun"/>
          <w:lang w:val="en-US"/>
        </w:rPr>
        <w:t>I</w:t>
      </w:r>
      <w:r w:rsidR="006B20F4">
        <w:rPr>
          <w:rStyle w:val="normaltextrun"/>
          <w:lang w:val="en-US"/>
        </w:rPr>
        <w:t xml:space="preserve">n my judgment there is no question that </w:t>
      </w:r>
      <w:r w:rsidR="006B20F4" w:rsidRPr="00D67820">
        <w:rPr>
          <w:rStyle w:val="normaltextrun"/>
          <w:lang w:val="en-US"/>
        </w:rPr>
        <w:t>the practice of the Secretary of State</w:t>
      </w:r>
      <w:r w:rsidR="0054700D">
        <w:rPr>
          <w:rStyle w:val="normaltextrun"/>
          <w:lang w:val="en-US"/>
        </w:rPr>
        <w:t xml:space="preserve"> in operating a system that f</w:t>
      </w:r>
      <w:r w:rsidR="006B20F4" w:rsidRPr="0054700D">
        <w:rPr>
          <w:rStyle w:val="normaltextrun"/>
          <w:lang w:val="en-US"/>
        </w:rPr>
        <w:t xml:space="preserve">or cases with specific needs is unlikely </w:t>
      </w:r>
      <w:r w:rsidR="00E052FC">
        <w:rPr>
          <w:rStyle w:val="normaltextrun"/>
          <w:lang w:val="en-US"/>
        </w:rPr>
        <w:t xml:space="preserve">to provide </w:t>
      </w:r>
      <w:r w:rsidR="006B20F4" w:rsidRPr="0054700D">
        <w:rPr>
          <w:rStyle w:val="normaltextrun"/>
          <w:lang w:val="en-US"/>
        </w:rPr>
        <w:t>appropriate property</w:t>
      </w:r>
      <w:r w:rsidR="00A44CC1">
        <w:rPr>
          <w:rStyle w:val="normaltextrun"/>
          <w:lang w:val="en-US"/>
        </w:rPr>
        <w:t xml:space="preserve"> within the period set by the Guidance</w:t>
      </w:r>
      <w:r w:rsidR="006E244E">
        <w:rPr>
          <w:rStyle w:val="normaltextrun"/>
          <w:lang w:val="en-US"/>
        </w:rPr>
        <w:t xml:space="preserve"> places severely disabled people at an unfair disadvantage.</w:t>
      </w:r>
      <w:r w:rsidR="00A44CC1">
        <w:rPr>
          <w:rStyle w:val="normaltextrun"/>
          <w:lang w:val="en-US"/>
        </w:rPr>
        <w:t xml:space="preserve"> </w:t>
      </w:r>
      <w:r w:rsidR="00DD3480">
        <w:rPr>
          <w:rStyle w:val="normaltextrun"/>
          <w:lang w:val="en-US"/>
        </w:rPr>
        <w:t xml:space="preserve">Ms Leventhal is correct in her contention that the </w:t>
      </w:r>
      <w:r w:rsidR="00DD3480" w:rsidRPr="00602F08">
        <w:rPr>
          <w:rStyle w:val="normaltextrun"/>
          <w:lang w:val="en-US"/>
        </w:rPr>
        <w:t>delays and failings in the case of AA “are indicative of wider systemic failures” for severely disabled people</w:t>
      </w:r>
      <w:r w:rsidR="00DD3480">
        <w:rPr>
          <w:rStyle w:val="normaltextrun"/>
          <w:lang w:val="en-US"/>
        </w:rPr>
        <w:t>.</w:t>
      </w:r>
    </w:p>
    <w:p w14:paraId="59B0C23D" w14:textId="77777777" w:rsidR="008F1B3B" w:rsidRPr="00F800FC" w:rsidRDefault="008F1B3B" w:rsidP="00B6212D">
      <w:pPr>
        <w:jc w:val="both"/>
        <w:rPr>
          <w:rStyle w:val="normaltextrun"/>
          <w:lang w:val="en-US"/>
        </w:rPr>
      </w:pPr>
    </w:p>
    <w:p w14:paraId="5F6A020A" w14:textId="77777777" w:rsidR="008F1B3B" w:rsidRPr="00F800FC" w:rsidRDefault="008F1B3B" w:rsidP="00B6212D">
      <w:pPr>
        <w:jc w:val="both"/>
        <w:rPr>
          <w:rStyle w:val="normaltextrun"/>
          <w:lang w:val="en-US"/>
        </w:rPr>
      </w:pPr>
    </w:p>
    <w:p w14:paraId="52327550" w14:textId="153EC952" w:rsidR="00FF59B7" w:rsidRPr="00F800FC" w:rsidRDefault="00896863" w:rsidP="00B6212D">
      <w:pPr>
        <w:ind w:firstLine="687"/>
        <w:jc w:val="both"/>
        <w:rPr>
          <w:rStyle w:val="normaltextrun"/>
          <w:u w:val="single"/>
          <w:lang w:val="en-US"/>
        </w:rPr>
      </w:pPr>
      <w:r w:rsidRPr="00F800FC">
        <w:rPr>
          <w:rStyle w:val="normaltextrun"/>
          <w:u w:val="single"/>
          <w:lang w:val="en-US"/>
        </w:rPr>
        <w:t>Limited r</w:t>
      </w:r>
      <w:r w:rsidR="003008B8" w:rsidRPr="00F800FC">
        <w:rPr>
          <w:rStyle w:val="normaltextrun"/>
          <w:u w:val="single"/>
          <w:lang w:val="en-US"/>
        </w:rPr>
        <w:t>esources</w:t>
      </w:r>
    </w:p>
    <w:p w14:paraId="31DD8966" w14:textId="77777777" w:rsidR="000E60FE" w:rsidRPr="00F800FC" w:rsidRDefault="000E60FE" w:rsidP="00B6212D">
      <w:pPr>
        <w:jc w:val="both"/>
        <w:rPr>
          <w:rStyle w:val="normaltextrun"/>
          <w:lang w:val="en-US"/>
        </w:rPr>
      </w:pPr>
    </w:p>
    <w:p w14:paraId="480FA25D" w14:textId="4EA00DC2" w:rsidR="006718DB" w:rsidRPr="00F800FC" w:rsidRDefault="009A2518" w:rsidP="00B6212D">
      <w:pPr>
        <w:numPr>
          <w:ilvl w:val="0"/>
          <w:numId w:val="10"/>
        </w:numPr>
        <w:jc w:val="both"/>
        <w:rPr>
          <w:rStyle w:val="normaltextrun"/>
          <w:lang w:val="en-US"/>
        </w:rPr>
      </w:pPr>
      <w:r w:rsidRPr="00F800FC">
        <w:rPr>
          <w:rStyle w:val="normaltextrun"/>
          <w:lang w:val="en-US"/>
        </w:rPr>
        <w:t>It is contended on behalf of the Secretary of State</w:t>
      </w:r>
      <w:r w:rsidR="00A42F64" w:rsidRPr="00F800FC">
        <w:rPr>
          <w:rStyle w:val="normaltextrun"/>
          <w:lang w:val="en-US"/>
        </w:rPr>
        <w:t xml:space="preserve"> that </w:t>
      </w:r>
      <w:r w:rsidR="008A7A3B" w:rsidRPr="00F800FC">
        <w:rPr>
          <w:rStyle w:val="normaltextrun"/>
          <w:lang w:val="en-US"/>
        </w:rPr>
        <w:t>the position is justified because of</w:t>
      </w:r>
      <w:r w:rsidR="00183E9F" w:rsidRPr="00F800FC">
        <w:rPr>
          <w:rStyle w:val="normaltextrun"/>
          <w:lang w:val="en-US"/>
        </w:rPr>
        <w:t>:</w:t>
      </w:r>
    </w:p>
    <w:p w14:paraId="4B562164" w14:textId="77777777" w:rsidR="00183E9F" w:rsidRPr="00F800FC" w:rsidRDefault="00183E9F" w:rsidP="00B6212D">
      <w:pPr>
        <w:pStyle w:val="ListParagraph"/>
        <w:jc w:val="both"/>
        <w:rPr>
          <w:rStyle w:val="normaltextrun"/>
          <w:rFonts w:ascii="Times New Roman" w:hAnsi="Times New Roman"/>
          <w:lang w:val="en-US"/>
        </w:rPr>
      </w:pPr>
    </w:p>
    <w:p w14:paraId="29E24B6F" w14:textId="7D2AD51E" w:rsidR="00896863" w:rsidRPr="00F800FC" w:rsidRDefault="00183E9F" w:rsidP="00B6212D">
      <w:pPr>
        <w:ind w:left="1440"/>
        <w:jc w:val="both"/>
        <w:rPr>
          <w:rStyle w:val="normaltextrun"/>
          <w:lang w:val="en-US"/>
        </w:rPr>
      </w:pPr>
      <w:r w:rsidRPr="00F800FC">
        <w:rPr>
          <w:rStyle w:val="normaltextrun"/>
          <w:lang w:val="en-US"/>
        </w:rPr>
        <w:t>“… (i) the limited resources available to [the Secretary of State</w:t>
      </w:r>
      <w:r w:rsidR="002B7AD0" w:rsidRPr="00F800FC">
        <w:rPr>
          <w:rStyle w:val="normaltextrun"/>
          <w:lang w:val="en-US"/>
        </w:rPr>
        <w:t xml:space="preserve">] and her accommodation providers in respect of accommodation </w:t>
      </w:r>
      <w:r w:rsidR="00B105AC" w:rsidRPr="00F800FC">
        <w:rPr>
          <w:rStyle w:val="normaltextrun"/>
          <w:lang w:val="en-US"/>
        </w:rPr>
        <w:t>in</w:t>
      </w:r>
      <w:r w:rsidR="002B7AD0" w:rsidRPr="00F800FC">
        <w:rPr>
          <w:rStyle w:val="normaltextrun"/>
          <w:lang w:val="en-US"/>
        </w:rPr>
        <w:t xml:space="preserve"> London;</w:t>
      </w:r>
      <w:r w:rsidR="00896863" w:rsidRPr="00F800FC">
        <w:rPr>
          <w:rStyle w:val="normaltextrun"/>
          <w:lang w:val="en-US"/>
        </w:rPr>
        <w:t>”</w:t>
      </w:r>
      <w:r w:rsidR="002B7AD0" w:rsidRPr="00F800FC">
        <w:rPr>
          <w:rStyle w:val="normaltextrun"/>
          <w:lang w:val="en-US"/>
        </w:rPr>
        <w:t xml:space="preserve"> </w:t>
      </w:r>
    </w:p>
    <w:p w14:paraId="4CBAD50D" w14:textId="77777777" w:rsidR="008A7A3B" w:rsidRPr="003439C2" w:rsidRDefault="008A7A3B" w:rsidP="003439C2">
      <w:pPr>
        <w:jc w:val="both"/>
        <w:rPr>
          <w:rStyle w:val="normaltextrun"/>
          <w:lang w:val="en-US"/>
        </w:rPr>
      </w:pPr>
    </w:p>
    <w:p w14:paraId="21E31EAF" w14:textId="211CD2AD" w:rsidR="006B7962" w:rsidRDefault="00D10C77" w:rsidP="00B6212D">
      <w:pPr>
        <w:pStyle w:val="ListParagraph"/>
        <w:numPr>
          <w:ilvl w:val="0"/>
          <w:numId w:val="10"/>
        </w:numPr>
        <w:jc w:val="both"/>
        <w:rPr>
          <w:rStyle w:val="normaltextrun"/>
          <w:rFonts w:ascii="Times New Roman" w:hAnsi="Times New Roman"/>
          <w:lang w:val="en-US"/>
        </w:rPr>
      </w:pPr>
      <w:r w:rsidRPr="00F800FC">
        <w:rPr>
          <w:rStyle w:val="normaltextrun"/>
          <w:rFonts w:ascii="Times New Roman" w:hAnsi="Times New Roman"/>
          <w:lang w:val="en-US"/>
        </w:rPr>
        <w:t xml:space="preserve">AA’s </w:t>
      </w:r>
      <w:r w:rsidR="00A14DAF" w:rsidRPr="00F800FC">
        <w:rPr>
          <w:rStyle w:val="normaltextrun"/>
          <w:rFonts w:ascii="Times New Roman" w:hAnsi="Times New Roman"/>
          <w:lang w:val="en-US"/>
        </w:rPr>
        <w:t xml:space="preserve">case </w:t>
      </w:r>
      <w:r w:rsidR="00C77D1F" w:rsidRPr="00F800FC">
        <w:rPr>
          <w:rStyle w:val="normaltextrun"/>
          <w:rFonts w:ascii="Times New Roman" w:hAnsi="Times New Roman"/>
          <w:lang w:val="en-US"/>
        </w:rPr>
        <w:t>allows the contention to be tested.</w:t>
      </w:r>
      <w:r w:rsidRPr="00F800FC">
        <w:rPr>
          <w:rStyle w:val="normaltextrun"/>
          <w:rFonts w:ascii="Times New Roman" w:hAnsi="Times New Roman"/>
          <w:lang w:val="en-US"/>
        </w:rPr>
        <w:t xml:space="preserve"> </w:t>
      </w:r>
      <w:r w:rsidR="00C77D1F" w:rsidRPr="00F800FC">
        <w:rPr>
          <w:rStyle w:val="normaltextrun"/>
          <w:rFonts w:ascii="Times New Roman" w:hAnsi="Times New Roman"/>
          <w:lang w:val="en-US"/>
        </w:rPr>
        <w:t>AA required</w:t>
      </w:r>
      <w:r w:rsidR="007D2B61" w:rsidRPr="00F800FC">
        <w:rPr>
          <w:rStyle w:val="normaltextrun"/>
          <w:rFonts w:ascii="Times New Roman" w:hAnsi="Times New Roman"/>
          <w:lang w:val="en-US"/>
        </w:rPr>
        <w:t xml:space="preserve"> s</w:t>
      </w:r>
      <w:r w:rsidR="00512EA5" w:rsidRPr="00F800FC">
        <w:rPr>
          <w:rStyle w:val="normaltextrun"/>
          <w:rFonts w:ascii="Times New Roman" w:hAnsi="Times New Roman"/>
          <w:lang w:val="en-US"/>
        </w:rPr>
        <w:t>ing</w:t>
      </w:r>
      <w:r w:rsidR="00D8158E" w:rsidRPr="00F800FC">
        <w:rPr>
          <w:rStyle w:val="normaltextrun"/>
          <w:rFonts w:ascii="Times New Roman" w:hAnsi="Times New Roman"/>
          <w:lang w:val="en-US"/>
        </w:rPr>
        <w:t xml:space="preserve">le </w:t>
      </w:r>
      <w:r w:rsidR="003A1080" w:rsidRPr="00F800FC">
        <w:rPr>
          <w:rStyle w:val="normaltextrun"/>
          <w:rFonts w:ascii="Times New Roman" w:hAnsi="Times New Roman"/>
          <w:lang w:val="en-US"/>
        </w:rPr>
        <w:t xml:space="preserve">room </w:t>
      </w:r>
      <w:r w:rsidR="00D8158E" w:rsidRPr="00F800FC">
        <w:rPr>
          <w:rStyle w:val="normaltextrun"/>
          <w:rFonts w:ascii="Times New Roman" w:hAnsi="Times New Roman"/>
          <w:lang w:val="en-US"/>
        </w:rPr>
        <w:t xml:space="preserve">accommodation, </w:t>
      </w:r>
      <w:r w:rsidR="004932C6" w:rsidRPr="00F800FC">
        <w:rPr>
          <w:rStyle w:val="normaltextrun"/>
          <w:rFonts w:ascii="Times New Roman" w:hAnsi="Times New Roman"/>
          <w:lang w:val="en-US"/>
        </w:rPr>
        <w:t xml:space="preserve">at ground floor </w:t>
      </w:r>
      <w:r w:rsidR="003A1080" w:rsidRPr="00F800FC">
        <w:rPr>
          <w:rStyle w:val="normaltextrun"/>
          <w:rFonts w:ascii="Times New Roman" w:hAnsi="Times New Roman"/>
          <w:lang w:val="en-US"/>
        </w:rPr>
        <w:t xml:space="preserve">or </w:t>
      </w:r>
      <w:r w:rsidR="004932C6" w:rsidRPr="00F800FC">
        <w:rPr>
          <w:rStyle w:val="normaltextrun"/>
          <w:rFonts w:ascii="Times New Roman" w:hAnsi="Times New Roman"/>
          <w:lang w:val="en-US"/>
        </w:rPr>
        <w:t xml:space="preserve">with lift access, </w:t>
      </w:r>
      <w:r w:rsidR="00D8158E" w:rsidRPr="00F800FC">
        <w:rPr>
          <w:rStyle w:val="normaltextrun"/>
          <w:rFonts w:ascii="Times New Roman" w:hAnsi="Times New Roman"/>
          <w:lang w:val="en-US"/>
        </w:rPr>
        <w:t>with</w:t>
      </w:r>
      <w:r w:rsidR="00FA3F8F" w:rsidRPr="00F800FC">
        <w:rPr>
          <w:rStyle w:val="normaltextrun"/>
          <w:rFonts w:ascii="Times New Roman" w:hAnsi="Times New Roman"/>
          <w:lang w:val="en-US"/>
        </w:rPr>
        <w:t xml:space="preserve"> </w:t>
      </w:r>
      <w:r w:rsidR="005F652C" w:rsidRPr="00F800FC">
        <w:rPr>
          <w:rStyle w:val="normaltextrun"/>
          <w:rFonts w:ascii="Times New Roman" w:hAnsi="Times New Roman"/>
          <w:lang w:val="en-US"/>
        </w:rPr>
        <w:t xml:space="preserve">washing and toilet </w:t>
      </w:r>
      <w:r w:rsidR="00FA3F8F" w:rsidRPr="00F800FC">
        <w:rPr>
          <w:rStyle w:val="normaltextrun"/>
          <w:rFonts w:ascii="Times New Roman" w:hAnsi="Times New Roman"/>
          <w:lang w:val="en-US"/>
        </w:rPr>
        <w:t>facilities at the same level</w:t>
      </w:r>
      <w:r w:rsidR="003759E9" w:rsidRPr="00F800FC">
        <w:rPr>
          <w:rStyle w:val="normaltextrun"/>
          <w:rFonts w:ascii="Times New Roman" w:hAnsi="Times New Roman"/>
          <w:lang w:val="en-US"/>
        </w:rPr>
        <w:t>, and allowing</w:t>
      </w:r>
      <w:r w:rsidR="00162FB1" w:rsidRPr="00F800FC">
        <w:rPr>
          <w:rStyle w:val="normaltextrun"/>
          <w:rFonts w:ascii="Times New Roman" w:hAnsi="Times New Roman"/>
          <w:lang w:val="en-US"/>
        </w:rPr>
        <w:t xml:space="preserve"> </w:t>
      </w:r>
      <w:r w:rsidR="004932C6" w:rsidRPr="00F800FC">
        <w:rPr>
          <w:rStyle w:val="normaltextrun"/>
          <w:rFonts w:ascii="Times New Roman" w:hAnsi="Times New Roman"/>
          <w:lang w:val="en-US"/>
        </w:rPr>
        <w:t>s</w:t>
      </w:r>
      <w:r w:rsidR="00162FB1" w:rsidRPr="00F800FC">
        <w:rPr>
          <w:rStyle w:val="normaltextrun"/>
          <w:rFonts w:ascii="Times New Roman" w:hAnsi="Times New Roman"/>
          <w:lang w:val="en-US"/>
        </w:rPr>
        <w:t>elf</w:t>
      </w:r>
      <w:r w:rsidR="004932C6" w:rsidRPr="00F800FC">
        <w:rPr>
          <w:rStyle w:val="normaltextrun"/>
          <w:rFonts w:ascii="Times New Roman" w:hAnsi="Times New Roman"/>
          <w:lang w:val="en-US"/>
        </w:rPr>
        <w:t>-</w:t>
      </w:r>
      <w:r w:rsidR="00162FB1" w:rsidRPr="00F800FC">
        <w:rPr>
          <w:rStyle w:val="normaltextrun"/>
          <w:rFonts w:ascii="Times New Roman" w:hAnsi="Times New Roman"/>
          <w:lang w:val="en-US"/>
        </w:rPr>
        <w:t xml:space="preserve">catering </w:t>
      </w:r>
      <w:r w:rsidR="004932C6" w:rsidRPr="00F800FC">
        <w:rPr>
          <w:rStyle w:val="normaltextrun"/>
          <w:rFonts w:ascii="Times New Roman" w:hAnsi="Times New Roman"/>
          <w:lang w:val="en-US"/>
        </w:rPr>
        <w:t xml:space="preserve">so as </w:t>
      </w:r>
      <w:r w:rsidR="00162FB1" w:rsidRPr="00F800FC">
        <w:rPr>
          <w:rStyle w:val="normaltextrun"/>
          <w:rFonts w:ascii="Times New Roman" w:hAnsi="Times New Roman"/>
          <w:lang w:val="en-US"/>
        </w:rPr>
        <w:t>to mee</w:t>
      </w:r>
      <w:r w:rsidR="00162FB1" w:rsidRPr="00602F08">
        <w:rPr>
          <w:rStyle w:val="normaltextrun"/>
          <w:rFonts w:ascii="Times New Roman" w:hAnsi="Times New Roman"/>
          <w:lang w:val="en-US"/>
        </w:rPr>
        <w:t>t medical dietar</w:t>
      </w:r>
      <w:r w:rsidR="004932C6" w:rsidRPr="00602F08">
        <w:rPr>
          <w:rStyle w:val="normaltextrun"/>
          <w:rFonts w:ascii="Times New Roman" w:hAnsi="Times New Roman"/>
          <w:lang w:val="en-US"/>
        </w:rPr>
        <w:t>y</w:t>
      </w:r>
      <w:r w:rsidR="00162FB1" w:rsidRPr="00602F08">
        <w:rPr>
          <w:rStyle w:val="normaltextrun"/>
          <w:rFonts w:ascii="Times New Roman" w:hAnsi="Times New Roman"/>
          <w:lang w:val="en-US"/>
        </w:rPr>
        <w:t xml:space="preserve"> needs, and </w:t>
      </w:r>
      <w:r w:rsidR="007D2B61" w:rsidRPr="00602F08">
        <w:rPr>
          <w:rStyle w:val="normaltextrun"/>
          <w:rFonts w:ascii="Times New Roman" w:hAnsi="Times New Roman"/>
          <w:lang w:val="en-US"/>
        </w:rPr>
        <w:t xml:space="preserve">in </w:t>
      </w:r>
      <w:r w:rsidR="00A429CA">
        <w:rPr>
          <w:rStyle w:val="normaltextrun"/>
          <w:rFonts w:ascii="Times New Roman" w:hAnsi="Times New Roman"/>
          <w:lang w:val="en-US"/>
        </w:rPr>
        <w:t xml:space="preserve">a </w:t>
      </w:r>
      <w:r w:rsidR="007D2B61" w:rsidRPr="00602F08">
        <w:rPr>
          <w:rStyle w:val="normaltextrun"/>
          <w:rFonts w:ascii="Times New Roman" w:hAnsi="Times New Roman"/>
          <w:lang w:val="en-US"/>
        </w:rPr>
        <w:t>location allowing for suitable travel access</w:t>
      </w:r>
      <w:r w:rsidR="00DE787E" w:rsidRPr="00602F08">
        <w:rPr>
          <w:rStyle w:val="normaltextrun"/>
          <w:rFonts w:ascii="Times New Roman" w:hAnsi="Times New Roman"/>
          <w:lang w:val="en-US"/>
        </w:rPr>
        <w:t xml:space="preserve"> and arrangements</w:t>
      </w:r>
      <w:r w:rsidR="007D2B61" w:rsidRPr="00602F08">
        <w:rPr>
          <w:rStyle w:val="normaltextrun"/>
          <w:rFonts w:ascii="Times New Roman" w:hAnsi="Times New Roman"/>
          <w:lang w:val="en-US"/>
        </w:rPr>
        <w:t xml:space="preserve"> to Totten</w:t>
      </w:r>
      <w:r w:rsidR="005F652C" w:rsidRPr="00602F08">
        <w:rPr>
          <w:rStyle w:val="normaltextrun"/>
          <w:rFonts w:ascii="Times New Roman" w:hAnsi="Times New Roman"/>
          <w:lang w:val="en-US"/>
        </w:rPr>
        <w:t>ham</w:t>
      </w:r>
      <w:r w:rsidR="009E65A9" w:rsidRPr="00602F08">
        <w:rPr>
          <w:rStyle w:val="normaltextrun"/>
          <w:rFonts w:ascii="Times New Roman" w:hAnsi="Times New Roman"/>
          <w:lang w:val="en-US"/>
        </w:rPr>
        <w:t xml:space="preserve"> for dialysis</w:t>
      </w:r>
      <w:r w:rsidR="00E65498" w:rsidRPr="00602F08">
        <w:rPr>
          <w:rStyle w:val="normaltextrun"/>
          <w:rFonts w:ascii="Times New Roman" w:hAnsi="Times New Roman"/>
          <w:lang w:val="en-US"/>
        </w:rPr>
        <w:t>.</w:t>
      </w:r>
      <w:r w:rsidR="004650E1" w:rsidRPr="00602F08">
        <w:rPr>
          <w:rStyle w:val="normaltextrun"/>
          <w:rFonts w:ascii="Times New Roman" w:hAnsi="Times New Roman"/>
          <w:lang w:val="en-US"/>
        </w:rPr>
        <w:t xml:space="preserve"> </w:t>
      </w:r>
    </w:p>
    <w:p w14:paraId="69CB0C0A" w14:textId="77777777" w:rsidR="006B7962" w:rsidRDefault="006B7962" w:rsidP="006B7962">
      <w:pPr>
        <w:pStyle w:val="ListParagraph"/>
        <w:ind w:left="687"/>
        <w:jc w:val="both"/>
        <w:rPr>
          <w:rStyle w:val="normaltextrun"/>
          <w:rFonts w:ascii="Times New Roman" w:hAnsi="Times New Roman"/>
          <w:lang w:val="en-US"/>
        </w:rPr>
      </w:pPr>
    </w:p>
    <w:p w14:paraId="252BB6BD" w14:textId="555F21B3" w:rsidR="003439C2" w:rsidRPr="006B7962" w:rsidRDefault="00A06939" w:rsidP="006B7962">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It is</w:t>
      </w:r>
      <w:r w:rsidR="00DA4773">
        <w:rPr>
          <w:rStyle w:val="normaltextrun"/>
          <w:rFonts w:ascii="Times New Roman" w:hAnsi="Times New Roman"/>
          <w:lang w:val="en-US"/>
        </w:rPr>
        <w:t>, with respect,</w:t>
      </w:r>
      <w:r w:rsidRPr="00602F08">
        <w:rPr>
          <w:rStyle w:val="normaltextrun"/>
          <w:rFonts w:ascii="Times New Roman" w:hAnsi="Times New Roman"/>
          <w:lang w:val="en-US"/>
        </w:rPr>
        <w:t xml:space="preserve"> impossible to accept that </w:t>
      </w:r>
      <w:r w:rsidR="00CD3C65" w:rsidRPr="00602F08">
        <w:rPr>
          <w:rStyle w:val="normaltextrun"/>
          <w:rFonts w:ascii="Times New Roman" w:hAnsi="Times New Roman"/>
          <w:lang w:val="en-US"/>
        </w:rPr>
        <w:t xml:space="preserve">such </w:t>
      </w:r>
      <w:r w:rsidR="004650E1" w:rsidRPr="00602F08">
        <w:rPr>
          <w:rStyle w:val="normaltextrun"/>
          <w:rFonts w:ascii="Times New Roman" w:hAnsi="Times New Roman"/>
          <w:lang w:val="en-US"/>
        </w:rPr>
        <w:t>accommodation is not available in London.</w:t>
      </w:r>
      <w:r w:rsidR="006B7962">
        <w:rPr>
          <w:rStyle w:val="normaltextrun"/>
          <w:rFonts w:ascii="Times New Roman" w:hAnsi="Times New Roman"/>
          <w:lang w:val="en-US"/>
        </w:rPr>
        <w:t xml:space="preserve"> </w:t>
      </w:r>
      <w:r w:rsidR="003439C2" w:rsidRPr="006B7962">
        <w:rPr>
          <w:rStyle w:val="normaltextrun"/>
          <w:rFonts w:ascii="Times New Roman" w:hAnsi="Times New Roman"/>
          <w:lang w:val="en-US"/>
        </w:rPr>
        <w:t xml:space="preserve">It </w:t>
      </w:r>
      <w:r w:rsidR="00616B12">
        <w:rPr>
          <w:rStyle w:val="normaltextrun"/>
          <w:rFonts w:ascii="Times New Roman" w:hAnsi="Times New Roman"/>
          <w:lang w:val="en-US"/>
        </w:rPr>
        <w:t xml:space="preserve">may attract a cost, but here it </w:t>
      </w:r>
      <w:r w:rsidR="003439C2" w:rsidRPr="006B7962">
        <w:rPr>
          <w:rStyle w:val="normaltextrun"/>
          <w:rFonts w:ascii="Times New Roman" w:hAnsi="Times New Roman"/>
          <w:lang w:val="en-US"/>
        </w:rPr>
        <w:t xml:space="preserve">is important to note that the Secretary of State </w:t>
      </w:r>
      <w:r w:rsidR="00616B12">
        <w:rPr>
          <w:rStyle w:val="normaltextrun"/>
          <w:rFonts w:ascii="Times New Roman" w:hAnsi="Times New Roman"/>
          <w:lang w:val="en-US"/>
        </w:rPr>
        <w:t>maintains</w:t>
      </w:r>
      <w:r w:rsidR="004F6101">
        <w:rPr>
          <w:rStyle w:val="normaltextrun"/>
          <w:rFonts w:ascii="Times New Roman" w:hAnsi="Times New Roman"/>
          <w:lang w:val="en-US"/>
        </w:rPr>
        <w:t>,</w:t>
      </w:r>
      <w:r w:rsidR="003439C2" w:rsidRPr="006B7962">
        <w:rPr>
          <w:rStyle w:val="normaltextrun"/>
          <w:rFonts w:ascii="Times New Roman" w:hAnsi="Times New Roman"/>
          <w:lang w:val="en-US"/>
        </w:rPr>
        <w:t xml:space="preserve"> through her officials</w:t>
      </w:r>
      <w:r w:rsidR="004F6101">
        <w:rPr>
          <w:rStyle w:val="normaltextrun"/>
          <w:rFonts w:ascii="Times New Roman" w:hAnsi="Times New Roman"/>
          <w:lang w:val="en-US"/>
        </w:rPr>
        <w:t>,</w:t>
      </w:r>
      <w:r w:rsidR="003439C2" w:rsidRPr="006B7962">
        <w:rPr>
          <w:rStyle w:val="normaltextrun"/>
          <w:rFonts w:ascii="Times New Roman" w:hAnsi="Times New Roman"/>
          <w:lang w:val="en-US"/>
        </w:rPr>
        <w:t xml:space="preserve"> that cost is not an issue (see paragraphs [</w:t>
      </w:r>
      <w:r w:rsidR="00835989">
        <w:rPr>
          <w:rStyle w:val="normaltextrun"/>
          <w:rFonts w:ascii="Times New Roman" w:hAnsi="Times New Roman"/>
          <w:lang w:val="en-US"/>
        </w:rPr>
        <w:t>113</w:t>
      </w:r>
      <w:r w:rsidR="003439C2" w:rsidRPr="006B7962">
        <w:rPr>
          <w:rStyle w:val="normaltextrun"/>
          <w:rFonts w:ascii="Times New Roman" w:hAnsi="Times New Roman"/>
          <w:lang w:val="en-US"/>
        </w:rPr>
        <w:t>]</w:t>
      </w:r>
      <w:r w:rsidR="00835989">
        <w:rPr>
          <w:rStyle w:val="normaltextrun"/>
          <w:rFonts w:ascii="Times New Roman" w:hAnsi="Times New Roman"/>
          <w:lang w:val="en-US"/>
        </w:rPr>
        <w:t>-[114]</w:t>
      </w:r>
      <w:r w:rsidR="003439C2" w:rsidRPr="006B7962">
        <w:rPr>
          <w:rStyle w:val="normaltextrun"/>
          <w:rFonts w:ascii="Times New Roman" w:hAnsi="Times New Roman"/>
          <w:lang w:val="en-US"/>
        </w:rPr>
        <w:t xml:space="preserve"> above). </w:t>
      </w:r>
    </w:p>
    <w:p w14:paraId="5381028A" w14:textId="0B66E9D5" w:rsidR="00B76347" w:rsidRPr="00602F08" w:rsidRDefault="00B76347" w:rsidP="00B6212D">
      <w:pPr>
        <w:jc w:val="both"/>
        <w:rPr>
          <w:rStyle w:val="normaltextrun"/>
          <w:lang w:val="en-US"/>
        </w:rPr>
      </w:pPr>
    </w:p>
    <w:p w14:paraId="06254BBA" w14:textId="77777777" w:rsidR="00B76347" w:rsidRPr="00602F08" w:rsidRDefault="00B76347" w:rsidP="00B6212D">
      <w:pPr>
        <w:jc w:val="both"/>
        <w:rPr>
          <w:rStyle w:val="normaltextrun"/>
          <w:lang w:val="en-US"/>
        </w:rPr>
      </w:pPr>
    </w:p>
    <w:p w14:paraId="4371E18C" w14:textId="7778B677" w:rsidR="003008B8" w:rsidRPr="00602F08" w:rsidRDefault="00F65F89" w:rsidP="00B6212D">
      <w:pPr>
        <w:pStyle w:val="ListParagraph"/>
        <w:ind w:left="687"/>
        <w:jc w:val="both"/>
        <w:rPr>
          <w:rStyle w:val="normaltextrun"/>
          <w:rFonts w:ascii="Times New Roman" w:hAnsi="Times New Roman"/>
          <w:u w:val="single"/>
          <w:lang w:val="en-US"/>
        </w:rPr>
      </w:pPr>
      <w:r>
        <w:rPr>
          <w:rStyle w:val="normaltextrun"/>
          <w:rFonts w:ascii="Times New Roman" w:hAnsi="Times New Roman"/>
          <w:u w:val="single"/>
          <w:lang w:val="en-US"/>
        </w:rPr>
        <w:t>Immigration control</w:t>
      </w:r>
    </w:p>
    <w:p w14:paraId="12B39AC6" w14:textId="77777777" w:rsidR="003008B8" w:rsidRPr="00602F08" w:rsidRDefault="003008B8" w:rsidP="00B6212D">
      <w:pPr>
        <w:jc w:val="both"/>
        <w:rPr>
          <w:rStyle w:val="normaltextrun"/>
          <w:lang w:val="en-US"/>
        </w:rPr>
      </w:pPr>
    </w:p>
    <w:p w14:paraId="156C3F88" w14:textId="372F0F81" w:rsidR="003008B8" w:rsidRPr="00602F08" w:rsidRDefault="009A2518"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On behalf of the</w:t>
      </w:r>
      <w:r w:rsidR="003008B8" w:rsidRPr="00602F08">
        <w:rPr>
          <w:rStyle w:val="normaltextrun"/>
          <w:rFonts w:ascii="Times New Roman" w:hAnsi="Times New Roman"/>
          <w:lang w:val="en-US"/>
        </w:rPr>
        <w:t xml:space="preserve"> Secretary of State </w:t>
      </w:r>
      <w:r w:rsidRPr="00602F08">
        <w:rPr>
          <w:rStyle w:val="normaltextrun"/>
          <w:rFonts w:ascii="Times New Roman" w:hAnsi="Times New Roman"/>
          <w:lang w:val="en-US"/>
        </w:rPr>
        <w:t>reference is also made</w:t>
      </w:r>
      <w:r w:rsidR="003008B8" w:rsidRPr="00602F08">
        <w:rPr>
          <w:rStyle w:val="normaltextrun"/>
          <w:rFonts w:ascii="Times New Roman" w:hAnsi="Times New Roman"/>
          <w:lang w:val="en-US"/>
        </w:rPr>
        <w:t xml:space="preserve"> to “the interests of immigration control …”. It is argued </w:t>
      </w:r>
      <w:r w:rsidR="00D8030B" w:rsidRPr="00602F08">
        <w:rPr>
          <w:rStyle w:val="normaltextrun"/>
          <w:rFonts w:ascii="Times New Roman" w:hAnsi="Times New Roman"/>
          <w:lang w:val="en-US"/>
        </w:rPr>
        <w:t>on her behalf</w:t>
      </w:r>
      <w:r w:rsidR="003008B8" w:rsidRPr="00602F08">
        <w:rPr>
          <w:rStyle w:val="normaltextrun"/>
          <w:rFonts w:ascii="Times New Roman" w:hAnsi="Times New Roman"/>
          <w:lang w:val="en-US"/>
        </w:rPr>
        <w:t xml:space="preserve"> that the section 4 system </w:t>
      </w:r>
      <w:r w:rsidR="00295CE2" w:rsidRPr="00602F08">
        <w:rPr>
          <w:rStyle w:val="normaltextrun"/>
          <w:rFonts w:ascii="Times New Roman" w:hAnsi="Times New Roman"/>
          <w:lang w:val="en-US"/>
        </w:rPr>
        <w:t xml:space="preserve">that is in operation </w:t>
      </w:r>
      <w:r w:rsidR="003008B8" w:rsidRPr="00602F08">
        <w:rPr>
          <w:rStyle w:val="normaltextrun"/>
          <w:rFonts w:ascii="Times New Roman" w:hAnsi="Times New Roman"/>
          <w:lang w:val="en-US"/>
        </w:rPr>
        <w:t>is</w:t>
      </w:r>
      <w:r w:rsidR="00945F2E" w:rsidRPr="00602F08">
        <w:rPr>
          <w:rStyle w:val="normaltextrun"/>
          <w:rFonts w:ascii="Times New Roman" w:hAnsi="Times New Roman"/>
          <w:lang w:val="en-US"/>
        </w:rPr>
        <w:t xml:space="preserve"> </w:t>
      </w:r>
      <w:r w:rsidR="003008B8" w:rsidRPr="00602F08">
        <w:rPr>
          <w:rStyle w:val="normaltextrun"/>
          <w:rFonts w:ascii="Times New Roman" w:hAnsi="Times New Roman"/>
          <w:lang w:val="en-US"/>
        </w:rPr>
        <w:t xml:space="preserve">a “proportionate means of achieving a legitimate aim” within the meaning of s19(2)(d) of the </w:t>
      </w:r>
      <w:r w:rsidR="00174FC6" w:rsidRPr="00602F08">
        <w:rPr>
          <w:rStyle w:val="normaltextrun"/>
          <w:rFonts w:ascii="Times New Roman" w:hAnsi="Times New Roman"/>
          <w:lang w:val="en-US"/>
        </w:rPr>
        <w:t>Equality</w:t>
      </w:r>
      <w:r w:rsidR="003008B8" w:rsidRPr="00602F08">
        <w:rPr>
          <w:rStyle w:val="normaltextrun"/>
          <w:rFonts w:ascii="Times New Roman" w:hAnsi="Times New Roman"/>
          <w:lang w:val="en-US"/>
        </w:rPr>
        <w:t xml:space="preserve"> Act.” She argue</w:t>
      </w:r>
      <w:r w:rsidR="00CA7423">
        <w:rPr>
          <w:rStyle w:val="normaltextrun"/>
          <w:rFonts w:ascii="Times New Roman" w:hAnsi="Times New Roman"/>
          <w:lang w:val="en-US"/>
        </w:rPr>
        <w:t>d</w:t>
      </w:r>
      <w:r w:rsidR="003008B8" w:rsidRPr="00602F08">
        <w:rPr>
          <w:rStyle w:val="normaltextrun"/>
          <w:rFonts w:ascii="Times New Roman" w:hAnsi="Times New Roman"/>
          <w:lang w:val="en-US"/>
        </w:rPr>
        <w:t xml:space="preserve"> for a “wide margin of appreciation”.</w:t>
      </w:r>
    </w:p>
    <w:p w14:paraId="59166C9B" w14:textId="77777777" w:rsidR="0072506D" w:rsidRPr="00602F08" w:rsidRDefault="0072506D" w:rsidP="00B6212D">
      <w:pPr>
        <w:ind w:left="687"/>
        <w:jc w:val="both"/>
        <w:rPr>
          <w:rStyle w:val="normaltextrun"/>
          <w:lang w:val="en-US"/>
        </w:rPr>
      </w:pPr>
    </w:p>
    <w:p w14:paraId="7D784C63" w14:textId="1E67A294" w:rsidR="00BF7169" w:rsidRPr="00602F08" w:rsidRDefault="003008B8" w:rsidP="00B6212D">
      <w:pPr>
        <w:numPr>
          <w:ilvl w:val="0"/>
          <w:numId w:val="10"/>
        </w:numPr>
        <w:jc w:val="both"/>
        <w:rPr>
          <w:rStyle w:val="normaltextrun"/>
          <w:lang w:val="en-US"/>
        </w:rPr>
      </w:pPr>
      <w:r w:rsidRPr="00602F08">
        <w:rPr>
          <w:rStyle w:val="normaltextrun"/>
          <w:lang w:val="en-US"/>
        </w:rPr>
        <w:t>This point</w:t>
      </w:r>
      <w:r w:rsidR="00AB624A" w:rsidRPr="00602F08">
        <w:rPr>
          <w:rStyle w:val="normaltextrun"/>
          <w:lang w:val="en-US"/>
        </w:rPr>
        <w:t xml:space="preserve"> </w:t>
      </w:r>
      <w:r w:rsidR="00795FDD" w:rsidRPr="00602F08">
        <w:rPr>
          <w:rStyle w:val="normaltextrun"/>
          <w:lang w:val="en-US"/>
        </w:rPr>
        <w:t>is concisely</w:t>
      </w:r>
      <w:r w:rsidR="00E509C4" w:rsidRPr="00602F08">
        <w:rPr>
          <w:rStyle w:val="normaltextrun"/>
          <w:lang w:val="en-US"/>
        </w:rPr>
        <w:t>, and in my judgment correctly,</w:t>
      </w:r>
      <w:r w:rsidR="00795FDD" w:rsidRPr="00602F08">
        <w:rPr>
          <w:rStyle w:val="normaltextrun"/>
          <w:lang w:val="en-US"/>
        </w:rPr>
        <w:t xml:space="preserve"> answered by Ms Leventhal</w:t>
      </w:r>
      <w:r w:rsidR="00C87919" w:rsidRPr="00602F08">
        <w:rPr>
          <w:rStyle w:val="normaltextrun"/>
          <w:lang w:val="en-US"/>
        </w:rPr>
        <w:t>. First, t</w:t>
      </w:r>
      <w:r w:rsidR="00A20C7B" w:rsidRPr="00602F08">
        <w:rPr>
          <w:rStyle w:val="normaltextrun"/>
          <w:lang w:val="en-US"/>
        </w:rPr>
        <w:t xml:space="preserve">here is no rational </w:t>
      </w:r>
      <w:r w:rsidR="00C91452" w:rsidRPr="00602F08">
        <w:rPr>
          <w:rStyle w:val="normaltextrun"/>
          <w:lang w:val="en-US"/>
        </w:rPr>
        <w:t xml:space="preserve">connection between the interest of immigration control and </w:t>
      </w:r>
      <w:r w:rsidR="00C87919" w:rsidRPr="00602F08">
        <w:rPr>
          <w:rStyle w:val="normaltextrun"/>
          <w:lang w:val="en-US"/>
        </w:rPr>
        <w:t>unfavourable treatment of disabled people. Second, it is disproportionate to tre</w:t>
      </w:r>
      <w:r w:rsidR="000F3777" w:rsidRPr="00602F08">
        <w:rPr>
          <w:rStyle w:val="normaltextrun"/>
          <w:lang w:val="en-US"/>
        </w:rPr>
        <w:t>a</w:t>
      </w:r>
      <w:r w:rsidR="00C87919" w:rsidRPr="00602F08">
        <w:rPr>
          <w:rStyle w:val="normaltextrun"/>
          <w:lang w:val="en-US"/>
        </w:rPr>
        <w:t xml:space="preserve">t disabled people unfavourably in the interests of </w:t>
      </w:r>
      <w:r w:rsidR="000F3777" w:rsidRPr="00602F08">
        <w:rPr>
          <w:rStyle w:val="normaltextrun"/>
          <w:lang w:val="en-US"/>
        </w:rPr>
        <w:t>immigration control.</w:t>
      </w:r>
    </w:p>
    <w:p w14:paraId="63DDEE2B" w14:textId="77777777" w:rsidR="00BF7169" w:rsidRPr="00602F08" w:rsidRDefault="00BF7169" w:rsidP="00B6212D">
      <w:pPr>
        <w:pStyle w:val="ListParagraph"/>
        <w:jc w:val="both"/>
        <w:rPr>
          <w:rStyle w:val="normaltextrun"/>
          <w:rFonts w:ascii="Times New Roman" w:hAnsi="Times New Roman"/>
          <w:lang w:val="en-US"/>
        </w:rPr>
      </w:pPr>
    </w:p>
    <w:p w14:paraId="4C579A01" w14:textId="77777777" w:rsidR="00BF7169" w:rsidRPr="00602F08" w:rsidRDefault="00BF7169" w:rsidP="00B6212D">
      <w:pPr>
        <w:ind w:left="687"/>
        <w:jc w:val="both"/>
        <w:rPr>
          <w:rStyle w:val="normaltextrun"/>
          <w:u w:val="single"/>
          <w:lang w:val="en-US"/>
        </w:rPr>
      </w:pPr>
    </w:p>
    <w:p w14:paraId="1F8561CA" w14:textId="772EF5C4" w:rsidR="00BF7169" w:rsidRPr="00602F08" w:rsidRDefault="00BF7169" w:rsidP="00B6212D">
      <w:pPr>
        <w:ind w:left="687"/>
        <w:jc w:val="both"/>
        <w:rPr>
          <w:rStyle w:val="normaltextrun"/>
          <w:u w:val="single"/>
          <w:lang w:val="en-US"/>
        </w:rPr>
      </w:pPr>
      <w:r w:rsidRPr="00602F08">
        <w:rPr>
          <w:rStyle w:val="normaltextrun"/>
          <w:u w:val="single"/>
          <w:lang w:val="en-US"/>
        </w:rPr>
        <w:t>Supply and competition</w:t>
      </w:r>
    </w:p>
    <w:p w14:paraId="3437D469" w14:textId="471817C6" w:rsidR="004F5A13" w:rsidRPr="00602F08" w:rsidRDefault="004F5A13" w:rsidP="00B6212D">
      <w:pPr>
        <w:jc w:val="both"/>
        <w:rPr>
          <w:lang w:eastAsia="en-GB"/>
        </w:rPr>
      </w:pPr>
    </w:p>
    <w:p w14:paraId="0254EC76" w14:textId="27B92CC4" w:rsidR="00BF7169" w:rsidRPr="00602F08" w:rsidRDefault="00BF7169" w:rsidP="00B6212D">
      <w:pPr>
        <w:pStyle w:val="ListParagraph"/>
        <w:numPr>
          <w:ilvl w:val="0"/>
          <w:numId w:val="10"/>
        </w:numPr>
        <w:jc w:val="both"/>
        <w:rPr>
          <w:rFonts w:ascii="Times New Roman" w:hAnsi="Times New Roman"/>
          <w:lang w:eastAsia="en-GB"/>
        </w:rPr>
      </w:pPr>
      <w:r w:rsidRPr="00602F08">
        <w:rPr>
          <w:rFonts w:ascii="Times New Roman" w:hAnsi="Times New Roman"/>
          <w:lang w:eastAsia="en-GB"/>
        </w:rPr>
        <w:t>Mr Ta</w:t>
      </w:r>
      <w:r w:rsidR="004252C5" w:rsidRPr="00602F08">
        <w:rPr>
          <w:rFonts w:ascii="Times New Roman" w:hAnsi="Times New Roman"/>
          <w:lang w:eastAsia="en-GB"/>
        </w:rPr>
        <w:t>m</w:t>
      </w:r>
      <w:r w:rsidRPr="00602F08">
        <w:rPr>
          <w:rFonts w:ascii="Times New Roman" w:hAnsi="Times New Roman"/>
          <w:lang w:eastAsia="en-GB"/>
        </w:rPr>
        <w:t xml:space="preserve"> QC </w:t>
      </w:r>
      <w:r w:rsidR="00B71624" w:rsidRPr="00602F08">
        <w:rPr>
          <w:rFonts w:ascii="Times New Roman" w:hAnsi="Times New Roman"/>
          <w:lang w:eastAsia="en-GB"/>
        </w:rPr>
        <w:t xml:space="preserve">suggested in the course of oral argument that the results for those with disabilities were simply facets of supply and of competition </w:t>
      </w:r>
      <w:r w:rsidR="00FD70F9" w:rsidRPr="00602F08">
        <w:rPr>
          <w:rFonts w:ascii="Times New Roman" w:hAnsi="Times New Roman"/>
          <w:lang w:eastAsia="en-GB"/>
        </w:rPr>
        <w:t>in</w:t>
      </w:r>
      <w:r w:rsidR="00B71624" w:rsidRPr="00602F08">
        <w:rPr>
          <w:rFonts w:ascii="Times New Roman" w:hAnsi="Times New Roman"/>
          <w:lang w:eastAsia="en-GB"/>
        </w:rPr>
        <w:t xml:space="preserve"> supply</w:t>
      </w:r>
      <w:r w:rsidR="002E6D4E" w:rsidRPr="00602F08">
        <w:rPr>
          <w:rFonts w:ascii="Times New Roman" w:hAnsi="Times New Roman"/>
          <w:lang w:eastAsia="en-GB"/>
        </w:rPr>
        <w:t xml:space="preserve">. </w:t>
      </w:r>
      <w:r w:rsidR="00934CCA" w:rsidRPr="00602F08">
        <w:rPr>
          <w:rFonts w:ascii="Times New Roman" w:hAnsi="Times New Roman"/>
          <w:lang w:eastAsia="en-GB"/>
        </w:rPr>
        <w:t>He gave the topical example of procuring surgical masks</w:t>
      </w:r>
      <w:r w:rsidR="001D1952">
        <w:rPr>
          <w:rFonts w:ascii="Times New Roman" w:hAnsi="Times New Roman"/>
          <w:lang w:eastAsia="en-GB"/>
        </w:rPr>
        <w:t xml:space="preserve"> in the course of the Covid-19 pandemic</w:t>
      </w:r>
      <w:r w:rsidR="00934CCA" w:rsidRPr="00602F08">
        <w:rPr>
          <w:rFonts w:ascii="Times New Roman" w:hAnsi="Times New Roman"/>
          <w:lang w:eastAsia="en-GB"/>
        </w:rPr>
        <w:t xml:space="preserve">. </w:t>
      </w:r>
    </w:p>
    <w:p w14:paraId="4D791A00" w14:textId="77777777" w:rsidR="00A06CC3" w:rsidRPr="00602F08" w:rsidRDefault="00A06CC3" w:rsidP="00B6212D">
      <w:pPr>
        <w:pStyle w:val="ListParagraph"/>
        <w:ind w:left="687"/>
        <w:jc w:val="both"/>
        <w:rPr>
          <w:rFonts w:ascii="Times New Roman" w:hAnsi="Times New Roman"/>
          <w:lang w:eastAsia="en-GB"/>
        </w:rPr>
      </w:pPr>
    </w:p>
    <w:p w14:paraId="44147486" w14:textId="280AAF32" w:rsidR="0046173A" w:rsidRPr="00602F08" w:rsidRDefault="00A06CC3" w:rsidP="00B6212D">
      <w:pPr>
        <w:pStyle w:val="ListParagraph"/>
        <w:numPr>
          <w:ilvl w:val="0"/>
          <w:numId w:val="10"/>
        </w:numPr>
        <w:jc w:val="both"/>
        <w:rPr>
          <w:rFonts w:ascii="Times New Roman" w:hAnsi="Times New Roman"/>
          <w:lang w:eastAsia="en-GB"/>
        </w:rPr>
      </w:pPr>
      <w:r w:rsidRPr="00602F08">
        <w:rPr>
          <w:rFonts w:ascii="Times New Roman" w:hAnsi="Times New Roman"/>
          <w:lang w:eastAsia="en-GB"/>
        </w:rPr>
        <w:t>Of course</w:t>
      </w:r>
      <w:r w:rsidR="00785723">
        <w:rPr>
          <w:rFonts w:ascii="Times New Roman" w:hAnsi="Times New Roman"/>
          <w:lang w:eastAsia="en-GB"/>
        </w:rPr>
        <w:t>,</w:t>
      </w:r>
      <w:r w:rsidRPr="00602F08">
        <w:rPr>
          <w:rFonts w:ascii="Times New Roman" w:hAnsi="Times New Roman"/>
          <w:lang w:eastAsia="en-GB"/>
        </w:rPr>
        <w:t xml:space="preserve"> this cannot sensibly explain the </w:t>
      </w:r>
      <w:r w:rsidR="00785723">
        <w:rPr>
          <w:rFonts w:ascii="Times New Roman" w:hAnsi="Times New Roman"/>
          <w:lang w:eastAsia="en-GB"/>
        </w:rPr>
        <w:t xml:space="preserve">huge </w:t>
      </w:r>
      <w:r w:rsidRPr="00602F08">
        <w:rPr>
          <w:rFonts w:ascii="Times New Roman" w:hAnsi="Times New Roman"/>
          <w:lang w:eastAsia="en-GB"/>
        </w:rPr>
        <w:t>delays in AA’s case, but Mr Ta</w:t>
      </w:r>
      <w:r w:rsidR="004252C5" w:rsidRPr="00602F08">
        <w:rPr>
          <w:rFonts w:ascii="Times New Roman" w:hAnsi="Times New Roman"/>
          <w:lang w:eastAsia="en-GB"/>
        </w:rPr>
        <w:t>m</w:t>
      </w:r>
      <w:r w:rsidRPr="00602F08">
        <w:rPr>
          <w:rFonts w:ascii="Times New Roman" w:hAnsi="Times New Roman"/>
          <w:lang w:eastAsia="en-GB"/>
        </w:rPr>
        <w:t xml:space="preserve"> QC </w:t>
      </w:r>
      <w:r w:rsidR="004252C5" w:rsidRPr="00602F08">
        <w:rPr>
          <w:rFonts w:ascii="Times New Roman" w:hAnsi="Times New Roman"/>
          <w:lang w:eastAsia="en-GB"/>
        </w:rPr>
        <w:t>accept</w:t>
      </w:r>
      <w:r w:rsidR="007B245E">
        <w:rPr>
          <w:rFonts w:ascii="Times New Roman" w:hAnsi="Times New Roman"/>
          <w:lang w:eastAsia="en-GB"/>
        </w:rPr>
        <w:t>ed</w:t>
      </w:r>
      <w:r w:rsidR="004252C5" w:rsidRPr="00602F08">
        <w:rPr>
          <w:rFonts w:ascii="Times New Roman" w:hAnsi="Times New Roman"/>
          <w:lang w:eastAsia="en-GB"/>
        </w:rPr>
        <w:t xml:space="preserve"> that the point d</w:t>
      </w:r>
      <w:r w:rsidR="007B245E">
        <w:rPr>
          <w:rFonts w:ascii="Times New Roman" w:hAnsi="Times New Roman"/>
          <w:lang w:eastAsia="en-GB"/>
        </w:rPr>
        <w:t>id</w:t>
      </w:r>
      <w:r w:rsidR="004252C5" w:rsidRPr="00602F08">
        <w:rPr>
          <w:rFonts w:ascii="Times New Roman" w:hAnsi="Times New Roman"/>
          <w:lang w:eastAsia="en-GB"/>
        </w:rPr>
        <w:t xml:space="preserve"> not necessarily mean that AA would have failed in his claim. Mr Tam QC’s </w:t>
      </w:r>
      <w:r w:rsidR="00BE60EC" w:rsidRPr="00602F08">
        <w:rPr>
          <w:rFonts w:ascii="Times New Roman" w:hAnsi="Times New Roman"/>
          <w:lang w:eastAsia="en-GB"/>
        </w:rPr>
        <w:t xml:space="preserve">aim was </w:t>
      </w:r>
      <w:r w:rsidR="007B245E">
        <w:rPr>
          <w:rFonts w:ascii="Times New Roman" w:hAnsi="Times New Roman"/>
          <w:lang w:eastAsia="en-GB"/>
        </w:rPr>
        <w:t xml:space="preserve">instead </w:t>
      </w:r>
      <w:r w:rsidR="00BE60EC" w:rsidRPr="00602F08">
        <w:rPr>
          <w:rFonts w:ascii="Times New Roman" w:hAnsi="Times New Roman"/>
          <w:lang w:eastAsia="en-GB"/>
        </w:rPr>
        <w:t>to show that there were underlying reasons amounting to justification for the effects that the s</w:t>
      </w:r>
      <w:r w:rsidR="00C20047" w:rsidRPr="00602F08">
        <w:rPr>
          <w:rFonts w:ascii="Times New Roman" w:hAnsi="Times New Roman"/>
          <w:lang w:eastAsia="en-GB"/>
        </w:rPr>
        <w:t xml:space="preserve">ystem produced. </w:t>
      </w:r>
    </w:p>
    <w:p w14:paraId="5FC710B8" w14:textId="77777777" w:rsidR="0046173A" w:rsidRPr="00602F08" w:rsidRDefault="0046173A" w:rsidP="00B6212D">
      <w:pPr>
        <w:pStyle w:val="ListParagraph"/>
        <w:jc w:val="both"/>
        <w:rPr>
          <w:rFonts w:ascii="Times New Roman" w:hAnsi="Times New Roman"/>
          <w:lang w:eastAsia="en-GB"/>
        </w:rPr>
      </w:pPr>
    </w:p>
    <w:p w14:paraId="2250A38A" w14:textId="7219DB11" w:rsidR="0046173A" w:rsidRPr="00602F08" w:rsidRDefault="00273955" w:rsidP="00B6212D">
      <w:pPr>
        <w:pStyle w:val="ListParagraph"/>
        <w:numPr>
          <w:ilvl w:val="0"/>
          <w:numId w:val="10"/>
        </w:numPr>
        <w:jc w:val="both"/>
        <w:rPr>
          <w:rFonts w:ascii="Times New Roman" w:hAnsi="Times New Roman"/>
          <w:lang w:eastAsia="en-GB"/>
        </w:rPr>
      </w:pPr>
      <w:r w:rsidRPr="00602F08">
        <w:rPr>
          <w:rFonts w:ascii="Times New Roman" w:hAnsi="Times New Roman"/>
          <w:lang w:eastAsia="en-GB"/>
        </w:rPr>
        <w:t xml:space="preserve">The difficulty for </w:t>
      </w:r>
      <w:r w:rsidR="007B245E">
        <w:rPr>
          <w:rFonts w:ascii="Times New Roman" w:hAnsi="Times New Roman"/>
          <w:lang w:eastAsia="en-GB"/>
        </w:rPr>
        <w:t>Mr Tam QC’s</w:t>
      </w:r>
      <w:r w:rsidRPr="00602F08">
        <w:rPr>
          <w:rFonts w:ascii="Times New Roman" w:hAnsi="Times New Roman"/>
          <w:lang w:eastAsia="en-GB"/>
        </w:rPr>
        <w:t xml:space="preserve"> argument is </w:t>
      </w:r>
      <w:r w:rsidR="00753D69" w:rsidRPr="00602F08">
        <w:rPr>
          <w:rFonts w:ascii="Times New Roman" w:hAnsi="Times New Roman"/>
          <w:lang w:eastAsia="en-GB"/>
        </w:rPr>
        <w:t xml:space="preserve">that the Secretary of State does not show that </w:t>
      </w:r>
      <w:r w:rsidR="00A546AC" w:rsidRPr="00602F08">
        <w:rPr>
          <w:rFonts w:ascii="Times New Roman" w:hAnsi="Times New Roman"/>
          <w:lang w:eastAsia="en-GB"/>
        </w:rPr>
        <w:t xml:space="preserve">the time taken to provide accommodation is </w:t>
      </w:r>
      <w:r w:rsidR="00EE27F3">
        <w:rPr>
          <w:rFonts w:ascii="Times New Roman" w:hAnsi="Times New Roman"/>
          <w:lang w:eastAsia="en-GB"/>
        </w:rPr>
        <w:t xml:space="preserve">indeed </w:t>
      </w:r>
      <w:r w:rsidR="00A546AC" w:rsidRPr="00602F08">
        <w:rPr>
          <w:rFonts w:ascii="Times New Roman" w:hAnsi="Times New Roman"/>
          <w:lang w:eastAsia="en-GB"/>
        </w:rPr>
        <w:t>because of supply</w:t>
      </w:r>
      <w:r w:rsidR="004D20FE" w:rsidRPr="00602F08">
        <w:rPr>
          <w:rFonts w:ascii="Times New Roman" w:hAnsi="Times New Roman"/>
          <w:lang w:eastAsia="en-GB"/>
        </w:rPr>
        <w:t xml:space="preserve"> and competition in supply</w:t>
      </w:r>
      <w:r w:rsidR="00A546AC" w:rsidRPr="00602F08">
        <w:rPr>
          <w:rFonts w:ascii="Times New Roman" w:hAnsi="Times New Roman"/>
          <w:lang w:eastAsia="en-GB"/>
        </w:rPr>
        <w:t>. Indeed</w:t>
      </w:r>
      <w:r w:rsidR="00B43284" w:rsidRPr="00602F08">
        <w:rPr>
          <w:rFonts w:ascii="Times New Roman" w:hAnsi="Times New Roman"/>
          <w:lang w:eastAsia="en-GB"/>
        </w:rPr>
        <w:t>,</w:t>
      </w:r>
      <w:r w:rsidR="00A546AC" w:rsidRPr="00602F08">
        <w:rPr>
          <w:rFonts w:ascii="Times New Roman" w:hAnsi="Times New Roman"/>
          <w:lang w:eastAsia="en-GB"/>
        </w:rPr>
        <w:t xml:space="preserve"> </w:t>
      </w:r>
      <w:r w:rsidR="00B43284" w:rsidRPr="00602F08">
        <w:rPr>
          <w:rFonts w:ascii="Times New Roman" w:hAnsi="Times New Roman"/>
          <w:lang w:eastAsia="en-GB"/>
        </w:rPr>
        <w:t xml:space="preserve">the Secretary is unable to </w:t>
      </w:r>
      <w:r w:rsidR="00A546AC" w:rsidRPr="00602F08">
        <w:rPr>
          <w:rFonts w:ascii="Times New Roman" w:hAnsi="Times New Roman"/>
          <w:lang w:eastAsia="en-GB"/>
        </w:rPr>
        <w:t>show that</w:t>
      </w:r>
      <w:r w:rsidR="00C034C5">
        <w:rPr>
          <w:rFonts w:ascii="Times New Roman" w:hAnsi="Times New Roman"/>
          <w:lang w:eastAsia="en-GB"/>
        </w:rPr>
        <w:t>.</w:t>
      </w:r>
      <w:r w:rsidR="005D2D06">
        <w:rPr>
          <w:rFonts w:ascii="Times New Roman" w:hAnsi="Times New Roman"/>
          <w:lang w:eastAsia="en-GB"/>
        </w:rPr>
        <w:t xml:space="preserve"> </w:t>
      </w:r>
      <w:r w:rsidR="00C034C5">
        <w:rPr>
          <w:rFonts w:ascii="Times New Roman" w:hAnsi="Times New Roman"/>
          <w:lang w:eastAsia="en-GB"/>
        </w:rPr>
        <w:t>T</w:t>
      </w:r>
      <w:r w:rsidR="004D20FE" w:rsidRPr="00602F08">
        <w:rPr>
          <w:rFonts w:ascii="Times New Roman" w:hAnsi="Times New Roman"/>
          <w:lang w:eastAsia="en-GB"/>
        </w:rPr>
        <w:t>here is no monitoring</w:t>
      </w:r>
      <w:r w:rsidR="0082519D">
        <w:rPr>
          <w:rFonts w:ascii="Times New Roman" w:hAnsi="Times New Roman"/>
          <w:lang w:eastAsia="en-GB"/>
        </w:rPr>
        <w:t xml:space="preserve"> in this area</w:t>
      </w:r>
      <w:r w:rsidR="00FA53EB">
        <w:rPr>
          <w:rFonts w:ascii="Times New Roman" w:hAnsi="Times New Roman"/>
          <w:lang w:eastAsia="en-GB"/>
        </w:rPr>
        <w:t>, so she has no data</w:t>
      </w:r>
      <w:r w:rsidR="004D20FE" w:rsidRPr="00602F08">
        <w:rPr>
          <w:rFonts w:ascii="Times New Roman" w:hAnsi="Times New Roman"/>
          <w:lang w:eastAsia="en-GB"/>
        </w:rPr>
        <w:t>. Nor</w:t>
      </w:r>
      <w:r w:rsidR="00D22FBF" w:rsidRPr="00602F08">
        <w:rPr>
          <w:rFonts w:ascii="Times New Roman" w:hAnsi="Times New Roman"/>
          <w:lang w:eastAsia="en-GB"/>
        </w:rPr>
        <w:t>,</w:t>
      </w:r>
      <w:r w:rsidR="004D20FE" w:rsidRPr="00602F08">
        <w:rPr>
          <w:rFonts w:ascii="Times New Roman" w:hAnsi="Times New Roman"/>
          <w:lang w:eastAsia="en-GB"/>
        </w:rPr>
        <w:t xml:space="preserve"> </w:t>
      </w:r>
      <w:r w:rsidR="0046173A" w:rsidRPr="00602F08">
        <w:rPr>
          <w:rFonts w:ascii="Times New Roman" w:hAnsi="Times New Roman"/>
          <w:lang w:eastAsia="en-GB"/>
        </w:rPr>
        <w:t xml:space="preserve">without </w:t>
      </w:r>
      <w:r w:rsidR="00D22FBF" w:rsidRPr="00602F08">
        <w:rPr>
          <w:rFonts w:ascii="Times New Roman" w:hAnsi="Times New Roman"/>
          <w:lang w:eastAsia="en-GB"/>
        </w:rPr>
        <w:t xml:space="preserve">proper </w:t>
      </w:r>
      <w:r w:rsidR="0046173A" w:rsidRPr="00602F08">
        <w:rPr>
          <w:rFonts w:ascii="Times New Roman" w:hAnsi="Times New Roman"/>
          <w:lang w:eastAsia="en-GB"/>
        </w:rPr>
        <w:t>monitoring</w:t>
      </w:r>
      <w:r w:rsidR="00D22FBF" w:rsidRPr="00602F08">
        <w:rPr>
          <w:rFonts w:ascii="Times New Roman" w:hAnsi="Times New Roman"/>
          <w:lang w:eastAsia="en-GB"/>
        </w:rPr>
        <w:t>,</w:t>
      </w:r>
      <w:r w:rsidR="0046173A" w:rsidRPr="00602F08">
        <w:rPr>
          <w:rFonts w:ascii="Times New Roman" w:hAnsi="Times New Roman"/>
          <w:lang w:eastAsia="en-GB"/>
        </w:rPr>
        <w:t xml:space="preserve"> </w:t>
      </w:r>
      <w:r w:rsidR="004D20FE" w:rsidRPr="00602F08">
        <w:rPr>
          <w:rFonts w:ascii="Times New Roman" w:hAnsi="Times New Roman"/>
          <w:lang w:eastAsia="en-GB"/>
        </w:rPr>
        <w:t>c</w:t>
      </w:r>
      <w:r w:rsidR="005B1C5E">
        <w:rPr>
          <w:rFonts w:ascii="Times New Roman" w:hAnsi="Times New Roman"/>
          <w:lang w:eastAsia="en-GB"/>
        </w:rPr>
        <w:t>ould the Secretary of State</w:t>
      </w:r>
      <w:r w:rsidR="004D20FE" w:rsidRPr="00602F08">
        <w:rPr>
          <w:rFonts w:ascii="Times New Roman" w:hAnsi="Times New Roman"/>
          <w:lang w:eastAsia="en-GB"/>
        </w:rPr>
        <w:t xml:space="preserve"> show</w:t>
      </w:r>
      <w:r w:rsidR="0046173A" w:rsidRPr="00602F08">
        <w:rPr>
          <w:rFonts w:ascii="Times New Roman" w:hAnsi="Times New Roman"/>
          <w:lang w:eastAsia="en-GB"/>
        </w:rPr>
        <w:t>, or know,</w:t>
      </w:r>
      <w:r w:rsidR="004D20FE" w:rsidRPr="00602F08">
        <w:rPr>
          <w:rFonts w:ascii="Times New Roman" w:hAnsi="Times New Roman"/>
          <w:lang w:eastAsia="en-GB"/>
        </w:rPr>
        <w:t xml:space="preserve"> that </w:t>
      </w:r>
      <w:r w:rsidR="0046173A" w:rsidRPr="00602F08">
        <w:rPr>
          <w:rFonts w:ascii="Times New Roman" w:hAnsi="Times New Roman"/>
          <w:lang w:eastAsia="en-GB"/>
        </w:rPr>
        <w:t xml:space="preserve">the </w:t>
      </w:r>
      <w:r w:rsidR="006A40EC">
        <w:rPr>
          <w:rFonts w:ascii="Times New Roman" w:hAnsi="Times New Roman"/>
          <w:lang w:eastAsia="en-GB"/>
        </w:rPr>
        <w:t>results</w:t>
      </w:r>
      <w:r w:rsidR="0046173A" w:rsidRPr="00602F08">
        <w:rPr>
          <w:rFonts w:ascii="Times New Roman" w:hAnsi="Times New Roman"/>
          <w:lang w:eastAsia="en-GB"/>
        </w:rPr>
        <w:t xml:space="preserve"> cannot be suitably addressed.</w:t>
      </w:r>
    </w:p>
    <w:p w14:paraId="4CE268DA" w14:textId="77777777" w:rsidR="00B76347" w:rsidRPr="00602F08" w:rsidRDefault="00B76347" w:rsidP="00B6212D">
      <w:pPr>
        <w:jc w:val="both"/>
        <w:rPr>
          <w:i/>
          <w:iCs/>
          <w:lang w:eastAsia="en-GB"/>
        </w:rPr>
      </w:pPr>
    </w:p>
    <w:p w14:paraId="3453862F" w14:textId="77777777" w:rsidR="0046173A" w:rsidRPr="00602F08" w:rsidRDefault="0046173A" w:rsidP="00B6212D">
      <w:pPr>
        <w:ind w:left="119" w:firstLine="568"/>
        <w:jc w:val="both"/>
        <w:rPr>
          <w:rStyle w:val="normaltextrun"/>
          <w:u w:val="single"/>
          <w:lang w:val="en-US"/>
        </w:rPr>
      </w:pPr>
    </w:p>
    <w:p w14:paraId="406C44A9" w14:textId="240A25A9" w:rsidR="00F87093" w:rsidRPr="00602F08" w:rsidRDefault="002C0667" w:rsidP="00B6212D">
      <w:pPr>
        <w:ind w:left="119" w:firstLine="568"/>
        <w:jc w:val="both"/>
        <w:rPr>
          <w:rStyle w:val="normaltextrun"/>
          <w:u w:val="single"/>
          <w:lang w:val="en-US"/>
        </w:rPr>
      </w:pPr>
      <w:r w:rsidRPr="00602F08">
        <w:rPr>
          <w:rStyle w:val="normaltextrun"/>
          <w:u w:val="single"/>
          <w:lang w:val="en-US"/>
        </w:rPr>
        <w:t>Reasonable adjustments</w:t>
      </w:r>
    </w:p>
    <w:p w14:paraId="1D34F502" w14:textId="77777777" w:rsidR="00655D28" w:rsidRPr="00602F08" w:rsidRDefault="00655D28" w:rsidP="00B6212D">
      <w:pPr>
        <w:jc w:val="both"/>
        <w:rPr>
          <w:rStyle w:val="normaltextrun"/>
          <w:lang w:val="en-US"/>
        </w:rPr>
      </w:pPr>
    </w:p>
    <w:p w14:paraId="1C4D1420" w14:textId="5409C6EC" w:rsidR="00040C12" w:rsidRDefault="00094FC4"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The </w:t>
      </w:r>
      <w:r w:rsidR="00937836">
        <w:rPr>
          <w:rStyle w:val="normaltextrun"/>
          <w:rFonts w:ascii="Times New Roman" w:hAnsi="Times New Roman"/>
          <w:lang w:val="en-US"/>
        </w:rPr>
        <w:t xml:space="preserve">reasonable </w:t>
      </w:r>
      <w:r w:rsidRPr="00602F08">
        <w:rPr>
          <w:rStyle w:val="normaltextrun"/>
          <w:rFonts w:ascii="Times New Roman" w:hAnsi="Times New Roman"/>
          <w:lang w:val="en-US"/>
        </w:rPr>
        <w:t>adjustments for which Ms Leventhal con</w:t>
      </w:r>
      <w:r w:rsidR="00C459B3" w:rsidRPr="00602F08">
        <w:rPr>
          <w:rStyle w:val="normaltextrun"/>
          <w:rFonts w:ascii="Times New Roman" w:hAnsi="Times New Roman"/>
          <w:lang w:val="en-US"/>
        </w:rPr>
        <w:t>tend</w:t>
      </w:r>
      <w:r w:rsidR="00040C12">
        <w:rPr>
          <w:rStyle w:val="normaltextrun"/>
          <w:rFonts w:ascii="Times New Roman" w:hAnsi="Times New Roman"/>
          <w:lang w:val="en-US"/>
        </w:rPr>
        <w:t>ed</w:t>
      </w:r>
      <w:r w:rsidR="00C459B3" w:rsidRPr="00602F08">
        <w:rPr>
          <w:rStyle w:val="normaltextrun"/>
          <w:rFonts w:ascii="Times New Roman" w:hAnsi="Times New Roman"/>
          <w:lang w:val="en-US"/>
        </w:rPr>
        <w:t xml:space="preserve"> match </w:t>
      </w:r>
      <w:r w:rsidRPr="00602F08">
        <w:rPr>
          <w:rStyle w:val="normaltextrun"/>
          <w:rFonts w:ascii="Times New Roman" w:hAnsi="Times New Roman"/>
          <w:lang w:val="en-US"/>
        </w:rPr>
        <w:t>the failings that she sa</w:t>
      </w:r>
      <w:r w:rsidR="00040C12">
        <w:rPr>
          <w:rStyle w:val="normaltextrun"/>
          <w:rFonts w:ascii="Times New Roman" w:hAnsi="Times New Roman"/>
          <w:lang w:val="en-US"/>
        </w:rPr>
        <w:t>id</w:t>
      </w:r>
      <w:r w:rsidRPr="00602F08">
        <w:rPr>
          <w:rStyle w:val="normaltextrun"/>
          <w:rFonts w:ascii="Times New Roman" w:hAnsi="Times New Roman"/>
          <w:lang w:val="en-US"/>
        </w:rPr>
        <w:t xml:space="preserve"> are in the system. </w:t>
      </w:r>
    </w:p>
    <w:p w14:paraId="50EC4A56" w14:textId="77777777" w:rsidR="00DA1643" w:rsidRPr="000C7314" w:rsidRDefault="00DA1643" w:rsidP="000C7314">
      <w:pPr>
        <w:jc w:val="both"/>
        <w:rPr>
          <w:rStyle w:val="normaltextrun"/>
          <w:lang w:val="en-US"/>
        </w:rPr>
      </w:pPr>
    </w:p>
    <w:p w14:paraId="5E3A5753" w14:textId="13B03065" w:rsidR="00DA1643" w:rsidRPr="00602F08" w:rsidRDefault="006D58FB" w:rsidP="00B6212D">
      <w:pPr>
        <w:numPr>
          <w:ilvl w:val="0"/>
          <w:numId w:val="10"/>
        </w:numPr>
        <w:jc w:val="both"/>
        <w:rPr>
          <w:rStyle w:val="normaltextrun"/>
          <w:lang w:val="en-US"/>
        </w:rPr>
      </w:pPr>
      <w:r w:rsidRPr="00602F08">
        <w:rPr>
          <w:rStyle w:val="normaltextrun"/>
          <w:lang w:val="en-US"/>
        </w:rPr>
        <w:t xml:space="preserve">Appropriately, </w:t>
      </w:r>
      <w:r w:rsidR="00DA1643" w:rsidRPr="00602F08">
        <w:rPr>
          <w:rStyle w:val="normaltextrun"/>
          <w:u w:val="single"/>
          <w:lang w:val="en-US"/>
        </w:rPr>
        <w:t>VC</w:t>
      </w:r>
      <w:r w:rsidR="00DA1643" w:rsidRPr="00602F08">
        <w:rPr>
          <w:rStyle w:val="normaltextrun"/>
          <w:lang w:val="en-US"/>
        </w:rPr>
        <w:t xml:space="preserve"> at [157]</w:t>
      </w:r>
      <w:r w:rsidRPr="00602F08">
        <w:rPr>
          <w:rStyle w:val="normaltextrun"/>
          <w:lang w:val="en-US"/>
        </w:rPr>
        <w:t xml:space="preserve"> </w:t>
      </w:r>
      <w:r w:rsidR="00C04C8F">
        <w:rPr>
          <w:rStyle w:val="normaltextrun"/>
          <w:lang w:val="en-US"/>
        </w:rPr>
        <w:t xml:space="preserve">in the Court of Appeal </w:t>
      </w:r>
      <w:r w:rsidRPr="00602F08">
        <w:rPr>
          <w:rStyle w:val="normaltextrun"/>
          <w:lang w:val="en-US"/>
        </w:rPr>
        <w:t>was cited</w:t>
      </w:r>
      <w:r w:rsidR="00DA1643" w:rsidRPr="00602F08">
        <w:rPr>
          <w:rStyle w:val="normaltextrun"/>
          <w:lang w:val="en-US"/>
        </w:rPr>
        <w:t>:</w:t>
      </w:r>
    </w:p>
    <w:p w14:paraId="7F34E79C" w14:textId="77777777" w:rsidR="00DA1643" w:rsidRPr="00602F08" w:rsidRDefault="00DA1643" w:rsidP="00B6212D">
      <w:pPr>
        <w:pStyle w:val="ListParagraph"/>
        <w:jc w:val="both"/>
        <w:rPr>
          <w:rStyle w:val="normaltextrun"/>
          <w:rFonts w:ascii="Times New Roman" w:hAnsi="Times New Roman"/>
          <w:lang w:val="en-US"/>
        </w:rPr>
      </w:pPr>
    </w:p>
    <w:p w14:paraId="778560D6" w14:textId="632B0B9C" w:rsidR="00F379DB" w:rsidRPr="00602F08" w:rsidRDefault="00DA1643" w:rsidP="00B6212D">
      <w:pPr>
        <w:ind w:left="1440"/>
        <w:jc w:val="both"/>
        <w:rPr>
          <w:rStyle w:val="normaltextrun"/>
          <w:lang w:val="en-US"/>
        </w:rPr>
      </w:pPr>
      <w:r w:rsidRPr="00602F08">
        <w:rPr>
          <w:rStyle w:val="normaltextrun"/>
          <w:lang w:val="en-US"/>
        </w:rPr>
        <w:t xml:space="preserve">“It is well established that the duty to make reasonable adjustments includes the duty to make anticipatory adjustments for a class of people, as well as a continuing duty to make adjustments in individual cases: see for example Lord Dyson MR in </w:t>
      </w:r>
      <w:r w:rsidRPr="00602F08">
        <w:rPr>
          <w:rStyle w:val="normaltextrun"/>
          <w:u w:val="single"/>
          <w:lang w:val="en-US"/>
        </w:rPr>
        <w:t>Finnigan v Chief Constable of Northumbria Police</w:t>
      </w:r>
      <w:r w:rsidRPr="00602F08">
        <w:rPr>
          <w:rStyle w:val="normaltextrun"/>
          <w:lang w:val="en-US"/>
        </w:rPr>
        <w:t xml:space="preserve"> [2014] 1 WLR 445, para 32. The Equality Act’s Statutory Code of Practice states (at para 7.20) that: “the duty is anticipatory in the sense that it requires consideration of, and action in relation to, barriers that impede people with one or more kinds of disability prior to an individual disable</w:t>
      </w:r>
      <w:r w:rsidR="00245613">
        <w:rPr>
          <w:rStyle w:val="normaltextrun"/>
          <w:lang w:val="en-US"/>
        </w:rPr>
        <w:t>d</w:t>
      </w:r>
      <w:r w:rsidRPr="00602F08">
        <w:rPr>
          <w:rStyle w:val="normaltextrun"/>
          <w:lang w:val="en-US"/>
        </w:rPr>
        <w:t xml:space="preserve"> person seeking to use the service …”. At para 7.21 it states that: “Service providers should therefore not wait until a disabled person wants to use a service that they provide before they give consideration to their duty to make reasonable adjustments. They should anticipate the requirements of disabled people and the adjustments that may have to be made for them.”</w:t>
      </w:r>
    </w:p>
    <w:p w14:paraId="20C671DF" w14:textId="77777777" w:rsidR="00F379DB" w:rsidRPr="00602F08" w:rsidRDefault="00F379DB" w:rsidP="00B6212D">
      <w:pPr>
        <w:jc w:val="both"/>
        <w:rPr>
          <w:rStyle w:val="normaltextrun"/>
          <w:lang w:val="en-US"/>
        </w:rPr>
      </w:pPr>
    </w:p>
    <w:p w14:paraId="547A6AEC" w14:textId="68D6F75D" w:rsidR="000C7314" w:rsidRPr="00602F08" w:rsidRDefault="000C7314" w:rsidP="000C7314">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On behalf of AA </w:t>
      </w:r>
      <w:r>
        <w:rPr>
          <w:rStyle w:val="normaltextrun"/>
          <w:rFonts w:ascii="Times New Roman" w:hAnsi="Times New Roman"/>
          <w:lang w:val="en-US"/>
        </w:rPr>
        <w:t>Ms Leventhal</w:t>
      </w:r>
      <w:r w:rsidRPr="00602F08">
        <w:rPr>
          <w:rStyle w:val="normaltextrun"/>
          <w:rFonts w:ascii="Times New Roman" w:hAnsi="Times New Roman"/>
          <w:lang w:val="en-US"/>
        </w:rPr>
        <w:t xml:space="preserve"> centre</w:t>
      </w:r>
      <w:r>
        <w:rPr>
          <w:rStyle w:val="normaltextrun"/>
          <w:rFonts w:ascii="Times New Roman" w:hAnsi="Times New Roman"/>
          <w:lang w:val="en-US"/>
        </w:rPr>
        <w:t>d</w:t>
      </w:r>
      <w:r w:rsidRPr="00602F08">
        <w:rPr>
          <w:rStyle w:val="normaltextrun"/>
          <w:rFonts w:ascii="Times New Roman" w:hAnsi="Times New Roman"/>
          <w:lang w:val="en-US"/>
        </w:rPr>
        <w:t xml:space="preserve"> her argument on three aspects, distilled from five. First,</w:t>
      </w:r>
      <w:r w:rsidRPr="00602F08">
        <w:rPr>
          <w:rStyle w:val="normaltextrun"/>
          <w:rFonts w:ascii="Times New Roman" w:hAnsi="Times New Roman"/>
        </w:rPr>
        <w:t xml:space="preserve"> </w:t>
      </w:r>
      <w:r w:rsidRPr="00602F08">
        <w:rPr>
          <w:rStyle w:val="normaltextrun"/>
          <w:rFonts w:ascii="Times New Roman" w:hAnsi="Times New Roman"/>
          <w:lang w:val="en-US"/>
        </w:rPr>
        <w:t>a lack of any monitoring of disabled people within the system operated by the Secretary of State by her officials. Second, a lack</w:t>
      </w:r>
      <w:r w:rsidR="00485B48">
        <w:rPr>
          <w:rStyle w:val="normaltextrun"/>
          <w:rFonts w:ascii="Times New Roman" w:hAnsi="Times New Roman"/>
          <w:lang w:val="en-US"/>
        </w:rPr>
        <w:t xml:space="preserve"> </w:t>
      </w:r>
      <w:r w:rsidRPr="00602F08">
        <w:rPr>
          <w:rStyle w:val="normaltextrun"/>
          <w:rFonts w:ascii="Times New Roman" w:hAnsi="Times New Roman"/>
          <w:lang w:val="en-US"/>
        </w:rPr>
        <w:t xml:space="preserve">of sufficient suitable accommodation for disabled people: she emphasises that here she addresses the means of supply of basic, not complex, facilities such as accessibility. Third, a lack of an effective system for prioritising claims. </w:t>
      </w:r>
    </w:p>
    <w:p w14:paraId="7764CB41" w14:textId="77777777" w:rsidR="000C7314" w:rsidRPr="00602F08" w:rsidRDefault="000C7314" w:rsidP="000C7314">
      <w:pPr>
        <w:pStyle w:val="ListParagraph"/>
        <w:ind w:left="687"/>
        <w:jc w:val="both"/>
        <w:rPr>
          <w:rStyle w:val="normaltextrun"/>
          <w:rFonts w:ascii="Times New Roman" w:hAnsi="Times New Roman"/>
          <w:lang w:val="en-US"/>
        </w:rPr>
      </w:pPr>
    </w:p>
    <w:p w14:paraId="70D66F8D" w14:textId="77777777" w:rsidR="000C7314" w:rsidRPr="00602F08" w:rsidRDefault="000C7314" w:rsidP="000C7314">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I take these in turn </w:t>
      </w:r>
      <w:r>
        <w:rPr>
          <w:rStyle w:val="normaltextrun"/>
          <w:rFonts w:ascii="Times New Roman" w:hAnsi="Times New Roman"/>
          <w:lang w:val="en-US"/>
        </w:rPr>
        <w:t>in the sections of this judgment that follow</w:t>
      </w:r>
      <w:r w:rsidRPr="00602F08">
        <w:rPr>
          <w:rStyle w:val="normaltextrun"/>
          <w:rFonts w:ascii="Times New Roman" w:hAnsi="Times New Roman"/>
          <w:lang w:val="en-US"/>
        </w:rPr>
        <w:t xml:space="preserve"> but state now the conclusion that in failing to take the first and third </w:t>
      </w:r>
      <w:r>
        <w:rPr>
          <w:rStyle w:val="normaltextrun"/>
          <w:rFonts w:ascii="Times New Roman" w:hAnsi="Times New Roman"/>
          <w:lang w:val="en-US"/>
        </w:rPr>
        <w:t xml:space="preserve">step </w:t>
      </w:r>
      <w:r w:rsidRPr="00602F08">
        <w:rPr>
          <w:rStyle w:val="normaltextrun"/>
          <w:rFonts w:ascii="Times New Roman" w:hAnsi="Times New Roman"/>
          <w:lang w:val="en-US"/>
        </w:rPr>
        <w:t xml:space="preserve">the Secretary of State acting by her officials did not take the steps it was reasonable to take to avoid the disadvantage to disabled individuals, including AA. </w:t>
      </w:r>
    </w:p>
    <w:p w14:paraId="4215AC29" w14:textId="77777777" w:rsidR="000C7314" w:rsidRPr="000C7314" w:rsidRDefault="000C7314" w:rsidP="000C7314">
      <w:pPr>
        <w:pStyle w:val="ListParagraph"/>
        <w:ind w:left="687"/>
        <w:jc w:val="both"/>
        <w:rPr>
          <w:rStyle w:val="normaltextrun"/>
          <w:rFonts w:ascii="Times New Roman" w:hAnsi="Times New Roman"/>
          <w:lang w:val="en-US"/>
        </w:rPr>
      </w:pPr>
    </w:p>
    <w:p w14:paraId="07A9E100" w14:textId="665E1342" w:rsidR="00F5350C" w:rsidRPr="00602F08" w:rsidRDefault="00DD719D"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Mr Ta</w:t>
      </w:r>
      <w:r w:rsidR="003A1080" w:rsidRPr="00602F08">
        <w:rPr>
          <w:rStyle w:val="normaltextrun"/>
          <w:rFonts w:ascii="Times New Roman" w:hAnsi="Times New Roman"/>
          <w:lang w:val="en-US"/>
        </w:rPr>
        <w:t>m</w:t>
      </w:r>
      <w:r w:rsidRPr="00602F08">
        <w:rPr>
          <w:rStyle w:val="normaltextrun"/>
          <w:rFonts w:ascii="Times New Roman" w:hAnsi="Times New Roman"/>
          <w:lang w:val="en-US"/>
        </w:rPr>
        <w:t xml:space="preserve"> QC </w:t>
      </w:r>
      <w:r w:rsidR="00FC6517">
        <w:rPr>
          <w:rStyle w:val="normaltextrun"/>
          <w:rFonts w:ascii="Times New Roman" w:hAnsi="Times New Roman"/>
          <w:lang w:val="en-US"/>
        </w:rPr>
        <w:t xml:space="preserve">understandably </w:t>
      </w:r>
      <w:r w:rsidR="00867802" w:rsidRPr="00602F08">
        <w:rPr>
          <w:rStyle w:val="normaltextrun"/>
          <w:rFonts w:ascii="Times New Roman" w:hAnsi="Times New Roman"/>
          <w:lang w:val="en-US"/>
        </w:rPr>
        <w:t>highlight</w:t>
      </w:r>
      <w:r w:rsidR="00FC6517">
        <w:rPr>
          <w:rStyle w:val="normaltextrun"/>
          <w:rFonts w:ascii="Times New Roman" w:hAnsi="Times New Roman"/>
          <w:lang w:val="en-US"/>
        </w:rPr>
        <w:t>ed</w:t>
      </w:r>
      <w:r w:rsidR="00867802" w:rsidRPr="00602F08">
        <w:rPr>
          <w:rStyle w:val="normaltextrun"/>
          <w:rFonts w:ascii="Times New Roman" w:hAnsi="Times New Roman"/>
          <w:lang w:val="en-US"/>
        </w:rPr>
        <w:t xml:space="preserve"> that different claimants with a disability will have different needs by reason of their disability. </w:t>
      </w:r>
      <w:r w:rsidR="002D7A72" w:rsidRPr="00602F08">
        <w:rPr>
          <w:rStyle w:val="normaltextrun"/>
          <w:rFonts w:ascii="Times New Roman" w:hAnsi="Times New Roman"/>
          <w:lang w:val="en-US"/>
        </w:rPr>
        <w:t>He argue</w:t>
      </w:r>
      <w:r w:rsidR="00094102">
        <w:rPr>
          <w:rStyle w:val="normaltextrun"/>
          <w:rFonts w:ascii="Times New Roman" w:hAnsi="Times New Roman"/>
          <w:lang w:val="en-US"/>
        </w:rPr>
        <w:t>d</w:t>
      </w:r>
      <w:r w:rsidR="002D7A72" w:rsidRPr="00602F08">
        <w:rPr>
          <w:rStyle w:val="normaltextrun"/>
          <w:rFonts w:ascii="Times New Roman" w:hAnsi="Times New Roman"/>
          <w:lang w:val="en-US"/>
        </w:rPr>
        <w:t xml:space="preserve"> that what the system does is to make sure accommodation is found that is suitable for the specific individual and his or her </w:t>
      </w:r>
      <w:r w:rsidR="00F5350C" w:rsidRPr="00602F08">
        <w:rPr>
          <w:rStyle w:val="normaltextrun"/>
          <w:rFonts w:ascii="Times New Roman" w:hAnsi="Times New Roman"/>
          <w:lang w:val="en-US"/>
        </w:rPr>
        <w:t>needs, including as to location.</w:t>
      </w:r>
    </w:p>
    <w:p w14:paraId="7991DA93" w14:textId="77777777" w:rsidR="00F5350C" w:rsidRPr="00602F08" w:rsidRDefault="00F5350C" w:rsidP="00B6212D">
      <w:pPr>
        <w:pStyle w:val="ListParagraph"/>
        <w:ind w:left="687"/>
        <w:jc w:val="both"/>
        <w:rPr>
          <w:rStyle w:val="normaltextrun"/>
          <w:rFonts w:ascii="Times New Roman" w:hAnsi="Times New Roman"/>
          <w:lang w:val="en-US"/>
        </w:rPr>
      </w:pPr>
    </w:p>
    <w:p w14:paraId="234E0B3D" w14:textId="20AC96C0" w:rsidR="00220D6C" w:rsidRPr="00602F08" w:rsidRDefault="00492946"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Th</w:t>
      </w:r>
      <w:r w:rsidR="00094102">
        <w:rPr>
          <w:rStyle w:val="normaltextrun"/>
          <w:rFonts w:ascii="Times New Roman" w:hAnsi="Times New Roman"/>
          <w:lang w:val="en-US"/>
        </w:rPr>
        <w:t>at</w:t>
      </w:r>
      <w:r w:rsidRPr="00602F08">
        <w:rPr>
          <w:rStyle w:val="normaltextrun"/>
          <w:rFonts w:ascii="Times New Roman" w:hAnsi="Times New Roman"/>
          <w:lang w:val="en-US"/>
        </w:rPr>
        <w:t xml:space="preserve"> argument</w:t>
      </w:r>
      <w:r w:rsidR="00F5350C" w:rsidRPr="00602F08">
        <w:rPr>
          <w:rStyle w:val="normaltextrun"/>
          <w:rFonts w:ascii="Times New Roman" w:hAnsi="Times New Roman"/>
          <w:lang w:val="en-US"/>
        </w:rPr>
        <w:t xml:space="preserve"> may be debatable in individual cases. But </w:t>
      </w:r>
      <w:r w:rsidRPr="00602F08">
        <w:rPr>
          <w:rStyle w:val="normaltextrun"/>
          <w:rFonts w:ascii="Times New Roman" w:hAnsi="Times New Roman"/>
          <w:lang w:val="en-US"/>
        </w:rPr>
        <w:t xml:space="preserve">it does not meet the </w:t>
      </w:r>
      <w:r w:rsidR="00220D6C" w:rsidRPr="00602F08">
        <w:rPr>
          <w:rStyle w:val="normaltextrun"/>
          <w:rFonts w:ascii="Times New Roman" w:hAnsi="Times New Roman"/>
          <w:lang w:val="en-US"/>
        </w:rPr>
        <w:t>issue</w:t>
      </w:r>
      <w:r w:rsidR="00762BA8" w:rsidRPr="00602F08">
        <w:rPr>
          <w:rStyle w:val="normaltextrun"/>
          <w:rFonts w:ascii="Times New Roman" w:hAnsi="Times New Roman"/>
          <w:lang w:val="en-US"/>
        </w:rPr>
        <w:t xml:space="preserve"> under consideration in these proceedings</w:t>
      </w:r>
      <w:r w:rsidR="00220D6C" w:rsidRPr="00602F08">
        <w:rPr>
          <w:rStyle w:val="normaltextrun"/>
          <w:rFonts w:ascii="Times New Roman" w:hAnsi="Times New Roman"/>
          <w:lang w:val="en-US"/>
        </w:rPr>
        <w:t xml:space="preserve"> which is the </w:t>
      </w:r>
      <w:r w:rsidR="006A1ECA" w:rsidRPr="00602F08">
        <w:rPr>
          <w:rStyle w:val="normaltextrun"/>
          <w:rFonts w:ascii="Times New Roman" w:hAnsi="Times New Roman"/>
          <w:lang w:val="en-US"/>
        </w:rPr>
        <w:t xml:space="preserve">systemic </w:t>
      </w:r>
      <w:r w:rsidR="00220D6C" w:rsidRPr="00602F08">
        <w:rPr>
          <w:rStyle w:val="normaltextrun"/>
          <w:rFonts w:ascii="Times New Roman" w:hAnsi="Times New Roman"/>
          <w:lang w:val="en-US"/>
        </w:rPr>
        <w:t>issue of timing of provision.</w:t>
      </w:r>
    </w:p>
    <w:p w14:paraId="2A47ECC3" w14:textId="008FAF8B" w:rsidR="00094FC4" w:rsidRPr="00602F08" w:rsidRDefault="00867802" w:rsidP="00B6212D">
      <w:pPr>
        <w:jc w:val="both"/>
        <w:rPr>
          <w:rStyle w:val="normaltextrun"/>
          <w:lang w:val="en-US"/>
        </w:rPr>
      </w:pPr>
      <w:r w:rsidRPr="00602F08">
        <w:rPr>
          <w:rStyle w:val="normaltextrun"/>
          <w:lang w:val="en-US"/>
        </w:rPr>
        <w:t xml:space="preserve"> </w:t>
      </w:r>
    </w:p>
    <w:p w14:paraId="375156BD" w14:textId="77777777" w:rsidR="00220D6C" w:rsidRPr="00602F08" w:rsidRDefault="00220D6C" w:rsidP="00B6212D">
      <w:pPr>
        <w:ind w:firstLine="720"/>
        <w:jc w:val="both"/>
        <w:rPr>
          <w:rStyle w:val="normaltextrun"/>
          <w:u w:val="single"/>
          <w:lang w:val="en-US"/>
        </w:rPr>
      </w:pPr>
    </w:p>
    <w:p w14:paraId="088B52F6" w14:textId="42D7BFA5" w:rsidR="006817E7" w:rsidRPr="00602F08" w:rsidRDefault="00AC3B51" w:rsidP="00B6212D">
      <w:pPr>
        <w:ind w:firstLine="720"/>
        <w:jc w:val="both"/>
        <w:rPr>
          <w:rStyle w:val="normaltextrun"/>
          <w:u w:val="single"/>
          <w:lang w:val="en-US"/>
        </w:rPr>
      </w:pPr>
      <w:r w:rsidRPr="00602F08">
        <w:rPr>
          <w:rStyle w:val="normaltextrun"/>
          <w:u w:val="single"/>
          <w:lang w:val="en-US"/>
        </w:rPr>
        <w:t>Failing to monitor</w:t>
      </w:r>
    </w:p>
    <w:p w14:paraId="4FCAFF22" w14:textId="39AA9125" w:rsidR="000C5ECA" w:rsidRPr="00602F08" w:rsidRDefault="000C5ECA" w:rsidP="00B6212D">
      <w:pPr>
        <w:jc w:val="both"/>
        <w:rPr>
          <w:rStyle w:val="normaltextrun"/>
          <w:lang w:val="en-US"/>
        </w:rPr>
      </w:pPr>
    </w:p>
    <w:p w14:paraId="14D4E107" w14:textId="7A2EF87F" w:rsidR="00102223" w:rsidRDefault="005B101E" w:rsidP="00B6212D">
      <w:pPr>
        <w:numPr>
          <w:ilvl w:val="0"/>
          <w:numId w:val="10"/>
        </w:numPr>
        <w:jc w:val="both"/>
        <w:rPr>
          <w:rStyle w:val="normaltextrun"/>
          <w:lang w:val="en-US"/>
        </w:rPr>
      </w:pPr>
      <w:r w:rsidRPr="00602F08">
        <w:rPr>
          <w:rStyle w:val="normaltextrun"/>
          <w:lang w:val="en-US"/>
        </w:rPr>
        <w:t>As noted above</w:t>
      </w:r>
      <w:r w:rsidR="000C7314">
        <w:rPr>
          <w:rStyle w:val="normaltextrun"/>
          <w:lang w:val="en-US"/>
        </w:rPr>
        <w:t>,</w:t>
      </w:r>
      <w:r w:rsidRPr="00602F08">
        <w:rPr>
          <w:rStyle w:val="normaltextrun"/>
          <w:lang w:val="en-US"/>
        </w:rPr>
        <w:t xml:space="preserve"> </w:t>
      </w:r>
      <w:r w:rsidR="000C5ECA" w:rsidRPr="00602F08">
        <w:rPr>
          <w:rStyle w:val="normaltextrun"/>
          <w:lang w:val="en-US"/>
        </w:rPr>
        <w:t xml:space="preserve">the Secretary of State </w:t>
      </w:r>
      <w:r w:rsidRPr="00602F08">
        <w:rPr>
          <w:rStyle w:val="normaltextrun"/>
          <w:lang w:val="en-US"/>
        </w:rPr>
        <w:t xml:space="preserve">accepts </w:t>
      </w:r>
      <w:r w:rsidR="000C5ECA" w:rsidRPr="00602F08">
        <w:rPr>
          <w:rStyle w:val="normaltextrun"/>
          <w:lang w:val="en-US"/>
        </w:rPr>
        <w:t xml:space="preserve">that there is no monitoring of the numbers of disabled applicants. </w:t>
      </w:r>
    </w:p>
    <w:p w14:paraId="615D317E" w14:textId="77777777" w:rsidR="00102223" w:rsidRDefault="00102223" w:rsidP="004A2B01">
      <w:pPr>
        <w:jc w:val="both"/>
        <w:rPr>
          <w:rStyle w:val="normaltextrun"/>
          <w:lang w:val="en-US"/>
        </w:rPr>
      </w:pPr>
    </w:p>
    <w:p w14:paraId="7E57D9D4" w14:textId="46898C7E" w:rsidR="000C5ECA" w:rsidRPr="00602F08" w:rsidRDefault="00EF0C5A" w:rsidP="00B6212D">
      <w:pPr>
        <w:numPr>
          <w:ilvl w:val="0"/>
          <w:numId w:val="10"/>
        </w:numPr>
        <w:jc w:val="both"/>
        <w:rPr>
          <w:rStyle w:val="normaltextrun"/>
          <w:lang w:val="en-US"/>
        </w:rPr>
      </w:pPr>
      <w:r>
        <w:rPr>
          <w:rStyle w:val="normaltextrun"/>
          <w:lang w:val="en-US"/>
        </w:rPr>
        <w:t>There is elaboration</w:t>
      </w:r>
      <w:r w:rsidR="00EB20C1" w:rsidRPr="00602F08">
        <w:rPr>
          <w:rStyle w:val="normaltextrun"/>
          <w:lang w:val="en-US"/>
        </w:rPr>
        <w:t xml:space="preserve"> in a letter </w:t>
      </w:r>
      <w:r w:rsidR="0054748D" w:rsidRPr="00602F08">
        <w:rPr>
          <w:rStyle w:val="normaltextrun"/>
          <w:lang w:val="en-US"/>
        </w:rPr>
        <w:t>dated 15 July 2020 from the Government Legal Department to AA’s solicitors</w:t>
      </w:r>
      <w:r>
        <w:rPr>
          <w:rStyle w:val="normaltextrun"/>
          <w:lang w:val="en-US"/>
        </w:rPr>
        <w:t xml:space="preserve"> in which</w:t>
      </w:r>
      <w:r w:rsidR="00F0764D" w:rsidRPr="00602F08">
        <w:rPr>
          <w:rStyle w:val="normaltextrun"/>
          <w:lang w:val="en-US"/>
        </w:rPr>
        <w:t xml:space="preserve"> the following responses are given to a Part 18 Request dated 9 June 2020:</w:t>
      </w:r>
    </w:p>
    <w:p w14:paraId="131B0823" w14:textId="0F13E476" w:rsidR="00F0764D" w:rsidRPr="00602F08" w:rsidRDefault="00F0764D" w:rsidP="00B6212D">
      <w:pPr>
        <w:ind w:left="687"/>
        <w:jc w:val="both"/>
        <w:rPr>
          <w:rStyle w:val="normaltextrun"/>
          <w:lang w:val="en-US"/>
        </w:rPr>
      </w:pPr>
    </w:p>
    <w:p w14:paraId="0A40B257" w14:textId="1778D15D" w:rsidR="00F0764D" w:rsidRPr="00602F08" w:rsidRDefault="00F0764D" w:rsidP="00B6212D">
      <w:pPr>
        <w:ind w:left="1440"/>
        <w:jc w:val="both"/>
        <w:rPr>
          <w:rStyle w:val="normaltextrun"/>
          <w:lang w:val="en-US"/>
        </w:rPr>
      </w:pPr>
      <w:r w:rsidRPr="00602F08">
        <w:rPr>
          <w:rStyle w:val="normaltextrun"/>
          <w:lang w:val="en-US"/>
        </w:rPr>
        <w:t>“</w:t>
      </w:r>
      <w:r w:rsidR="00AA2B0F" w:rsidRPr="00602F08">
        <w:rPr>
          <w:rStyle w:val="normaltextrun"/>
          <w:lang w:val="en-US"/>
        </w:rPr>
        <w:t>i) whether a person in receipt of s.4 support is recorded as being disabled, and how or when this information is monitored</w:t>
      </w:r>
      <w:r w:rsidR="00C20657" w:rsidRPr="00602F08">
        <w:rPr>
          <w:rStyle w:val="normaltextrun"/>
          <w:lang w:val="en-US"/>
        </w:rPr>
        <w:t xml:space="preserve"> (questions 1 and 2);</w:t>
      </w:r>
    </w:p>
    <w:p w14:paraId="11049E6D" w14:textId="793E7391" w:rsidR="00C20657" w:rsidRPr="00602F08" w:rsidRDefault="00C20657" w:rsidP="00B6212D">
      <w:pPr>
        <w:ind w:left="1440"/>
        <w:jc w:val="both"/>
        <w:rPr>
          <w:rStyle w:val="normaltextrun"/>
          <w:lang w:val="en-US"/>
        </w:rPr>
      </w:pPr>
    </w:p>
    <w:p w14:paraId="6BE475D0" w14:textId="6282F860" w:rsidR="00C20657" w:rsidRPr="00602F08" w:rsidRDefault="00C20657" w:rsidP="00B6212D">
      <w:pPr>
        <w:ind w:left="1440"/>
        <w:jc w:val="both"/>
        <w:rPr>
          <w:rStyle w:val="normaltextrun"/>
          <w:i/>
          <w:iCs/>
          <w:lang w:val="en-US"/>
        </w:rPr>
      </w:pPr>
      <w:r w:rsidRPr="00602F08">
        <w:rPr>
          <w:rStyle w:val="normaltextrun"/>
          <w:i/>
          <w:iCs/>
          <w:lang w:val="en-US"/>
        </w:rPr>
        <w:t>This information (whether a s.4 recipient is disabled) is not routinely re</w:t>
      </w:r>
      <w:r w:rsidR="003A1080" w:rsidRPr="00602F08">
        <w:rPr>
          <w:rStyle w:val="normaltextrun"/>
          <w:i/>
          <w:iCs/>
          <w:lang w:val="en-US"/>
        </w:rPr>
        <w:t>c</w:t>
      </w:r>
      <w:r w:rsidRPr="00602F08">
        <w:rPr>
          <w:rStyle w:val="normaltextrun"/>
          <w:i/>
          <w:iCs/>
          <w:lang w:val="en-US"/>
        </w:rPr>
        <w:t>orded and when recorded is not done so as an easily extractable piece of data in a single location and it is not monitored. This is because references to an individual</w:t>
      </w:r>
      <w:r w:rsidR="00D45EB7" w:rsidRPr="00602F08">
        <w:rPr>
          <w:rStyle w:val="normaltextrun"/>
          <w:i/>
          <w:iCs/>
          <w:lang w:val="en-US"/>
        </w:rPr>
        <w:t xml:space="preserve">’s disability are case specific and are related to their </w:t>
      </w:r>
      <w:r w:rsidR="003A1080" w:rsidRPr="00602F08">
        <w:rPr>
          <w:rStyle w:val="normaltextrun"/>
          <w:i/>
          <w:iCs/>
          <w:lang w:val="en-US"/>
        </w:rPr>
        <w:t>accommodation</w:t>
      </w:r>
      <w:r w:rsidR="00D45EB7" w:rsidRPr="00602F08">
        <w:rPr>
          <w:rStyle w:val="normaltextrun"/>
          <w:i/>
          <w:iCs/>
          <w:lang w:val="en-US"/>
        </w:rPr>
        <w:t xml:space="preserve"> needs. Separate statistics on the number of disabled s.4 recipients are not held.</w:t>
      </w:r>
    </w:p>
    <w:p w14:paraId="73130A36" w14:textId="3C7BA91C" w:rsidR="00D45EB7" w:rsidRPr="00602F08" w:rsidRDefault="00D45EB7" w:rsidP="00B6212D">
      <w:pPr>
        <w:ind w:left="1440"/>
        <w:jc w:val="both"/>
        <w:rPr>
          <w:rStyle w:val="normaltextrun"/>
          <w:lang w:val="en-US"/>
        </w:rPr>
      </w:pPr>
    </w:p>
    <w:p w14:paraId="6F137BCC" w14:textId="336256AB" w:rsidR="00D45EB7" w:rsidRPr="00602F08" w:rsidRDefault="00D45EB7" w:rsidP="00B6212D">
      <w:pPr>
        <w:ind w:left="1440"/>
        <w:jc w:val="both"/>
        <w:rPr>
          <w:rStyle w:val="normaltextrun"/>
          <w:lang w:val="en-US"/>
        </w:rPr>
      </w:pPr>
      <w:r w:rsidRPr="00602F08">
        <w:rPr>
          <w:rStyle w:val="normaltextrun"/>
          <w:lang w:val="en-US"/>
        </w:rPr>
        <w:t>ii) whether the Home Office Performance Reporting and Analysis Unit records, documents or monitors whether recipients of s.4 support are disabled (question 3);</w:t>
      </w:r>
    </w:p>
    <w:p w14:paraId="5EA3B6FC" w14:textId="49AFCBB8" w:rsidR="00D45EB7" w:rsidRPr="00602F08" w:rsidRDefault="00D45EB7" w:rsidP="00B6212D">
      <w:pPr>
        <w:ind w:left="1440"/>
        <w:jc w:val="both"/>
        <w:rPr>
          <w:rStyle w:val="normaltextrun"/>
          <w:lang w:val="en-US"/>
        </w:rPr>
      </w:pPr>
    </w:p>
    <w:p w14:paraId="78273A71" w14:textId="33472AF9" w:rsidR="00D45EB7" w:rsidRPr="00602F08" w:rsidRDefault="00D45EB7" w:rsidP="00B6212D">
      <w:pPr>
        <w:ind w:left="1440"/>
        <w:jc w:val="both"/>
        <w:rPr>
          <w:rStyle w:val="normaltextrun"/>
          <w:i/>
          <w:iCs/>
          <w:lang w:val="en-US"/>
        </w:rPr>
      </w:pPr>
      <w:r w:rsidRPr="00602F08">
        <w:rPr>
          <w:rStyle w:val="normaltextrun"/>
          <w:i/>
          <w:iCs/>
          <w:lang w:val="en-US"/>
        </w:rPr>
        <w:t>The HO Performance Reporting and Analysis Unit does not document or monitor whether s.4 recipients are disabled.</w:t>
      </w:r>
    </w:p>
    <w:p w14:paraId="4C4872AB" w14:textId="1263DD4B" w:rsidR="00D45EB7" w:rsidRPr="00602F08" w:rsidRDefault="00D45EB7" w:rsidP="00B6212D">
      <w:pPr>
        <w:ind w:left="1440"/>
        <w:jc w:val="both"/>
        <w:rPr>
          <w:rStyle w:val="normaltextrun"/>
          <w:lang w:val="en-US"/>
        </w:rPr>
      </w:pPr>
    </w:p>
    <w:p w14:paraId="7153ABB1" w14:textId="77777777" w:rsidR="00163269" w:rsidRPr="00602F08" w:rsidRDefault="00A31499" w:rsidP="00B6212D">
      <w:pPr>
        <w:ind w:left="1440"/>
        <w:jc w:val="both"/>
        <w:rPr>
          <w:rStyle w:val="normaltextrun"/>
          <w:lang w:val="en-US"/>
        </w:rPr>
      </w:pPr>
      <w:r w:rsidRPr="00602F08">
        <w:rPr>
          <w:rStyle w:val="normaltextrun"/>
          <w:lang w:val="en-US"/>
        </w:rPr>
        <w:t>iii) the number of disabled and non-disabled people in receipt of s.4 support</w:t>
      </w:r>
      <w:r w:rsidR="00163269" w:rsidRPr="00602F08">
        <w:rPr>
          <w:rStyle w:val="normaltextrun"/>
          <w:lang w:val="en-US"/>
        </w:rPr>
        <w:t xml:space="preserve"> (question 4);</w:t>
      </w:r>
    </w:p>
    <w:p w14:paraId="2750C5A7" w14:textId="77777777" w:rsidR="00163269" w:rsidRPr="00602F08" w:rsidRDefault="00163269" w:rsidP="00B6212D">
      <w:pPr>
        <w:ind w:left="1440"/>
        <w:jc w:val="both"/>
        <w:rPr>
          <w:rStyle w:val="normaltextrun"/>
          <w:lang w:val="en-US"/>
        </w:rPr>
      </w:pPr>
    </w:p>
    <w:p w14:paraId="17AF3827" w14:textId="77777777" w:rsidR="00163269" w:rsidRPr="00602F08" w:rsidRDefault="00163269" w:rsidP="00B6212D">
      <w:pPr>
        <w:ind w:left="1440"/>
        <w:jc w:val="both"/>
        <w:rPr>
          <w:rStyle w:val="normaltextrun"/>
          <w:lang w:val="en-US"/>
        </w:rPr>
      </w:pPr>
      <w:r w:rsidRPr="00602F08">
        <w:rPr>
          <w:rStyle w:val="normaltextrun"/>
          <w:lang w:val="en-US"/>
        </w:rPr>
        <w:t xml:space="preserve">… </w:t>
      </w:r>
    </w:p>
    <w:p w14:paraId="6DC28A5F" w14:textId="77777777" w:rsidR="00163269" w:rsidRPr="00602F08" w:rsidRDefault="00163269" w:rsidP="00B6212D">
      <w:pPr>
        <w:ind w:left="1440"/>
        <w:jc w:val="both"/>
        <w:rPr>
          <w:rStyle w:val="normaltextrun"/>
          <w:lang w:val="en-US"/>
        </w:rPr>
      </w:pPr>
    </w:p>
    <w:p w14:paraId="57A2D437" w14:textId="77777777" w:rsidR="001B625E" w:rsidRPr="00602F08" w:rsidRDefault="00163269" w:rsidP="00B6212D">
      <w:pPr>
        <w:ind w:left="1440"/>
        <w:jc w:val="both"/>
        <w:rPr>
          <w:rStyle w:val="normaltextrun"/>
          <w:i/>
          <w:iCs/>
          <w:lang w:val="en-US"/>
        </w:rPr>
      </w:pPr>
      <w:r w:rsidRPr="00602F08">
        <w:rPr>
          <w:rStyle w:val="normaltextrun"/>
          <w:i/>
          <w:iCs/>
          <w:lang w:val="en-US"/>
        </w:rPr>
        <w:t xml:space="preserve">The number of </w:t>
      </w:r>
      <w:r w:rsidR="00587C63" w:rsidRPr="00602F08">
        <w:rPr>
          <w:rStyle w:val="normaltextrun"/>
          <w:i/>
          <w:iCs/>
          <w:lang w:val="en-US"/>
        </w:rPr>
        <w:t>disabled recipients is not specifically recorded and could only be collated by manually reading case records, which would be disproportionately time consuming and expensive.</w:t>
      </w:r>
    </w:p>
    <w:p w14:paraId="490E7136" w14:textId="77777777" w:rsidR="001B625E" w:rsidRPr="00602F08" w:rsidRDefault="001B625E" w:rsidP="00B6212D">
      <w:pPr>
        <w:ind w:left="1440"/>
        <w:jc w:val="both"/>
        <w:rPr>
          <w:rStyle w:val="normaltextrun"/>
          <w:lang w:val="en-US"/>
        </w:rPr>
      </w:pPr>
    </w:p>
    <w:p w14:paraId="1A086C58" w14:textId="53D02DC0" w:rsidR="00722429" w:rsidRPr="00602F08" w:rsidRDefault="001B625E" w:rsidP="00B6212D">
      <w:pPr>
        <w:ind w:left="1440"/>
        <w:jc w:val="both"/>
        <w:rPr>
          <w:rStyle w:val="normaltextrun"/>
          <w:lang w:val="en-US"/>
        </w:rPr>
      </w:pPr>
      <w:r w:rsidRPr="00602F08">
        <w:rPr>
          <w:rStyle w:val="normaltextrun"/>
          <w:lang w:val="en-US"/>
        </w:rPr>
        <w:t xml:space="preserve">iv) </w:t>
      </w:r>
      <w:r w:rsidR="00DE6E08" w:rsidRPr="00602F08">
        <w:rPr>
          <w:rStyle w:val="normaltextrun"/>
          <w:lang w:val="en-US"/>
        </w:rPr>
        <w:t>how both the Home Office</w:t>
      </w:r>
      <w:r w:rsidR="00275693" w:rsidRPr="00602F08">
        <w:rPr>
          <w:rStyle w:val="normaltextrun"/>
          <w:lang w:val="en-US"/>
        </w:rPr>
        <w:t xml:space="preserve"> and [the </w:t>
      </w:r>
      <w:r w:rsidR="002844F8">
        <w:rPr>
          <w:rStyle w:val="normaltextrun"/>
          <w:lang w:val="en-US"/>
        </w:rPr>
        <w:t>contracted accommo</w:t>
      </w:r>
      <w:r w:rsidR="00F4685A">
        <w:rPr>
          <w:rStyle w:val="normaltextrun"/>
          <w:lang w:val="en-US"/>
        </w:rPr>
        <w:t xml:space="preserve">dation </w:t>
      </w:r>
      <w:r w:rsidR="00275693" w:rsidRPr="00602F08">
        <w:rPr>
          <w:rStyle w:val="normaltextrun"/>
          <w:lang w:val="en-US"/>
        </w:rPr>
        <w:t>provider], separately, record that a person is disabled when this information comes to light outside of the initial application for support, including copies of internal guidance, policies or practice (question 5);</w:t>
      </w:r>
    </w:p>
    <w:p w14:paraId="074858D3" w14:textId="77777777" w:rsidR="00722429" w:rsidRPr="00602F08" w:rsidRDefault="00722429" w:rsidP="00B6212D">
      <w:pPr>
        <w:ind w:left="1440"/>
        <w:jc w:val="both"/>
        <w:rPr>
          <w:rStyle w:val="normaltextrun"/>
          <w:lang w:val="en-US"/>
        </w:rPr>
      </w:pPr>
    </w:p>
    <w:p w14:paraId="4608043C" w14:textId="77777777" w:rsidR="00394B40" w:rsidRPr="00602F08" w:rsidRDefault="00722429" w:rsidP="00B6212D">
      <w:pPr>
        <w:ind w:left="1440"/>
        <w:jc w:val="both"/>
        <w:rPr>
          <w:rStyle w:val="normaltextrun"/>
          <w:i/>
          <w:iCs/>
          <w:lang w:val="en-US"/>
        </w:rPr>
      </w:pPr>
      <w:r w:rsidRPr="00602F08">
        <w:rPr>
          <w:rStyle w:val="normaltextrun"/>
          <w:i/>
          <w:iCs/>
          <w:lang w:val="en-US"/>
        </w:rPr>
        <w:t>See above answers</w:t>
      </w:r>
    </w:p>
    <w:p w14:paraId="159642DC" w14:textId="77777777" w:rsidR="00394B40" w:rsidRPr="00602F08" w:rsidRDefault="00394B40" w:rsidP="00B6212D">
      <w:pPr>
        <w:ind w:left="1440"/>
        <w:jc w:val="both"/>
        <w:rPr>
          <w:rStyle w:val="normaltextrun"/>
          <w:lang w:val="en-US"/>
        </w:rPr>
      </w:pPr>
    </w:p>
    <w:p w14:paraId="02149074" w14:textId="77777777" w:rsidR="00394B40" w:rsidRPr="00602F08" w:rsidRDefault="00394B40" w:rsidP="00B6212D">
      <w:pPr>
        <w:ind w:left="1440"/>
        <w:jc w:val="both"/>
        <w:rPr>
          <w:rStyle w:val="normaltextrun"/>
          <w:lang w:val="en-US"/>
        </w:rPr>
      </w:pPr>
      <w:r w:rsidRPr="00602F08">
        <w:rPr>
          <w:rStyle w:val="normaltextrun"/>
          <w:lang w:val="en-US"/>
        </w:rPr>
        <w:t>…</w:t>
      </w:r>
    </w:p>
    <w:p w14:paraId="2E293E9D" w14:textId="77777777" w:rsidR="00394B40" w:rsidRPr="00602F08" w:rsidRDefault="00394B40" w:rsidP="00B6212D">
      <w:pPr>
        <w:ind w:left="1440"/>
        <w:jc w:val="both"/>
        <w:rPr>
          <w:rStyle w:val="normaltextrun"/>
          <w:lang w:val="en-US"/>
        </w:rPr>
      </w:pPr>
    </w:p>
    <w:p w14:paraId="09218C57" w14:textId="77777777" w:rsidR="00E8239A" w:rsidRPr="00602F08" w:rsidRDefault="00394B40" w:rsidP="00B6212D">
      <w:pPr>
        <w:ind w:left="1440"/>
        <w:jc w:val="both"/>
        <w:rPr>
          <w:rStyle w:val="normaltextrun"/>
          <w:i/>
          <w:iCs/>
          <w:lang w:val="en-US"/>
        </w:rPr>
      </w:pPr>
      <w:r w:rsidRPr="00602F08">
        <w:rPr>
          <w:rStyle w:val="normaltextrun"/>
          <w:i/>
          <w:iCs/>
          <w:lang w:val="en-US"/>
        </w:rPr>
        <w:t>As explained above, statistics are not kept by reference to disability</w:t>
      </w:r>
    </w:p>
    <w:p w14:paraId="2719A419" w14:textId="77777777" w:rsidR="00E8239A" w:rsidRPr="00602F08" w:rsidRDefault="00E8239A" w:rsidP="00B6212D">
      <w:pPr>
        <w:ind w:left="1440"/>
        <w:jc w:val="both"/>
        <w:rPr>
          <w:rStyle w:val="normaltextrun"/>
          <w:lang w:val="en-US"/>
        </w:rPr>
      </w:pPr>
    </w:p>
    <w:p w14:paraId="1C2D518D" w14:textId="3F469474" w:rsidR="00D45EB7" w:rsidRPr="00602F08" w:rsidRDefault="00E8239A" w:rsidP="00B6212D">
      <w:pPr>
        <w:ind w:left="1440"/>
        <w:jc w:val="both"/>
        <w:rPr>
          <w:rStyle w:val="normaltextrun"/>
          <w:lang w:val="en-US"/>
        </w:rPr>
      </w:pPr>
      <w:r w:rsidRPr="00602F08">
        <w:rPr>
          <w:rStyle w:val="normaltextrun"/>
          <w:lang w:val="en-US"/>
        </w:rPr>
        <w:t>…”</w:t>
      </w:r>
      <w:r w:rsidR="00A31499" w:rsidRPr="00602F08">
        <w:rPr>
          <w:rStyle w:val="normaltextrun"/>
          <w:lang w:val="en-US"/>
        </w:rPr>
        <w:t xml:space="preserve"> </w:t>
      </w:r>
    </w:p>
    <w:p w14:paraId="561E89EA" w14:textId="77777777" w:rsidR="00770815" w:rsidRPr="00602F08" w:rsidRDefault="00770815" w:rsidP="00B6212D">
      <w:pPr>
        <w:jc w:val="both"/>
        <w:rPr>
          <w:rStyle w:val="normaltextrun"/>
          <w:lang w:val="en-US"/>
        </w:rPr>
      </w:pPr>
    </w:p>
    <w:p w14:paraId="68F1A751" w14:textId="76FF8578" w:rsidR="00957DC2" w:rsidRPr="00602F08" w:rsidRDefault="00B7799A" w:rsidP="00B6212D">
      <w:pPr>
        <w:pStyle w:val="ListParagraph"/>
        <w:numPr>
          <w:ilvl w:val="0"/>
          <w:numId w:val="10"/>
        </w:numPr>
        <w:jc w:val="both"/>
        <w:rPr>
          <w:rFonts w:ascii="Times New Roman" w:hAnsi="Times New Roman"/>
          <w:lang w:val="en-US"/>
        </w:rPr>
      </w:pPr>
      <w:r w:rsidRPr="00602F08">
        <w:rPr>
          <w:rFonts w:ascii="Times New Roman" w:hAnsi="Times New Roman"/>
          <w:lang w:eastAsia="en-GB"/>
        </w:rPr>
        <w:t>I have addressed earlier t</w:t>
      </w:r>
      <w:r w:rsidR="00580C9D" w:rsidRPr="00602F08">
        <w:rPr>
          <w:rFonts w:ascii="Times New Roman" w:hAnsi="Times New Roman"/>
          <w:lang w:eastAsia="en-GB"/>
        </w:rPr>
        <w:t>he Secretary of State</w:t>
      </w:r>
      <w:r w:rsidRPr="00602F08">
        <w:rPr>
          <w:rFonts w:ascii="Times New Roman" w:hAnsi="Times New Roman"/>
          <w:lang w:eastAsia="en-GB"/>
        </w:rPr>
        <w:t>’s</w:t>
      </w:r>
      <w:r w:rsidR="00580C9D" w:rsidRPr="00602F08">
        <w:rPr>
          <w:rFonts w:ascii="Times New Roman" w:hAnsi="Times New Roman"/>
          <w:lang w:eastAsia="en-GB"/>
        </w:rPr>
        <w:t xml:space="preserve"> </w:t>
      </w:r>
      <w:r w:rsidRPr="00602F08">
        <w:rPr>
          <w:rFonts w:ascii="Times New Roman" w:hAnsi="Times New Roman"/>
          <w:lang w:eastAsia="en-GB"/>
        </w:rPr>
        <w:t>position</w:t>
      </w:r>
      <w:r w:rsidR="00957DC2" w:rsidRPr="00602F08">
        <w:rPr>
          <w:rFonts w:ascii="Times New Roman" w:hAnsi="Times New Roman"/>
          <w:lang w:eastAsia="en-GB"/>
        </w:rPr>
        <w:t xml:space="preserve"> </w:t>
      </w:r>
      <w:r w:rsidR="00F4685A">
        <w:rPr>
          <w:rFonts w:ascii="Times New Roman" w:hAnsi="Times New Roman"/>
          <w:lang w:eastAsia="en-GB"/>
        </w:rPr>
        <w:t xml:space="preserve">that </w:t>
      </w:r>
      <w:r w:rsidR="00957DC2" w:rsidRPr="00602F08">
        <w:rPr>
          <w:rFonts w:ascii="Times New Roman" w:hAnsi="Times New Roman"/>
          <w:lang w:eastAsia="en-GB"/>
        </w:rPr>
        <w:t>there are a number of ways in which</w:t>
      </w:r>
      <w:r w:rsidR="00496F4E">
        <w:rPr>
          <w:rFonts w:ascii="Times New Roman" w:hAnsi="Times New Roman"/>
          <w:lang w:eastAsia="en-GB"/>
        </w:rPr>
        <w:t>,</w:t>
      </w:r>
      <w:r w:rsidR="00957DC2" w:rsidRPr="00602F08">
        <w:rPr>
          <w:rFonts w:ascii="Times New Roman" w:hAnsi="Times New Roman"/>
          <w:lang w:eastAsia="en-GB"/>
        </w:rPr>
        <w:t xml:space="preserve"> </w:t>
      </w:r>
      <w:r w:rsidR="00757B32" w:rsidRPr="00602F08">
        <w:rPr>
          <w:rFonts w:ascii="Times New Roman" w:hAnsi="Times New Roman"/>
          <w:lang w:eastAsia="en-GB"/>
        </w:rPr>
        <w:t>acting by her officials</w:t>
      </w:r>
      <w:r w:rsidR="00496F4E">
        <w:rPr>
          <w:rFonts w:ascii="Times New Roman" w:hAnsi="Times New Roman"/>
          <w:lang w:eastAsia="en-GB"/>
        </w:rPr>
        <w:t>,</w:t>
      </w:r>
      <w:r w:rsidR="00757B32" w:rsidRPr="00602F08">
        <w:rPr>
          <w:rFonts w:ascii="Times New Roman" w:hAnsi="Times New Roman"/>
          <w:lang w:eastAsia="en-GB"/>
        </w:rPr>
        <w:t xml:space="preserve"> </w:t>
      </w:r>
      <w:r w:rsidR="00580C9D" w:rsidRPr="00602F08">
        <w:rPr>
          <w:rFonts w:ascii="Times New Roman" w:hAnsi="Times New Roman"/>
          <w:lang w:eastAsia="en-GB"/>
        </w:rPr>
        <w:t xml:space="preserve">she </w:t>
      </w:r>
      <w:r w:rsidR="00957DC2" w:rsidRPr="00602F08">
        <w:rPr>
          <w:rFonts w:ascii="Times New Roman" w:hAnsi="Times New Roman"/>
          <w:lang w:eastAsia="en-GB"/>
        </w:rPr>
        <w:t>monitors contract compliance</w:t>
      </w:r>
      <w:r w:rsidR="00496F4E">
        <w:rPr>
          <w:rFonts w:ascii="Times New Roman" w:hAnsi="Times New Roman"/>
          <w:lang w:eastAsia="en-GB"/>
        </w:rPr>
        <w:t xml:space="preserve"> by the accommodation providers with whom she has contracted</w:t>
      </w:r>
      <w:r w:rsidR="006D3300">
        <w:rPr>
          <w:rFonts w:ascii="Times New Roman" w:hAnsi="Times New Roman"/>
          <w:lang w:eastAsia="en-GB"/>
        </w:rPr>
        <w:t xml:space="preserve">, including </w:t>
      </w:r>
      <w:r w:rsidR="005B6A57">
        <w:rPr>
          <w:rFonts w:ascii="Times New Roman" w:hAnsi="Times New Roman"/>
          <w:lang w:eastAsia="en-GB"/>
        </w:rPr>
        <w:t>the position with</w:t>
      </w:r>
      <w:r w:rsidR="000B54C6">
        <w:rPr>
          <w:rFonts w:ascii="Times New Roman" w:hAnsi="Times New Roman"/>
          <w:lang w:eastAsia="en-GB"/>
        </w:rPr>
        <w:t xml:space="preserve"> </w:t>
      </w:r>
      <w:r w:rsidR="00351145" w:rsidRPr="00602F08">
        <w:rPr>
          <w:rFonts w:ascii="Times New Roman" w:hAnsi="Times New Roman"/>
          <w:lang w:eastAsia="en-GB"/>
        </w:rPr>
        <w:t xml:space="preserve">KPIs and </w:t>
      </w:r>
      <w:r w:rsidR="005B6A57">
        <w:rPr>
          <w:rFonts w:ascii="Times New Roman" w:hAnsi="Times New Roman"/>
          <w:lang w:eastAsia="en-GB"/>
        </w:rPr>
        <w:t>the</w:t>
      </w:r>
      <w:r w:rsidR="00351145" w:rsidRPr="00602F08">
        <w:rPr>
          <w:rFonts w:ascii="Times New Roman" w:hAnsi="Times New Roman"/>
          <w:lang w:eastAsia="en-GB"/>
        </w:rPr>
        <w:t xml:space="preserve"> service credit regime</w:t>
      </w:r>
      <w:r w:rsidR="00496F4E">
        <w:rPr>
          <w:rFonts w:ascii="Times New Roman" w:hAnsi="Times New Roman"/>
          <w:lang w:eastAsia="en-GB"/>
        </w:rPr>
        <w:t>. T</w:t>
      </w:r>
      <w:r w:rsidR="00957DC2" w:rsidRPr="00602F08">
        <w:rPr>
          <w:rFonts w:ascii="Times New Roman" w:hAnsi="Times New Roman"/>
          <w:lang w:eastAsia="en-GB"/>
        </w:rPr>
        <w:t>he contract</w:t>
      </w:r>
      <w:r w:rsidR="00B02CFE" w:rsidRPr="00602F08">
        <w:rPr>
          <w:rFonts w:ascii="Times New Roman" w:hAnsi="Times New Roman"/>
          <w:lang w:eastAsia="en-GB"/>
        </w:rPr>
        <w:t xml:space="preserve"> regime</w:t>
      </w:r>
      <w:r w:rsidR="00957DC2" w:rsidRPr="00602F08">
        <w:rPr>
          <w:rFonts w:ascii="Times New Roman" w:hAnsi="Times New Roman"/>
          <w:lang w:eastAsia="en-GB"/>
        </w:rPr>
        <w:t xml:space="preserve"> also provides for a complaints system for users</w:t>
      </w:r>
      <w:r w:rsidR="00754A20" w:rsidRPr="00602F08">
        <w:rPr>
          <w:rFonts w:ascii="Times New Roman" w:hAnsi="Times New Roman"/>
          <w:lang w:eastAsia="en-GB"/>
        </w:rPr>
        <w:t>.</w:t>
      </w:r>
    </w:p>
    <w:p w14:paraId="4D1117E2" w14:textId="77777777" w:rsidR="009605B9" w:rsidRPr="00602F08" w:rsidRDefault="009605B9" w:rsidP="00B6212D">
      <w:pPr>
        <w:pStyle w:val="ListParagraph"/>
        <w:ind w:left="687"/>
        <w:jc w:val="both"/>
        <w:rPr>
          <w:rStyle w:val="normaltextrun"/>
          <w:rFonts w:ascii="Times New Roman" w:hAnsi="Times New Roman"/>
          <w:lang w:val="en-US"/>
        </w:rPr>
      </w:pPr>
    </w:p>
    <w:p w14:paraId="7B142F3A" w14:textId="55C660F2" w:rsidR="00FA6751" w:rsidRPr="00602F08" w:rsidRDefault="00AE6FEF"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On the particular point of the absence of monitoring of </w:t>
      </w:r>
      <w:r w:rsidR="006C6F96" w:rsidRPr="00602F08">
        <w:rPr>
          <w:rStyle w:val="normaltextrun"/>
          <w:rFonts w:ascii="Times New Roman" w:hAnsi="Times New Roman"/>
          <w:lang w:val="en-US"/>
        </w:rPr>
        <w:t>t</w:t>
      </w:r>
      <w:r w:rsidR="00FA6751" w:rsidRPr="00602F08">
        <w:rPr>
          <w:rStyle w:val="normaltextrun"/>
          <w:rFonts w:ascii="Times New Roman" w:hAnsi="Times New Roman"/>
          <w:lang w:val="en-US"/>
        </w:rPr>
        <w:t xml:space="preserve">he </w:t>
      </w:r>
      <w:r w:rsidR="00D75483" w:rsidRPr="00602F08">
        <w:rPr>
          <w:rStyle w:val="normaltextrun"/>
          <w:rFonts w:ascii="Times New Roman" w:hAnsi="Times New Roman"/>
          <w:lang w:val="en-US"/>
        </w:rPr>
        <w:t xml:space="preserve">numbers of disabled applicants, the </w:t>
      </w:r>
      <w:r w:rsidR="001E3C44" w:rsidRPr="00602F08">
        <w:rPr>
          <w:rStyle w:val="normaltextrun"/>
          <w:rFonts w:ascii="Times New Roman" w:hAnsi="Times New Roman"/>
          <w:lang w:val="en-US"/>
        </w:rPr>
        <w:t xml:space="preserve">argument on behalf of </w:t>
      </w:r>
      <w:r w:rsidR="003A1080" w:rsidRPr="00602F08">
        <w:rPr>
          <w:rStyle w:val="normaltextrun"/>
          <w:rFonts w:ascii="Times New Roman" w:hAnsi="Times New Roman"/>
          <w:lang w:val="en-US"/>
        </w:rPr>
        <w:t xml:space="preserve">the </w:t>
      </w:r>
      <w:r w:rsidR="00FA6751" w:rsidRPr="00602F08">
        <w:rPr>
          <w:rStyle w:val="normaltextrun"/>
          <w:rFonts w:ascii="Times New Roman" w:hAnsi="Times New Roman"/>
          <w:lang w:val="en-US"/>
        </w:rPr>
        <w:t>Secretary of State continued:</w:t>
      </w:r>
    </w:p>
    <w:p w14:paraId="5064BF1A" w14:textId="77777777" w:rsidR="00FA6751" w:rsidRPr="00602F08" w:rsidRDefault="00FA6751" w:rsidP="00B6212D">
      <w:pPr>
        <w:ind w:left="119"/>
        <w:jc w:val="both"/>
        <w:rPr>
          <w:rStyle w:val="normaltextrun"/>
          <w:lang w:val="en-US"/>
        </w:rPr>
      </w:pPr>
    </w:p>
    <w:p w14:paraId="3690D850" w14:textId="6B5AEF24" w:rsidR="0082202B" w:rsidRPr="00602F08" w:rsidRDefault="00FA6751" w:rsidP="00B6212D">
      <w:pPr>
        <w:ind w:left="1440"/>
        <w:jc w:val="both"/>
        <w:rPr>
          <w:rStyle w:val="normaltextrun"/>
          <w:lang w:val="en-US"/>
        </w:rPr>
      </w:pPr>
      <w:r w:rsidRPr="00602F08">
        <w:rPr>
          <w:rStyle w:val="normaltextrun"/>
          <w:lang w:val="en-US"/>
        </w:rPr>
        <w:t>“</w:t>
      </w:r>
      <w:r w:rsidR="00C96739">
        <w:rPr>
          <w:rStyle w:val="normaltextrun"/>
          <w:lang w:val="en-US"/>
        </w:rPr>
        <w:t>…</w:t>
      </w:r>
      <w:r w:rsidRPr="00602F08">
        <w:rPr>
          <w:rStyle w:val="normaltextrun"/>
          <w:lang w:val="en-US"/>
        </w:rPr>
        <w:t xml:space="preserve"> that data would not necessarily be helpful to [AA] or to [the Secretary of State’s accommodation provider] in ensuring that the individual and varying needs of s.4 applicants with disabilities are met. In addition, some s.4 applicants with disabilities may ultimately be accommodated by local authorities.” </w:t>
      </w:r>
    </w:p>
    <w:p w14:paraId="527297A2" w14:textId="4016DDD3" w:rsidR="00341A05" w:rsidRPr="00602F08" w:rsidRDefault="00341A05" w:rsidP="00B6212D">
      <w:pPr>
        <w:jc w:val="both"/>
        <w:rPr>
          <w:rStyle w:val="normaltextrun"/>
          <w:lang w:val="en-US"/>
        </w:rPr>
      </w:pPr>
    </w:p>
    <w:p w14:paraId="303B50DC" w14:textId="5496394C" w:rsidR="00F32B72" w:rsidRPr="00602F08" w:rsidRDefault="009605B9" w:rsidP="00B6212D">
      <w:pPr>
        <w:numPr>
          <w:ilvl w:val="0"/>
          <w:numId w:val="10"/>
        </w:numPr>
        <w:jc w:val="both"/>
        <w:rPr>
          <w:rStyle w:val="normaltextrun"/>
          <w:lang w:val="en-US"/>
        </w:rPr>
      </w:pPr>
      <w:r w:rsidRPr="00602F08">
        <w:rPr>
          <w:rStyle w:val="normaltextrun"/>
          <w:lang w:val="en-US"/>
        </w:rPr>
        <w:t>For AA, Ms Leventhal placed monitoring at the heart of what she said argued were the failings in the scheme operated. As she put it, if you do not monitor disability and the needs of those with a disability then you will not know the needs and the problem</w:t>
      </w:r>
      <w:r w:rsidR="00F32B72" w:rsidRPr="00602F08">
        <w:rPr>
          <w:rStyle w:val="normaltextrun"/>
          <w:lang w:val="en-US"/>
        </w:rPr>
        <w:t>s</w:t>
      </w:r>
      <w:r w:rsidRPr="00602F08">
        <w:rPr>
          <w:rStyle w:val="normaltextrun"/>
          <w:lang w:val="en-US"/>
        </w:rPr>
        <w:t xml:space="preserve"> (and, I would add, the solution</w:t>
      </w:r>
      <w:r w:rsidR="00F32B72" w:rsidRPr="00602F08">
        <w:rPr>
          <w:rStyle w:val="normaltextrun"/>
          <w:lang w:val="en-US"/>
        </w:rPr>
        <w:t>s</w:t>
      </w:r>
      <w:r w:rsidRPr="00602F08">
        <w:rPr>
          <w:rStyle w:val="normaltextrun"/>
          <w:lang w:val="en-US"/>
        </w:rPr>
        <w:t>).</w:t>
      </w:r>
      <w:r w:rsidR="00C254AC" w:rsidRPr="00602F08">
        <w:rPr>
          <w:rStyle w:val="normaltextrun"/>
          <w:lang w:val="en-US"/>
        </w:rPr>
        <w:t xml:space="preserve"> </w:t>
      </w:r>
    </w:p>
    <w:p w14:paraId="20264B23" w14:textId="77777777" w:rsidR="00F32B72" w:rsidRPr="00602F08" w:rsidRDefault="00F32B72" w:rsidP="00B6212D">
      <w:pPr>
        <w:ind w:left="687"/>
        <w:jc w:val="both"/>
        <w:rPr>
          <w:rStyle w:val="normaltextrun"/>
          <w:lang w:val="en-US"/>
        </w:rPr>
      </w:pPr>
    </w:p>
    <w:p w14:paraId="638AE40A" w14:textId="54442BED" w:rsidR="00C04BA7" w:rsidRPr="00602F08" w:rsidRDefault="00135B3A" w:rsidP="00B6212D">
      <w:pPr>
        <w:numPr>
          <w:ilvl w:val="0"/>
          <w:numId w:val="10"/>
        </w:numPr>
        <w:jc w:val="both"/>
        <w:rPr>
          <w:rStyle w:val="normaltextrun"/>
          <w:lang w:val="en-US"/>
        </w:rPr>
      </w:pPr>
      <w:r w:rsidRPr="00602F08">
        <w:rPr>
          <w:rStyle w:val="normaltextrun"/>
          <w:lang w:val="en-US"/>
        </w:rPr>
        <w:t xml:space="preserve">Even </w:t>
      </w:r>
      <w:r w:rsidR="00021A01" w:rsidRPr="00602F08">
        <w:rPr>
          <w:rStyle w:val="normaltextrun"/>
          <w:lang w:val="en-US"/>
        </w:rPr>
        <w:t xml:space="preserve">at the basic level of numbers, an understanding of how many </w:t>
      </w:r>
      <w:r w:rsidR="00E21291" w:rsidRPr="00602F08">
        <w:rPr>
          <w:rStyle w:val="normaltextrun"/>
          <w:lang w:val="en-US"/>
        </w:rPr>
        <w:t xml:space="preserve">disabled people </w:t>
      </w:r>
      <w:r w:rsidR="00B07F1B" w:rsidRPr="00602F08">
        <w:rPr>
          <w:rStyle w:val="normaltextrun"/>
          <w:lang w:val="en-US"/>
        </w:rPr>
        <w:t>are entitled to section 4(2) acco</w:t>
      </w:r>
      <w:r w:rsidR="00F949D1" w:rsidRPr="00602F08">
        <w:rPr>
          <w:rStyle w:val="normaltextrun"/>
          <w:lang w:val="en-US"/>
        </w:rPr>
        <w:t>m</w:t>
      </w:r>
      <w:r w:rsidR="00B07F1B" w:rsidRPr="00602F08">
        <w:rPr>
          <w:rStyle w:val="normaltextrun"/>
          <w:lang w:val="en-US"/>
        </w:rPr>
        <w:t>modation, how many</w:t>
      </w:r>
      <w:r w:rsidR="00F949D1" w:rsidRPr="00602F08">
        <w:rPr>
          <w:rStyle w:val="normaltextrun"/>
          <w:lang w:val="en-US"/>
        </w:rPr>
        <w:t xml:space="preserve"> are</w:t>
      </w:r>
      <w:r w:rsidR="004A00F4" w:rsidRPr="00602F08">
        <w:rPr>
          <w:rStyle w:val="normaltextrun"/>
          <w:lang w:val="en-US"/>
        </w:rPr>
        <w:t xml:space="preserve"> not being accommodated</w:t>
      </w:r>
      <w:r w:rsidR="00F949D1" w:rsidRPr="00602F08">
        <w:rPr>
          <w:rStyle w:val="normaltextrun"/>
          <w:lang w:val="en-US"/>
        </w:rPr>
        <w:t xml:space="preserve"> with</w:t>
      </w:r>
      <w:r w:rsidR="004A00F4" w:rsidRPr="00602F08">
        <w:rPr>
          <w:rStyle w:val="normaltextrun"/>
          <w:lang w:val="en-US"/>
        </w:rPr>
        <w:t>in</w:t>
      </w:r>
      <w:r w:rsidR="00F949D1" w:rsidRPr="00602F08">
        <w:rPr>
          <w:rStyle w:val="normaltextrun"/>
          <w:lang w:val="en-US"/>
        </w:rPr>
        <w:t xml:space="preserve"> a reasonable period of time</w:t>
      </w:r>
      <w:r w:rsidR="00D62724" w:rsidRPr="00602F08">
        <w:rPr>
          <w:rStyle w:val="normaltextrun"/>
          <w:lang w:val="en-US"/>
        </w:rPr>
        <w:t xml:space="preserve"> (and within what time</w:t>
      </w:r>
      <w:r w:rsidR="00F7745C" w:rsidRPr="00602F08">
        <w:rPr>
          <w:rStyle w:val="normaltextrun"/>
          <w:lang w:val="en-US"/>
        </w:rPr>
        <w:t>)</w:t>
      </w:r>
      <w:r w:rsidR="00586634" w:rsidRPr="00602F08">
        <w:rPr>
          <w:rStyle w:val="normaltextrun"/>
          <w:lang w:val="en-US"/>
        </w:rPr>
        <w:t xml:space="preserve">, </w:t>
      </w:r>
      <w:r w:rsidR="00EF0FC2" w:rsidRPr="00602F08">
        <w:rPr>
          <w:rStyle w:val="normaltextrun"/>
          <w:lang w:val="en-US"/>
        </w:rPr>
        <w:t>how many are being prioritised</w:t>
      </w:r>
      <w:r w:rsidR="00BD3F36" w:rsidRPr="00602F08">
        <w:rPr>
          <w:rStyle w:val="normaltextrun"/>
          <w:lang w:val="en-US"/>
        </w:rPr>
        <w:t>, how ma</w:t>
      </w:r>
      <w:r w:rsidR="006B5406" w:rsidRPr="00602F08">
        <w:rPr>
          <w:rStyle w:val="normaltextrun"/>
          <w:lang w:val="en-US"/>
        </w:rPr>
        <w:t>ny are not being accommodated with the priority set,</w:t>
      </w:r>
      <w:r w:rsidR="00EF0FC2" w:rsidRPr="00602F08">
        <w:rPr>
          <w:rStyle w:val="normaltextrun"/>
          <w:lang w:val="en-US"/>
        </w:rPr>
        <w:t xml:space="preserve"> </w:t>
      </w:r>
      <w:r w:rsidR="0082273D" w:rsidRPr="00602F08">
        <w:rPr>
          <w:rStyle w:val="normaltextrun"/>
          <w:lang w:val="en-US"/>
        </w:rPr>
        <w:t>how many are having to make applications to court to compel performance of the section 4(2) duty</w:t>
      </w:r>
      <w:r w:rsidR="00D62724" w:rsidRPr="00602F08">
        <w:rPr>
          <w:rStyle w:val="normaltextrun"/>
          <w:lang w:val="en-US"/>
        </w:rPr>
        <w:t xml:space="preserve">, would be among obvious and </w:t>
      </w:r>
      <w:r w:rsidR="00F7745C" w:rsidRPr="00602F08">
        <w:rPr>
          <w:rStyle w:val="normaltextrun"/>
          <w:lang w:val="en-US"/>
        </w:rPr>
        <w:t xml:space="preserve">essential requirements </w:t>
      </w:r>
      <w:r w:rsidR="007C354E" w:rsidRPr="00602F08">
        <w:rPr>
          <w:rStyle w:val="normaltextrun"/>
          <w:lang w:val="en-US"/>
        </w:rPr>
        <w:t>in any section 4</w:t>
      </w:r>
      <w:r w:rsidR="00945F2E" w:rsidRPr="00602F08">
        <w:rPr>
          <w:rStyle w:val="normaltextrun"/>
          <w:lang w:val="en-US"/>
        </w:rPr>
        <w:t>(2)</w:t>
      </w:r>
      <w:r w:rsidR="007C354E" w:rsidRPr="00602F08">
        <w:rPr>
          <w:rStyle w:val="normaltextrun"/>
          <w:lang w:val="en-US"/>
        </w:rPr>
        <w:t xml:space="preserve"> system</w:t>
      </w:r>
      <w:r w:rsidR="002B4ABF" w:rsidRPr="00602F08">
        <w:rPr>
          <w:rStyle w:val="normaltextrun"/>
          <w:lang w:val="en-US"/>
        </w:rPr>
        <w:t xml:space="preserve">. </w:t>
      </w:r>
      <w:r w:rsidR="00AD24DD">
        <w:rPr>
          <w:rStyle w:val="normaltextrun"/>
          <w:lang w:val="en-US"/>
        </w:rPr>
        <w:t xml:space="preserve">They would </w:t>
      </w:r>
      <w:r w:rsidR="005947A7">
        <w:rPr>
          <w:rStyle w:val="normaltextrun"/>
          <w:lang w:val="en-US"/>
        </w:rPr>
        <w:t>provide a start to making the</w:t>
      </w:r>
      <w:r w:rsidR="00E33A6C">
        <w:rPr>
          <w:rStyle w:val="normaltextrun"/>
          <w:lang w:val="en-US"/>
        </w:rPr>
        <w:t xml:space="preserve"> system work for disabled individuals.</w:t>
      </w:r>
    </w:p>
    <w:p w14:paraId="621CA7E6" w14:textId="77777777" w:rsidR="00C04BA7" w:rsidRPr="00602F08" w:rsidRDefault="00C04BA7" w:rsidP="00B6212D">
      <w:pPr>
        <w:ind w:left="687"/>
        <w:jc w:val="both"/>
        <w:rPr>
          <w:rStyle w:val="normaltextrun"/>
          <w:lang w:val="en-US"/>
        </w:rPr>
      </w:pPr>
    </w:p>
    <w:p w14:paraId="4848BA4C" w14:textId="26FF9DD9" w:rsidR="00341A05" w:rsidRPr="00602F08" w:rsidRDefault="00F32B72" w:rsidP="00B6212D">
      <w:pPr>
        <w:numPr>
          <w:ilvl w:val="0"/>
          <w:numId w:val="10"/>
        </w:numPr>
        <w:jc w:val="both"/>
        <w:rPr>
          <w:rStyle w:val="normaltextrun"/>
          <w:lang w:val="en-US"/>
        </w:rPr>
      </w:pPr>
      <w:r w:rsidRPr="00602F08">
        <w:rPr>
          <w:noProof/>
          <w:lang w:eastAsia="en-GB"/>
        </w:rPr>
        <mc:AlternateContent>
          <mc:Choice Requires="wpi">
            <w:drawing>
              <wp:anchor distT="0" distB="0" distL="114300" distR="114300" simplePos="0" relativeHeight="251660800" behindDoc="0" locked="0" layoutInCell="1" allowOverlap="1" wp14:anchorId="465B54C5" wp14:editId="431FC688">
                <wp:simplePos x="0" y="0"/>
                <wp:positionH relativeFrom="column">
                  <wp:posOffset>8242920</wp:posOffset>
                </wp:positionH>
                <wp:positionV relativeFrom="paragraph">
                  <wp:posOffset>-370380</wp:posOffset>
                </wp:positionV>
                <wp:extent cx="210600" cy="1230480"/>
                <wp:effectExtent l="38100" t="57150" r="37465" b="46355"/>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210600" cy="1230480"/>
                      </w14:xfrm>
                    </w14:contentPart>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4C7B2" id="Ink 1" o:spid="_x0000_s1026" type="#_x0000_t75" style="position:absolute;margin-left:648.35pt;margin-top:-29.85pt;width:18pt;height:98.3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">
                <v:imagedata r:id="rId19" o:title=""/>
              </v:shape>
            </w:pict>
          </mc:Fallback>
        </mc:AlternateContent>
      </w:r>
      <w:r w:rsidR="002B4ABF" w:rsidRPr="00602F08">
        <w:rPr>
          <w:rStyle w:val="normaltextrun"/>
          <w:lang w:val="en-US"/>
        </w:rPr>
        <w:t xml:space="preserve">The reference </w:t>
      </w:r>
      <w:r w:rsidR="00E33A6C">
        <w:rPr>
          <w:rStyle w:val="normaltextrun"/>
          <w:lang w:val="en-US"/>
        </w:rPr>
        <w:t xml:space="preserve">in the argument on behalf of the Secretary of State </w:t>
      </w:r>
      <w:r w:rsidR="002B4ABF" w:rsidRPr="00602F08">
        <w:rPr>
          <w:rStyle w:val="normaltextrun"/>
          <w:lang w:val="en-US"/>
        </w:rPr>
        <w:t xml:space="preserve">to “some” “may ultimately be” </w:t>
      </w:r>
      <w:r w:rsidR="005A5CD8" w:rsidRPr="00602F08">
        <w:rPr>
          <w:rStyle w:val="normaltextrun"/>
          <w:lang w:val="en-US"/>
        </w:rPr>
        <w:t>accommodated by local authorities</w:t>
      </w:r>
      <w:r w:rsidR="00C04BA7" w:rsidRPr="00602F08">
        <w:rPr>
          <w:rStyle w:val="normaltextrun"/>
          <w:lang w:val="en-US"/>
        </w:rPr>
        <w:t xml:space="preserve"> is </w:t>
      </w:r>
      <w:r w:rsidR="001F4F79" w:rsidRPr="00602F08">
        <w:rPr>
          <w:rStyle w:val="normaltextrun"/>
          <w:lang w:val="en-US"/>
        </w:rPr>
        <w:t>of note</w:t>
      </w:r>
      <w:r w:rsidR="00C04BA7" w:rsidRPr="00602F08">
        <w:rPr>
          <w:rStyle w:val="normaltextrun"/>
          <w:lang w:val="en-US"/>
        </w:rPr>
        <w:t xml:space="preserve">. It </w:t>
      </w:r>
      <w:r w:rsidR="00033DB3" w:rsidRPr="00602F08">
        <w:rPr>
          <w:rStyle w:val="normaltextrun"/>
          <w:lang w:val="en-US"/>
        </w:rPr>
        <w:t>should immediately prompt a concern to know how many and when</w:t>
      </w:r>
      <w:r w:rsidR="00C04BA7" w:rsidRPr="00602F08">
        <w:rPr>
          <w:rStyle w:val="normaltextrun"/>
          <w:lang w:val="en-US"/>
        </w:rPr>
        <w:t>. W</w:t>
      </w:r>
      <w:r w:rsidR="00033DB3" w:rsidRPr="00602F08">
        <w:rPr>
          <w:rStyle w:val="normaltextrun"/>
          <w:lang w:val="en-US"/>
        </w:rPr>
        <w:t xml:space="preserve">ithout that </w:t>
      </w:r>
      <w:r w:rsidR="0071650D" w:rsidRPr="00602F08">
        <w:rPr>
          <w:rStyle w:val="normaltextrun"/>
          <w:lang w:val="en-US"/>
        </w:rPr>
        <w:t xml:space="preserve">it is </w:t>
      </w:r>
      <w:r w:rsidR="003A1080" w:rsidRPr="00602F08">
        <w:rPr>
          <w:rStyle w:val="normaltextrun"/>
          <w:lang w:val="en-US"/>
        </w:rPr>
        <w:t xml:space="preserve">not </w:t>
      </w:r>
      <w:r w:rsidR="0071650D" w:rsidRPr="00602F08">
        <w:rPr>
          <w:rStyle w:val="normaltextrun"/>
          <w:lang w:val="en-US"/>
        </w:rPr>
        <w:t xml:space="preserve">possible to see whether the reference </w:t>
      </w:r>
      <w:r w:rsidR="00C04BA7" w:rsidRPr="00602F08">
        <w:rPr>
          <w:rStyle w:val="normaltextrun"/>
          <w:lang w:val="en-US"/>
        </w:rPr>
        <w:t>is to a feature that is satisfactory or unsatisfactory</w:t>
      </w:r>
      <w:r w:rsidR="00033DB3" w:rsidRPr="00602F08">
        <w:rPr>
          <w:rStyle w:val="normaltextrun"/>
          <w:lang w:val="en-US"/>
        </w:rPr>
        <w:t>.</w:t>
      </w:r>
    </w:p>
    <w:p w14:paraId="3514B344" w14:textId="77777777" w:rsidR="00942AC8" w:rsidRPr="00602F08" w:rsidRDefault="00942AC8" w:rsidP="00B6212D">
      <w:pPr>
        <w:pStyle w:val="ListParagraph"/>
        <w:jc w:val="both"/>
        <w:rPr>
          <w:rFonts w:ascii="Times New Roman" w:hAnsi="Times New Roman"/>
          <w:lang w:val="en-US"/>
        </w:rPr>
      </w:pPr>
    </w:p>
    <w:p w14:paraId="70778ACC" w14:textId="043EEC18" w:rsidR="00942AC8" w:rsidRPr="00602F08" w:rsidRDefault="00F53523" w:rsidP="00B6212D">
      <w:pPr>
        <w:pStyle w:val="ListParagraph"/>
        <w:numPr>
          <w:ilvl w:val="0"/>
          <w:numId w:val="10"/>
        </w:numPr>
        <w:jc w:val="both"/>
        <w:rPr>
          <w:rFonts w:ascii="Times New Roman" w:hAnsi="Times New Roman"/>
          <w:u w:val="single"/>
          <w:lang w:val="en-US"/>
        </w:rPr>
      </w:pPr>
      <w:r w:rsidRPr="00602F08">
        <w:rPr>
          <w:rFonts w:ascii="Times New Roman" w:hAnsi="Times New Roman"/>
          <w:lang w:val="en-US"/>
        </w:rPr>
        <w:t xml:space="preserve">The use of </w:t>
      </w:r>
      <w:r w:rsidR="00942AC8" w:rsidRPr="00602F08">
        <w:rPr>
          <w:rFonts w:ascii="Times New Roman" w:hAnsi="Times New Roman"/>
          <w:lang w:val="en-US"/>
        </w:rPr>
        <w:t>contractual KPIs</w:t>
      </w:r>
      <w:r w:rsidRPr="00602F08">
        <w:rPr>
          <w:rFonts w:ascii="Times New Roman" w:hAnsi="Times New Roman"/>
          <w:lang w:val="en-US"/>
        </w:rPr>
        <w:t xml:space="preserve"> and a service credit regime </w:t>
      </w:r>
      <w:r w:rsidR="0053280C" w:rsidRPr="00602F08">
        <w:rPr>
          <w:rFonts w:ascii="Times New Roman" w:hAnsi="Times New Roman"/>
          <w:lang w:val="en-US"/>
        </w:rPr>
        <w:t xml:space="preserve">may have its part to play, although the </w:t>
      </w:r>
      <w:r w:rsidR="009E27A7" w:rsidRPr="00602F08">
        <w:rPr>
          <w:rFonts w:ascii="Times New Roman" w:hAnsi="Times New Roman"/>
          <w:lang w:val="en-US"/>
        </w:rPr>
        <w:t>evidence in these proceedings</w:t>
      </w:r>
      <w:r w:rsidR="0053280C" w:rsidRPr="00602F08">
        <w:rPr>
          <w:rFonts w:ascii="Times New Roman" w:hAnsi="Times New Roman"/>
          <w:lang w:val="en-US"/>
        </w:rPr>
        <w:t xml:space="preserve"> </w:t>
      </w:r>
      <w:r w:rsidR="00A500F3" w:rsidRPr="00602F08">
        <w:rPr>
          <w:rFonts w:ascii="Times New Roman" w:hAnsi="Times New Roman"/>
          <w:lang w:val="en-US"/>
        </w:rPr>
        <w:t>suggests that even</w:t>
      </w:r>
      <w:r w:rsidR="0053280C" w:rsidRPr="00602F08">
        <w:rPr>
          <w:rFonts w:ascii="Times New Roman" w:hAnsi="Times New Roman"/>
          <w:lang w:val="en-US"/>
        </w:rPr>
        <w:t xml:space="preserve"> </w:t>
      </w:r>
      <w:r w:rsidR="00A500F3" w:rsidRPr="00602F08">
        <w:rPr>
          <w:rFonts w:ascii="Times New Roman" w:hAnsi="Times New Roman"/>
          <w:lang w:val="en-US"/>
        </w:rPr>
        <w:t xml:space="preserve">these arrangements are not actively and successfully working. </w:t>
      </w:r>
      <w:r w:rsidR="00C306D3">
        <w:rPr>
          <w:rFonts w:ascii="Times New Roman" w:hAnsi="Times New Roman"/>
          <w:lang w:val="en-US"/>
        </w:rPr>
        <w:t>E</w:t>
      </w:r>
      <w:r w:rsidR="00A500F3" w:rsidRPr="00602F08">
        <w:rPr>
          <w:rFonts w:ascii="Times New Roman" w:hAnsi="Times New Roman"/>
          <w:lang w:val="en-US"/>
        </w:rPr>
        <w:t>ven if</w:t>
      </w:r>
      <w:r w:rsidR="009E27A7" w:rsidRPr="00602F08">
        <w:rPr>
          <w:rFonts w:ascii="Times New Roman" w:hAnsi="Times New Roman"/>
          <w:lang w:val="en-US"/>
        </w:rPr>
        <w:t xml:space="preserve"> they were</w:t>
      </w:r>
      <w:r w:rsidR="00A47F9A" w:rsidRPr="00602F08">
        <w:rPr>
          <w:rFonts w:ascii="Times New Roman" w:hAnsi="Times New Roman"/>
          <w:lang w:val="en-US"/>
        </w:rPr>
        <w:t xml:space="preserve"> </w:t>
      </w:r>
      <w:r w:rsidR="000C042A" w:rsidRPr="00602F08">
        <w:rPr>
          <w:rFonts w:ascii="Times New Roman" w:hAnsi="Times New Roman"/>
          <w:lang w:val="en-US"/>
        </w:rPr>
        <w:t>working</w:t>
      </w:r>
      <w:r w:rsidR="002A00AF">
        <w:rPr>
          <w:rFonts w:ascii="Times New Roman" w:hAnsi="Times New Roman"/>
          <w:lang w:val="en-US"/>
        </w:rPr>
        <w:t>,</w:t>
      </w:r>
      <w:r w:rsidR="000C042A" w:rsidRPr="00602F08">
        <w:rPr>
          <w:rFonts w:ascii="Times New Roman" w:hAnsi="Times New Roman"/>
          <w:lang w:val="en-US"/>
        </w:rPr>
        <w:t xml:space="preserve"> t</w:t>
      </w:r>
      <w:r w:rsidR="00A47F9A" w:rsidRPr="00602F08">
        <w:rPr>
          <w:rFonts w:ascii="Times New Roman" w:hAnsi="Times New Roman"/>
          <w:lang w:val="en-US"/>
        </w:rPr>
        <w:t xml:space="preserve">hey </w:t>
      </w:r>
      <w:r w:rsidR="000C042A" w:rsidRPr="00602F08">
        <w:rPr>
          <w:rFonts w:ascii="Times New Roman" w:hAnsi="Times New Roman"/>
          <w:lang w:val="en-US"/>
        </w:rPr>
        <w:t>would not in themselves</w:t>
      </w:r>
      <w:r w:rsidR="00A47F9A" w:rsidRPr="00602F08">
        <w:rPr>
          <w:rFonts w:ascii="Times New Roman" w:hAnsi="Times New Roman"/>
          <w:lang w:val="en-US"/>
        </w:rPr>
        <w:t xml:space="preserve"> meet the requirements to monitor</w:t>
      </w:r>
      <w:r w:rsidR="0004512D">
        <w:rPr>
          <w:rFonts w:ascii="Times New Roman" w:hAnsi="Times New Roman"/>
          <w:lang w:val="en-US"/>
        </w:rPr>
        <w:t>. T</w:t>
      </w:r>
      <w:r w:rsidR="00A47F9A" w:rsidRPr="00602F08">
        <w:rPr>
          <w:rFonts w:ascii="Times New Roman" w:hAnsi="Times New Roman"/>
          <w:lang w:val="en-US"/>
        </w:rPr>
        <w:t xml:space="preserve">hey </w:t>
      </w:r>
      <w:r w:rsidR="007D1BB6" w:rsidRPr="00602F08">
        <w:rPr>
          <w:rFonts w:ascii="Times New Roman" w:hAnsi="Times New Roman"/>
          <w:lang w:val="en-US"/>
        </w:rPr>
        <w:t xml:space="preserve">are </w:t>
      </w:r>
      <w:r w:rsidR="002D5FB4">
        <w:rPr>
          <w:rFonts w:ascii="Times New Roman" w:hAnsi="Times New Roman"/>
          <w:lang w:val="en-US"/>
        </w:rPr>
        <w:t xml:space="preserve">well </w:t>
      </w:r>
      <w:r w:rsidR="007D1BB6" w:rsidRPr="00602F08">
        <w:rPr>
          <w:rFonts w:ascii="Times New Roman" w:hAnsi="Times New Roman"/>
          <w:lang w:val="en-US"/>
        </w:rPr>
        <w:t>after the event</w:t>
      </w:r>
      <w:r w:rsidR="00600F6F" w:rsidRPr="00602F08">
        <w:rPr>
          <w:rFonts w:ascii="Times New Roman" w:hAnsi="Times New Roman"/>
          <w:lang w:val="en-US"/>
        </w:rPr>
        <w:t xml:space="preserve"> and they are focused on the contractual position between </w:t>
      </w:r>
      <w:r w:rsidR="00CF7ACC" w:rsidRPr="00602F08">
        <w:rPr>
          <w:rFonts w:ascii="Times New Roman" w:hAnsi="Times New Roman"/>
          <w:lang w:val="en-US"/>
        </w:rPr>
        <w:t>the Secretary of State and the accommodation provider rather than on the legal obligations of the Secretary of State to those to whom she owe</w:t>
      </w:r>
      <w:r w:rsidR="002D5FB4">
        <w:rPr>
          <w:rFonts w:ascii="Times New Roman" w:hAnsi="Times New Roman"/>
          <w:lang w:val="en-US"/>
        </w:rPr>
        <w:t>s</w:t>
      </w:r>
      <w:r w:rsidR="00CF7ACC" w:rsidRPr="00602F08">
        <w:rPr>
          <w:rFonts w:ascii="Times New Roman" w:hAnsi="Times New Roman"/>
          <w:lang w:val="en-US"/>
        </w:rPr>
        <w:t xml:space="preserve"> a duty under section</w:t>
      </w:r>
      <w:r w:rsidR="00AE0E20" w:rsidRPr="00602F08">
        <w:rPr>
          <w:rFonts w:ascii="Times New Roman" w:hAnsi="Times New Roman"/>
          <w:lang w:val="en-US"/>
        </w:rPr>
        <w:t xml:space="preserve"> 4</w:t>
      </w:r>
      <w:r w:rsidR="00945F2E" w:rsidRPr="00602F08">
        <w:rPr>
          <w:rFonts w:ascii="Times New Roman" w:hAnsi="Times New Roman"/>
          <w:lang w:val="en-US"/>
        </w:rPr>
        <w:t>(2)</w:t>
      </w:r>
      <w:r w:rsidR="00AE0E20" w:rsidRPr="00602F08">
        <w:rPr>
          <w:rFonts w:ascii="Times New Roman" w:hAnsi="Times New Roman"/>
          <w:lang w:val="en-US"/>
        </w:rPr>
        <w:t xml:space="preserve"> and to those who are disabled</w:t>
      </w:r>
      <w:r w:rsidR="007D1BB6" w:rsidRPr="00602F08">
        <w:rPr>
          <w:rFonts w:ascii="Times New Roman" w:hAnsi="Times New Roman"/>
          <w:lang w:val="en-US"/>
        </w:rPr>
        <w:t>.</w:t>
      </w:r>
      <w:r w:rsidR="00A47F9A" w:rsidRPr="00602F08">
        <w:rPr>
          <w:rFonts w:ascii="Times New Roman" w:hAnsi="Times New Roman"/>
          <w:lang w:val="en-US"/>
        </w:rPr>
        <w:t xml:space="preserve"> </w:t>
      </w:r>
    </w:p>
    <w:p w14:paraId="064E78E9" w14:textId="77777777" w:rsidR="00C95AA8" w:rsidRPr="00602F08" w:rsidRDefault="00C95AA8" w:rsidP="00B6212D">
      <w:pPr>
        <w:pStyle w:val="ListParagraph"/>
        <w:jc w:val="both"/>
        <w:rPr>
          <w:rFonts w:ascii="Times New Roman" w:hAnsi="Times New Roman"/>
          <w:u w:val="single"/>
          <w:lang w:val="en-US"/>
        </w:rPr>
      </w:pPr>
    </w:p>
    <w:p w14:paraId="3AB67FB8" w14:textId="5BD0C330" w:rsidR="00C95AA8" w:rsidRPr="00602F08" w:rsidRDefault="00364263" w:rsidP="00B6212D">
      <w:pPr>
        <w:pStyle w:val="ListParagraph"/>
        <w:numPr>
          <w:ilvl w:val="0"/>
          <w:numId w:val="10"/>
        </w:numPr>
        <w:jc w:val="both"/>
        <w:rPr>
          <w:rFonts w:ascii="Times New Roman" w:hAnsi="Times New Roman"/>
          <w:u w:val="single"/>
          <w:lang w:val="en-US"/>
        </w:rPr>
      </w:pPr>
      <w:r>
        <w:rPr>
          <w:rFonts w:ascii="Times New Roman" w:hAnsi="Times New Roman"/>
          <w:lang w:val="en-US"/>
        </w:rPr>
        <w:t>T</w:t>
      </w:r>
      <w:r w:rsidR="00C95AA8" w:rsidRPr="00602F08">
        <w:rPr>
          <w:rFonts w:ascii="Times New Roman" w:hAnsi="Times New Roman"/>
          <w:lang w:val="en-US"/>
        </w:rPr>
        <w:t>he risks in th</w:t>
      </w:r>
      <w:r w:rsidR="003B71A6" w:rsidRPr="00602F08">
        <w:rPr>
          <w:rFonts w:ascii="Times New Roman" w:hAnsi="Times New Roman"/>
          <w:lang w:val="en-US"/>
        </w:rPr>
        <w:t>e light of</w:t>
      </w:r>
      <w:r w:rsidR="00C95AA8" w:rsidRPr="00602F08">
        <w:rPr>
          <w:rFonts w:ascii="Times New Roman" w:hAnsi="Times New Roman"/>
          <w:lang w:val="en-US"/>
        </w:rPr>
        <w:t xml:space="preserve"> the contract model chosen </w:t>
      </w:r>
      <w:r w:rsidR="00900A61" w:rsidRPr="00602F08">
        <w:rPr>
          <w:rFonts w:ascii="Times New Roman" w:hAnsi="Times New Roman"/>
          <w:lang w:val="en-US"/>
        </w:rPr>
        <w:t xml:space="preserve">are not difficult to </w:t>
      </w:r>
      <w:r w:rsidR="00187783" w:rsidRPr="00602F08">
        <w:rPr>
          <w:rFonts w:ascii="Times New Roman" w:hAnsi="Times New Roman"/>
          <w:lang w:val="en-US"/>
        </w:rPr>
        <w:t>see</w:t>
      </w:r>
      <w:r w:rsidR="00832282">
        <w:rPr>
          <w:rFonts w:ascii="Times New Roman" w:hAnsi="Times New Roman"/>
          <w:lang w:val="en-US"/>
        </w:rPr>
        <w:t>, and underline again the imperative of monitoring</w:t>
      </w:r>
      <w:r w:rsidR="00900A61" w:rsidRPr="00602F08">
        <w:rPr>
          <w:rFonts w:ascii="Times New Roman" w:hAnsi="Times New Roman"/>
          <w:lang w:val="en-US"/>
        </w:rPr>
        <w:t xml:space="preserve">. </w:t>
      </w:r>
      <w:r w:rsidR="003C543B" w:rsidRPr="00602F08">
        <w:rPr>
          <w:rFonts w:ascii="Times New Roman" w:hAnsi="Times New Roman"/>
          <w:lang w:val="en-US"/>
        </w:rPr>
        <w:t xml:space="preserve">Accommodation for </w:t>
      </w:r>
      <w:r w:rsidR="00A07517" w:rsidRPr="00602F08">
        <w:rPr>
          <w:rFonts w:ascii="Times New Roman" w:hAnsi="Times New Roman"/>
          <w:lang w:val="en-US"/>
        </w:rPr>
        <w:t>individuals with a disability</w:t>
      </w:r>
      <w:r w:rsidR="003C543B" w:rsidRPr="00602F08">
        <w:rPr>
          <w:rFonts w:ascii="Times New Roman" w:hAnsi="Times New Roman"/>
          <w:lang w:val="en-US"/>
        </w:rPr>
        <w:t xml:space="preserve"> may require adaptation </w:t>
      </w:r>
      <w:r w:rsidR="003865BD" w:rsidRPr="00602F08">
        <w:rPr>
          <w:rFonts w:ascii="Times New Roman" w:hAnsi="Times New Roman"/>
          <w:lang w:val="en-US"/>
        </w:rPr>
        <w:t xml:space="preserve">of accommodation, ground floor accommodation or accommodation with lifted access, sole rather than shared accommodation, accommodation </w:t>
      </w:r>
      <w:r w:rsidR="00E46CAB" w:rsidRPr="00602F08">
        <w:rPr>
          <w:rFonts w:ascii="Times New Roman" w:hAnsi="Times New Roman"/>
          <w:lang w:val="en-US"/>
        </w:rPr>
        <w:t>in a particular location</w:t>
      </w:r>
      <w:r w:rsidR="00D72639" w:rsidRPr="00602F08">
        <w:rPr>
          <w:rFonts w:ascii="Times New Roman" w:hAnsi="Times New Roman"/>
          <w:lang w:val="en-US"/>
        </w:rPr>
        <w:t xml:space="preserve"> or accommodation with</w:t>
      </w:r>
      <w:r w:rsidR="00AD3ADB" w:rsidRPr="00602F08">
        <w:rPr>
          <w:rFonts w:ascii="Times New Roman" w:hAnsi="Times New Roman"/>
          <w:lang w:val="en-US"/>
        </w:rPr>
        <w:t xml:space="preserve"> </w:t>
      </w:r>
      <w:r w:rsidR="00D72639" w:rsidRPr="00602F08">
        <w:rPr>
          <w:rFonts w:ascii="Times New Roman" w:hAnsi="Times New Roman"/>
          <w:lang w:val="en-US"/>
        </w:rPr>
        <w:t>particular</w:t>
      </w:r>
      <w:r w:rsidR="00AD3ADB" w:rsidRPr="00602F08">
        <w:rPr>
          <w:rFonts w:ascii="Times New Roman" w:hAnsi="Times New Roman"/>
          <w:lang w:val="en-US"/>
        </w:rPr>
        <w:t xml:space="preserve"> </w:t>
      </w:r>
      <w:r w:rsidR="00D72639" w:rsidRPr="00602F08">
        <w:rPr>
          <w:rFonts w:ascii="Times New Roman" w:hAnsi="Times New Roman"/>
          <w:lang w:val="en-US"/>
        </w:rPr>
        <w:t>facilities</w:t>
      </w:r>
      <w:r w:rsidR="00A07517" w:rsidRPr="00602F08">
        <w:rPr>
          <w:rFonts w:ascii="Times New Roman" w:hAnsi="Times New Roman"/>
          <w:lang w:val="en-US"/>
        </w:rPr>
        <w:t>.</w:t>
      </w:r>
      <w:r w:rsidR="00E46CAB" w:rsidRPr="00602F08">
        <w:rPr>
          <w:rFonts w:ascii="Times New Roman" w:hAnsi="Times New Roman"/>
          <w:lang w:val="en-US"/>
        </w:rPr>
        <w:t xml:space="preserve"> </w:t>
      </w:r>
      <w:r w:rsidR="00A07517" w:rsidRPr="00602F08">
        <w:rPr>
          <w:rFonts w:ascii="Times New Roman" w:hAnsi="Times New Roman"/>
          <w:lang w:val="en-US"/>
        </w:rPr>
        <w:t>The provider is paid a fixed rate for accommodation</w:t>
      </w:r>
      <w:r w:rsidR="00B56791">
        <w:rPr>
          <w:rFonts w:ascii="Times New Roman" w:hAnsi="Times New Roman"/>
          <w:lang w:val="en-US"/>
        </w:rPr>
        <w:t xml:space="preserve"> and </w:t>
      </w:r>
      <w:r w:rsidR="00A07517" w:rsidRPr="00602F08">
        <w:rPr>
          <w:rFonts w:ascii="Times New Roman" w:hAnsi="Times New Roman"/>
          <w:lang w:val="en-US"/>
        </w:rPr>
        <w:t>KPI</w:t>
      </w:r>
      <w:r w:rsidR="00E15EB7" w:rsidRPr="00602F08">
        <w:rPr>
          <w:rFonts w:ascii="Times New Roman" w:hAnsi="Times New Roman"/>
          <w:lang w:val="en-US"/>
        </w:rPr>
        <w:t xml:space="preserve"> 2</w:t>
      </w:r>
      <w:r w:rsidR="00A07517" w:rsidRPr="00602F08">
        <w:rPr>
          <w:rFonts w:ascii="Times New Roman" w:hAnsi="Times New Roman"/>
          <w:lang w:val="en-US"/>
        </w:rPr>
        <w:t xml:space="preserve"> allow</w:t>
      </w:r>
      <w:r w:rsidR="00E15EB7" w:rsidRPr="00602F08">
        <w:rPr>
          <w:rFonts w:ascii="Times New Roman" w:hAnsi="Times New Roman"/>
          <w:lang w:val="en-US"/>
        </w:rPr>
        <w:t>s</w:t>
      </w:r>
      <w:r w:rsidR="00A07517" w:rsidRPr="00602F08">
        <w:rPr>
          <w:rFonts w:ascii="Times New Roman" w:hAnsi="Times New Roman"/>
          <w:lang w:val="en-US"/>
        </w:rPr>
        <w:t xml:space="preserve"> performance at less than 100% </w:t>
      </w:r>
      <w:r w:rsidR="00E15EB7" w:rsidRPr="00602F08">
        <w:rPr>
          <w:rFonts w:ascii="Times New Roman" w:hAnsi="Times New Roman"/>
          <w:lang w:val="en-US"/>
        </w:rPr>
        <w:t xml:space="preserve">measured </w:t>
      </w:r>
      <w:r w:rsidR="00A07517" w:rsidRPr="00602F08">
        <w:rPr>
          <w:rFonts w:ascii="Times New Roman" w:hAnsi="Times New Roman"/>
          <w:lang w:val="en-US"/>
        </w:rPr>
        <w:t>across all provision.</w:t>
      </w:r>
      <w:r w:rsidR="00E15EB7" w:rsidRPr="00602F08">
        <w:rPr>
          <w:rFonts w:ascii="Times New Roman" w:hAnsi="Times New Roman"/>
          <w:lang w:val="en-US"/>
        </w:rPr>
        <w:t xml:space="preserve"> </w:t>
      </w:r>
      <w:r w:rsidR="008B572F" w:rsidRPr="00602F08">
        <w:rPr>
          <w:rFonts w:ascii="Times New Roman" w:hAnsi="Times New Roman"/>
          <w:lang w:val="en-US"/>
        </w:rPr>
        <w:t>The economic incentives</w:t>
      </w:r>
      <w:r w:rsidR="00360079" w:rsidRPr="00602F08">
        <w:rPr>
          <w:rFonts w:ascii="Times New Roman" w:hAnsi="Times New Roman"/>
          <w:lang w:val="en-US"/>
        </w:rPr>
        <w:t xml:space="preserve"> are such that the provision of accommodation for individuals with a disability will be less profitable for the provider</w:t>
      </w:r>
      <w:r w:rsidR="002C1BC2" w:rsidRPr="00602F08">
        <w:rPr>
          <w:rFonts w:ascii="Times New Roman" w:hAnsi="Times New Roman"/>
          <w:lang w:val="en-US"/>
        </w:rPr>
        <w:t xml:space="preserve"> (</w:t>
      </w:r>
      <w:r w:rsidR="00510F75" w:rsidRPr="00602F08">
        <w:rPr>
          <w:rFonts w:ascii="Times New Roman" w:hAnsi="Times New Roman"/>
          <w:lang w:val="en-US"/>
        </w:rPr>
        <w:t xml:space="preserve">and </w:t>
      </w:r>
      <w:r w:rsidR="002C1BC2" w:rsidRPr="00602F08">
        <w:rPr>
          <w:rFonts w:ascii="Times New Roman" w:hAnsi="Times New Roman"/>
          <w:lang w:val="en-US"/>
        </w:rPr>
        <w:t>even unprofitable)</w:t>
      </w:r>
      <w:r w:rsidR="00FC5043" w:rsidRPr="00602F08">
        <w:rPr>
          <w:rFonts w:ascii="Times New Roman" w:hAnsi="Times New Roman"/>
          <w:lang w:val="en-US"/>
        </w:rPr>
        <w:t>, perhaps especially if the accommodation must be provided quickly.</w:t>
      </w:r>
      <w:r w:rsidR="003B71A6" w:rsidRPr="00602F08">
        <w:rPr>
          <w:rFonts w:ascii="Times New Roman" w:hAnsi="Times New Roman"/>
          <w:lang w:val="en-US"/>
        </w:rPr>
        <w:t xml:space="preserve"> Yet there is no monitoring </w:t>
      </w:r>
      <w:r w:rsidR="005A1F06" w:rsidRPr="00602F08">
        <w:rPr>
          <w:rFonts w:ascii="Times New Roman" w:hAnsi="Times New Roman"/>
          <w:lang w:val="en-US"/>
        </w:rPr>
        <w:t>to see whether these incentives are having a negative impact</w:t>
      </w:r>
      <w:r w:rsidR="00BE55A3" w:rsidRPr="00602F08">
        <w:rPr>
          <w:rFonts w:ascii="Times New Roman" w:hAnsi="Times New Roman"/>
          <w:lang w:val="en-US"/>
        </w:rPr>
        <w:t xml:space="preserve"> and to allow that to be addressed.</w:t>
      </w:r>
    </w:p>
    <w:p w14:paraId="5F8F1174" w14:textId="2323A664" w:rsidR="000C5ECA" w:rsidRPr="00602F08" w:rsidRDefault="000C5ECA" w:rsidP="00B6212D">
      <w:pPr>
        <w:jc w:val="both"/>
        <w:rPr>
          <w:rStyle w:val="normaltextrun"/>
          <w:lang w:val="en-US"/>
        </w:rPr>
      </w:pPr>
    </w:p>
    <w:p w14:paraId="67A080A2" w14:textId="4960B0D9" w:rsidR="00094FC4" w:rsidRPr="00602F08" w:rsidRDefault="00CF44E5" w:rsidP="00B6212D">
      <w:pPr>
        <w:spacing w:before="100" w:beforeAutospacing="1" w:after="100" w:afterAutospacing="1"/>
        <w:ind w:firstLine="687"/>
        <w:jc w:val="both"/>
        <w:textAlignment w:val="baseline"/>
        <w:rPr>
          <w:rStyle w:val="normaltextrun"/>
          <w:u w:val="single"/>
          <w:lang w:val="en-US"/>
        </w:rPr>
      </w:pPr>
      <w:r w:rsidRPr="00602F08">
        <w:rPr>
          <w:rStyle w:val="normaltextrun"/>
          <w:u w:val="single"/>
          <w:lang w:val="en-US"/>
        </w:rPr>
        <w:t>A reserve s</w:t>
      </w:r>
      <w:r w:rsidR="005256B6">
        <w:rPr>
          <w:rStyle w:val="normaltextrun"/>
          <w:u w:val="single"/>
          <w:lang w:val="en-US"/>
        </w:rPr>
        <w:t>tock</w:t>
      </w:r>
      <w:r w:rsidR="00C91181" w:rsidRPr="00602F08">
        <w:rPr>
          <w:rStyle w:val="normaltextrun"/>
          <w:u w:val="single"/>
          <w:lang w:val="en-US"/>
        </w:rPr>
        <w:t xml:space="preserve"> of accommodation</w:t>
      </w:r>
    </w:p>
    <w:p w14:paraId="0997D495" w14:textId="7EA6019A" w:rsidR="00C91181" w:rsidRPr="00602F08" w:rsidRDefault="000C5ECA" w:rsidP="00B6212D">
      <w:pPr>
        <w:pStyle w:val="ListParagraph"/>
        <w:numPr>
          <w:ilvl w:val="0"/>
          <w:numId w:val="10"/>
        </w:numPr>
        <w:spacing w:before="100" w:beforeAutospacing="1" w:after="100" w:afterAutospacing="1"/>
        <w:jc w:val="both"/>
        <w:textAlignment w:val="baseline"/>
        <w:rPr>
          <w:rFonts w:ascii="Times New Roman" w:hAnsi="Times New Roman"/>
          <w:lang w:val="en-US"/>
        </w:rPr>
      </w:pPr>
      <w:r w:rsidRPr="00602F08">
        <w:rPr>
          <w:rFonts w:ascii="Times New Roman" w:hAnsi="Times New Roman"/>
          <w:lang w:eastAsia="en-GB"/>
        </w:rPr>
        <w:t>As noted earlier</w:t>
      </w:r>
      <w:r w:rsidR="00F379DB" w:rsidRPr="00602F08">
        <w:rPr>
          <w:rFonts w:ascii="Times New Roman" w:hAnsi="Times New Roman"/>
          <w:lang w:eastAsia="en-GB"/>
        </w:rPr>
        <w:t>, it</w:t>
      </w:r>
      <w:r w:rsidR="00577B26" w:rsidRPr="00602F08">
        <w:rPr>
          <w:rFonts w:ascii="Times New Roman" w:hAnsi="Times New Roman"/>
          <w:lang w:eastAsia="en-GB"/>
        </w:rPr>
        <w:t xml:space="preserve"> may </w:t>
      </w:r>
      <w:r w:rsidR="00444EA8">
        <w:rPr>
          <w:rFonts w:ascii="Times New Roman" w:hAnsi="Times New Roman"/>
          <w:lang w:eastAsia="en-GB"/>
        </w:rPr>
        <w:t xml:space="preserve">(or may not) </w:t>
      </w:r>
      <w:r w:rsidR="00577B26" w:rsidRPr="00602F08">
        <w:rPr>
          <w:rFonts w:ascii="Times New Roman" w:hAnsi="Times New Roman"/>
          <w:lang w:eastAsia="en-GB"/>
        </w:rPr>
        <w:t xml:space="preserve">be unrealistic, inefficient and ineffective for the </w:t>
      </w:r>
      <w:r w:rsidR="00036E80" w:rsidRPr="00602F08">
        <w:rPr>
          <w:rFonts w:ascii="Times New Roman" w:hAnsi="Times New Roman"/>
          <w:lang w:eastAsia="en-GB"/>
        </w:rPr>
        <w:t>Secretary of State</w:t>
      </w:r>
      <w:r w:rsidR="00577B26" w:rsidRPr="00602F08">
        <w:rPr>
          <w:rFonts w:ascii="Times New Roman" w:hAnsi="Times New Roman"/>
          <w:lang w:eastAsia="en-GB"/>
        </w:rPr>
        <w:t xml:space="preserve"> to require providers to maintain a stock of suitable accommodatio</w:t>
      </w:r>
      <w:r w:rsidR="003C0DB7" w:rsidRPr="00602F08">
        <w:rPr>
          <w:rFonts w:ascii="Times New Roman" w:hAnsi="Times New Roman"/>
          <w:lang w:eastAsia="en-GB"/>
        </w:rPr>
        <w:t>n</w:t>
      </w:r>
      <w:r w:rsidR="00577B26" w:rsidRPr="00602F08">
        <w:rPr>
          <w:rFonts w:ascii="Times New Roman" w:hAnsi="Times New Roman"/>
          <w:lang w:eastAsia="en-GB"/>
        </w:rPr>
        <w:t>, when the locations and adaptations required cannot be predicted in advance. </w:t>
      </w:r>
    </w:p>
    <w:p w14:paraId="75422F3F" w14:textId="77777777" w:rsidR="00C91181" w:rsidRPr="00602F08" w:rsidRDefault="00C91181" w:rsidP="00B6212D">
      <w:pPr>
        <w:pStyle w:val="ListParagraph"/>
        <w:spacing w:before="100" w:beforeAutospacing="1" w:after="100" w:afterAutospacing="1"/>
        <w:ind w:left="687"/>
        <w:jc w:val="both"/>
        <w:textAlignment w:val="baseline"/>
        <w:rPr>
          <w:rFonts w:ascii="Times New Roman" w:hAnsi="Times New Roman"/>
          <w:lang w:val="en-US"/>
        </w:rPr>
      </w:pPr>
    </w:p>
    <w:p w14:paraId="3EAC6BA3" w14:textId="18C358F6" w:rsidR="003C0DB7" w:rsidRPr="00602F08" w:rsidRDefault="003C0DB7" w:rsidP="00B6212D">
      <w:pPr>
        <w:pStyle w:val="ListParagraph"/>
        <w:numPr>
          <w:ilvl w:val="0"/>
          <w:numId w:val="10"/>
        </w:numPr>
        <w:spacing w:before="100" w:beforeAutospacing="1" w:after="100" w:afterAutospacing="1"/>
        <w:jc w:val="both"/>
        <w:textAlignment w:val="baseline"/>
        <w:rPr>
          <w:rStyle w:val="normaltextrun"/>
          <w:rFonts w:ascii="Times New Roman" w:hAnsi="Times New Roman"/>
          <w:lang w:val="en-US"/>
        </w:rPr>
      </w:pPr>
      <w:r w:rsidRPr="00602F08">
        <w:rPr>
          <w:rStyle w:val="normaltextrun"/>
          <w:rFonts w:ascii="Times New Roman" w:hAnsi="Times New Roman"/>
          <w:lang w:val="en-US"/>
        </w:rPr>
        <w:t>Mr Mill’s evidence addresse</w:t>
      </w:r>
      <w:r w:rsidR="00C506C7">
        <w:rPr>
          <w:rStyle w:val="normaltextrun"/>
          <w:rFonts w:ascii="Times New Roman" w:hAnsi="Times New Roman"/>
          <w:lang w:val="en-US"/>
        </w:rPr>
        <w:t>d</w:t>
      </w:r>
      <w:r w:rsidRPr="00602F08">
        <w:rPr>
          <w:rStyle w:val="normaltextrun"/>
          <w:rFonts w:ascii="Times New Roman" w:hAnsi="Times New Roman"/>
          <w:lang w:val="en-US"/>
        </w:rPr>
        <w:t xml:space="preserve"> this in the present context:  </w:t>
      </w:r>
    </w:p>
    <w:p w14:paraId="77AA2899" w14:textId="77777777" w:rsidR="003C0DB7" w:rsidRPr="00602F08" w:rsidRDefault="003C0DB7" w:rsidP="00B6212D">
      <w:pPr>
        <w:ind w:left="1440"/>
        <w:jc w:val="both"/>
        <w:rPr>
          <w:rStyle w:val="normaltextrun"/>
          <w:lang w:val="en-US"/>
        </w:rPr>
      </w:pPr>
      <w:r w:rsidRPr="00602F08">
        <w:rPr>
          <w:rStyle w:val="normaltextrun"/>
          <w:lang w:val="en-US"/>
        </w:rPr>
        <w:t>“The contract specified that in relation to initial accommodation, the provider must ensure that as a minimum, 5% of bedrooms within initial accommodation should be appropriately adapted to meet the needs of disabled individuals, including step-free access for wheelchair users or individuals with conditions which limit their mobility. There is no corresponding requirement in relation to dispersal accommodation.</w:t>
      </w:r>
    </w:p>
    <w:p w14:paraId="55E4745C" w14:textId="77777777" w:rsidR="003C0DB7" w:rsidRPr="00602F08" w:rsidRDefault="003C0DB7" w:rsidP="00B6212D">
      <w:pPr>
        <w:ind w:left="1440"/>
        <w:jc w:val="both"/>
        <w:rPr>
          <w:rStyle w:val="normaltextrun"/>
          <w:lang w:val="en-US"/>
        </w:rPr>
      </w:pPr>
    </w:p>
    <w:p w14:paraId="3850D426" w14:textId="77777777" w:rsidR="003C0DB7" w:rsidRPr="00602F08" w:rsidRDefault="003C0DB7" w:rsidP="00B6212D">
      <w:pPr>
        <w:ind w:left="1440"/>
        <w:jc w:val="both"/>
        <w:rPr>
          <w:rStyle w:val="normaltextrun"/>
          <w:lang w:val="en-US"/>
        </w:rPr>
      </w:pPr>
      <w:r w:rsidRPr="00602F08">
        <w:rPr>
          <w:rStyle w:val="normaltextrun"/>
          <w:lang w:val="en-US"/>
        </w:rPr>
        <w:t>The reason for this is that initial accommodation is typically allocated at short notice to individuals who have recently come to notice or who have only recently begun to require accommodation under Home Office powers. Initial accommodation is therefore typically used for immediate housing, in contrast to dispersal accommodation, which is searched for after the individual’s immediate housing need has been satisfied.</w:t>
      </w:r>
    </w:p>
    <w:p w14:paraId="0FE790C5" w14:textId="77777777" w:rsidR="003C0DB7" w:rsidRPr="00602F08" w:rsidRDefault="003C0DB7" w:rsidP="00B6212D">
      <w:pPr>
        <w:ind w:left="1440"/>
        <w:jc w:val="both"/>
        <w:rPr>
          <w:rStyle w:val="normaltextrun"/>
          <w:lang w:val="en-US"/>
        </w:rPr>
      </w:pPr>
    </w:p>
    <w:p w14:paraId="56F72C28" w14:textId="1A96458D" w:rsidR="00A959B6" w:rsidRPr="00602F08" w:rsidRDefault="003C0DB7" w:rsidP="00B6212D">
      <w:pPr>
        <w:ind w:left="1440"/>
        <w:jc w:val="both"/>
        <w:rPr>
          <w:rStyle w:val="normaltextrun"/>
          <w:lang w:val="en-US"/>
        </w:rPr>
      </w:pPr>
      <w:r w:rsidRPr="00602F08">
        <w:rPr>
          <w:rStyle w:val="normaltextrun"/>
          <w:lang w:val="en-US"/>
        </w:rPr>
        <w:t>… On the longer-term basis on which disabled</w:t>
      </w:r>
      <w:r w:rsidR="00DA5F16" w:rsidRPr="00602F08">
        <w:rPr>
          <w:rStyle w:val="normaltextrun"/>
          <w:lang w:val="en-US"/>
        </w:rPr>
        <w:t xml:space="preserve"> </w:t>
      </w:r>
      <w:r w:rsidRPr="00602F08">
        <w:rPr>
          <w:rStyle w:val="normaltextrun"/>
          <w:lang w:val="en-US"/>
        </w:rPr>
        <w:t>individuals are housed in dispersal accommodation, it is less likely to be fruitful for the provider to keep in hand a generic stock of “homes for the disabled” because of their differing needs. …”</w:t>
      </w:r>
      <w:r w:rsidR="00374759" w:rsidRPr="00602F08">
        <w:rPr>
          <w:rStyle w:val="normaltextrun"/>
          <w:lang w:val="en-US"/>
        </w:rPr>
        <w:t>.</w:t>
      </w:r>
    </w:p>
    <w:p w14:paraId="749E87A3" w14:textId="74EE6CE5" w:rsidR="00E04581" w:rsidRPr="00602F08" w:rsidRDefault="00E04581" w:rsidP="00B6212D">
      <w:pPr>
        <w:jc w:val="both"/>
        <w:rPr>
          <w:rStyle w:val="normaltextrun"/>
          <w:lang w:val="en-US"/>
        </w:rPr>
      </w:pPr>
    </w:p>
    <w:p w14:paraId="79D474F7" w14:textId="0C1FB679" w:rsidR="00DF7C5F" w:rsidRPr="00602F08" w:rsidRDefault="00425F6B" w:rsidP="00B6212D">
      <w:pPr>
        <w:pStyle w:val="ListParagraph"/>
        <w:numPr>
          <w:ilvl w:val="0"/>
          <w:numId w:val="10"/>
        </w:numPr>
        <w:jc w:val="both"/>
        <w:rPr>
          <w:rFonts w:ascii="Times New Roman" w:hAnsi="Times New Roman"/>
          <w:lang w:val="en-US"/>
        </w:rPr>
      </w:pPr>
      <w:r>
        <w:rPr>
          <w:rFonts w:ascii="Times New Roman" w:hAnsi="Times New Roman"/>
          <w:lang w:val="en-US"/>
        </w:rPr>
        <w:t>These are judgments for the Secretary of State to make</w:t>
      </w:r>
      <w:r w:rsidR="006754AC">
        <w:rPr>
          <w:rFonts w:ascii="Times New Roman" w:hAnsi="Times New Roman"/>
          <w:lang w:val="en-US"/>
        </w:rPr>
        <w:t xml:space="preserve"> with the assistance of her officials</w:t>
      </w:r>
      <w:r>
        <w:rPr>
          <w:rFonts w:ascii="Times New Roman" w:hAnsi="Times New Roman"/>
          <w:lang w:val="en-US"/>
        </w:rPr>
        <w:t xml:space="preserve">, although they </w:t>
      </w:r>
      <w:r w:rsidR="006754AC">
        <w:rPr>
          <w:rFonts w:ascii="Times New Roman" w:hAnsi="Times New Roman"/>
          <w:lang w:val="en-US"/>
        </w:rPr>
        <w:t xml:space="preserve">are judgments that </w:t>
      </w:r>
      <w:r>
        <w:rPr>
          <w:rFonts w:ascii="Times New Roman" w:hAnsi="Times New Roman"/>
          <w:lang w:val="en-US"/>
        </w:rPr>
        <w:t>cannot</w:t>
      </w:r>
      <w:r w:rsidR="005C4393">
        <w:rPr>
          <w:rFonts w:ascii="Times New Roman" w:hAnsi="Times New Roman"/>
          <w:lang w:val="en-US"/>
        </w:rPr>
        <w:t xml:space="preserve"> reliably be made without monitoring. </w:t>
      </w:r>
      <w:r w:rsidR="002D0CC3">
        <w:rPr>
          <w:rFonts w:ascii="Times New Roman" w:hAnsi="Times New Roman"/>
          <w:lang w:val="en-US"/>
        </w:rPr>
        <w:t>To take a simple example</w:t>
      </w:r>
      <w:r w:rsidR="006754AC">
        <w:rPr>
          <w:rFonts w:ascii="Times New Roman" w:hAnsi="Times New Roman"/>
          <w:lang w:val="en-US"/>
        </w:rPr>
        <w:t xml:space="preserve">, </w:t>
      </w:r>
      <w:r w:rsidR="005866A1" w:rsidRPr="00602F08">
        <w:rPr>
          <w:rFonts w:ascii="Times New Roman" w:hAnsi="Times New Roman"/>
          <w:lang w:val="en-US"/>
        </w:rPr>
        <w:t xml:space="preserve">where initial accommodation is to be </w:t>
      </w:r>
      <w:r w:rsidR="0070300E" w:rsidRPr="00602F08">
        <w:rPr>
          <w:rFonts w:ascii="Times New Roman" w:hAnsi="Times New Roman"/>
          <w:lang w:val="en-US"/>
        </w:rPr>
        <w:t>used for a disabled individual who is entitled to section 4</w:t>
      </w:r>
      <w:r w:rsidR="00945F2E" w:rsidRPr="00602F08">
        <w:rPr>
          <w:rFonts w:ascii="Times New Roman" w:hAnsi="Times New Roman"/>
          <w:lang w:val="en-US"/>
        </w:rPr>
        <w:t>(2)</w:t>
      </w:r>
      <w:r w:rsidR="0070300E" w:rsidRPr="00602F08">
        <w:rPr>
          <w:rFonts w:ascii="Times New Roman" w:hAnsi="Times New Roman"/>
          <w:lang w:val="en-US"/>
        </w:rPr>
        <w:t xml:space="preserve"> accommodation</w:t>
      </w:r>
      <w:r w:rsidR="00A76022" w:rsidRPr="00602F08">
        <w:rPr>
          <w:rFonts w:ascii="Times New Roman" w:hAnsi="Times New Roman"/>
          <w:lang w:val="en-US"/>
        </w:rPr>
        <w:t xml:space="preserve">, then to understand whether the 5% figure referred to by Mr Mill was suitable or unsuitable </w:t>
      </w:r>
      <w:r w:rsidR="00DD3E4A" w:rsidRPr="00602F08">
        <w:rPr>
          <w:rFonts w:ascii="Times New Roman" w:hAnsi="Times New Roman"/>
          <w:lang w:val="en-US"/>
        </w:rPr>
        <w:t xml:space="preserve">would require monitoring of the number </w:t>
      </w:r>
      <w:r w:rsidR="00CC66ED">
        <w:rPr>
          <w:rFonts w:ascii="Times New Roman" w:hAnsi="Times New Roman"/>
          <w:lang w:val="en-US"/>
        </w:rPr>
        <w:t xml:space="preserve">(and </w:t>
      </w:r>
      <w:r w:rsidR="00C506C7">
        <w:rPr>
          <w:rFonts w:ascii="Times New Roman" w:hAnsi="Times New Roman"/>
          <w:lang w:val="en-US"/>
        </w:rPr>
        <w:t>needs</w:t>
      </w:r>
      <w:r w:rsidR="00CC66ED">
        <w:rPr>
          <w:rFonts w:ascii="Times New Roman" w:hAnsi="Times New Roman"/>
          <w:lang w:val="en-US"/>
        </w:rPr>
        <w:t xml:space="preserve">) </w:t>
      </w:r>
      <w:r w:rsidR="00DD3E4A" w:rsidRPr="00602F08">
        <w:rPr>
          <w:rFonts w:ascii="Times New Roman" w:hAnsi="Times New Roman"/>
          <w:lang w:val="en-US"/>
        </w:rPr>
        <w:t>of di</w:t>
      </w:r>
      <w:r w:rsidR="00D23150" w:rsidRPr="00602F08">
        <w:rPr>
          <w:rFonts w:ascii="Times New Roman" w:hAnsi="Times New Roman"/>
          <w:lang w:val="en-US"/>
        </w:rPr>
        <w:t>sabled individuals.</w:t>
      </w:r>
    </w:p>
    <w:p w14:paraId="0E13E5B0" w14:textId="2C5F3E6C" w:rsidR="0070300E" w:rsidRPr="00602F08" w:rsidRDefault="0070300E" w:rsidP="00B6212D">
      <w:pPr>
        <w:pStyle w:val="ListParagraph"/>
        <w:ind w:left="687"/>
        <w:jc w:val="both"/>
        <w:rPr>
          <w:rFonts w:ascii="Times New Roman" w:hAnsi="Times New Roman"/>
          <w:lang w:val="en-US"/>
        </w:rPr>
      </w:pPr>
    </w:p>
    <w:p w14:paraId="5CEA7286" w14:textId="77777777" w:rsidR="0070300E" w:rsidRPr="00602F08" w:rsidRDefault="0070300E" w:rsidP="00B6212D">
      <w:pPr>
        <w:pStyle w:val="ListParagraph"/>
        <w:ind w:left="687"/>
        <w:jc w:val="both"/>
        <w:rPr>
          <w:rFonts w:ascii="Times New Roman" w:hAnsi="Times New Roman"/>
          <w:lang w:val="en-US"/>
        </w:rPr>
      </w:pPr>
    </w:p>
    <w:p w14:paraId="50C70524" w14:textId="5A2013A3" w:rsidR="00A959B6" w:rsidRPr="00602F08" w:rsidRDefault="008A06A1" w:rsidP="00B6212D">
      <w:pPr>
        <w:ind w:firstLine="687"/>
        <w:jc w:val="both"/>
        <w:rPr>
          <w:u w:val="single"/>
          <w:lang w:eastAsia="en-GB"/>
        </w:rPr>
      </w:pPr>
      <w:r w:rsidRPr="00602F08">
        <w:rPr>
          <w:u w:val="single"/>
          <w:lang w:eastAsia="en-GB"/>
        </w:rPr>
        <w:t>Prio</w:t>
      </w:r>
      <w:r w:rsidR="00FF51D4" w:rsidRPr="00602F08">
        <w:rPr>
          <w:u w:val="single"/>
          <w:lang w:eastAsia="en-GB"/>
        </w:rPr>
        <w:t>rit</w:t>
      </w:r>
      <w:r w:rsidRPr="00602F08">
        <w:rPr>
          <w:u w:val="single"/>
          <w:lang w:eastAsia="en-GB"/>
        </w:rPr>
        <w:t>isation</w:t>
      </w:r>
    </w:p>
    <w:p w14:paraId="63B52EC6" w14:textId="77777777" w:rsidR="008A06A1" w:rsidRPr="00602F08" w:rsidRDefault="008A06A1" w:rsidP="00B6212D">
      <w:pPr>
        <w:jc w:val="both"/>
        <w:rPr>
          <w:lang w:eastAsia="en-GB"/>
        </w:rPr>
      </w:pPr>
    </w:p>
    <w:p w14:paraId="514CBDF1" w14:textId="65E95E9D" w:rsidR="00A959B6" w:rsidRPr="00602F08" w:rsidRDefault="00637A46" w:rsidP="00B6212D">
      <w:pPr>
        <w:pStyle w:val="ListParagraph"/>
        <w:numPr>
          <w:ilvl w:val="0"/>
          <w:numId w:val="10"/>
        </w:numPr>
        <w:jc w:val="both"/>
        <w:rPr>
          <w:rFonts w:ascii="Times New Roman" w:hAnsi="Times New Roman"/>
          <w:u w:val="single"/>
          <w:lang w:val="en-US"/>
        </w:rPr>
      </w:pPr>
      <w:r w:rsidRPr="00602F08">
        <w:rPr>
          <w:rFonts w:ascii="Times New Roman" w:hAnsi="Times New Roman"/>
          <w:lang w:eastAsia="en-GB"/>
        </w:rPr>
        <w:t>On behalf of the Secretary of State it is said</w:t>
      </w:r>
      <w:r w:rsidR="008A06A1" w:rsidRPr="00602F08">
        <w:rPr>
          <w:rFonts w:ascii="Times New Roman" w:hAnsi="Times New Roman"/>
          <w:lang w:eastAsia="en-GB"/>
        </w:rPr>
        <w:t xml:space="preserve"> </w:t>
      </w:r>
      <w:r w:rsidR="00233F0F" w:rsidRPr="00602F08">
        <w:rPr>
          <w:rFonts w:ascii="Times New Roman" w:hAnsi="Times New Roman"/>
          <w:lang w:eastAsia="en-GB"/>
        </w:rPr>
        <w:t xml:space="preserve">that </w:t>
      </w:r>
      <w:r w:rsidR="00B17B90" w:rsidRPr="00602F08">
        <w:rPr>
          <w:rFonts w:ascii="Times New Roman" w:hAnsi="Times New Roman"/>
          <w:lang w:eastAsia="en-GB"/>
        </w:rPr>
        <w:t xml:space="preserve">requests </w:t>
      </w:r>
      <w:r w:rsidR="00462F79" w:rsidRPr="00602F08">
        <w:rPr>
          <w:rFonts w:ascii="Times New Roman" w:hAnsi="Times New Roman"/>
          <w:lang w:eastAsia="en-GB"/>
        </w:rPr>
        <w:t xml:space="preserve">by her officials </w:t>
      </w:r>
      <w:r w:rsidR="00312A81" w:rsidRPr="00602F08">
        <w:rPr>
          <w:rFonts w:ascii="Times New Roman" w:hAnsi="Times New Roman"/>
          <w:lang w:eastAsia="en-GB"/>
        </w:rPr>
        <w:t xml:space="preserve">to </w:t>
      </w:r>
      <w:r w:rsidR="005D28C6" w:rsidRPr="00602F08">
        <w:rPr>
          <w:rFonts w:ascii="Times New Roman" w:hAnsi="Times New Roman"/>
          <w:lang w:eastAsia="en-GB"/>
        </w:rPr>
        <w:t xml:space="preserve">accommodation providers </w:t>
      </w:r>
      <w:r w:rsidR="00B17B90" w:rsidRPr="00602F08">
        <w:rPr>
          <w:rFonts w:ascii="Times New Roman" w:hAnsi="Times New Roman"/>
          <w:lang w:eastAsia="en-GB"/>
        </w:rPr>
        <w:t>are accorded different levels of priority</w:t>
      </w:r>
      <w:r w:rsidR="007C72E5" w:rsidRPr="00602F08">
        <w:rPr>
          <w:rFonts w:ascii="Times New Roman" w:hAnsi="Times New Roman"/>
          <w:lang w:eastAsia="en-GB"/>
        </w:rPr>
        <w:t xml:space="preserve">. </w:t>
      </w:r>
    </w:p>
    <w:p w14:paraId="7053F63D" w14:textId="77777777" w:rsidR="007C72E5" w:rsidRPr="00602F08" w:rsidRDefault="007C72E5" w:rsidP="00B6212D">
      <w:pPr>
        <w:pStyle w:val="ListParagraph"/>
        <w:ind w:left="687"/>
        <w:jc w:val="both"/>
        <w:rPr>
          <w:rFonts w:ascii="Times New Roman" w:hAnsi="Times New Roman"/>
          <w:u w:val="single"/>
          <w:lang w:val="en-US"/>
        </w:rPr>
      </w:pPr>
    </w:p>
    <w:p w14:paraId="697FB232" w14:textId="781E7CE0" w:rsidR="005D28C6" w:rsidRPr="00602F08" w:rsidRDefault="007C72E5" w:rsidP="00B6212D">
      <w:pPr>
        <w:pStyle w:val="ListParagraph"/>
        <w:numPr>
          <w:ilvl w:val="0"/>
          <w:numId w:val="10"/>
        </w:numPr>
        <w:jc w:val="both"/>
        <w:rPr>
          <w:rFonts w:ascii="Times New Roman" w:hAnsi="Times New Roman"/>
          <w:u w:val="single"/>
          <w:lang w:val="en-US"/>
        </w:rPr>
      </w:pPr>
      <w:r w:rsidRPr="00602F08">
        <w:rPr>
          <w:rFonts w:ascii="Times New Roman" w:hAnsi="Times New Roman"/>
          <w:lang w:eastAsia="en-GB"/>
        </w:rPr>
        <w:t>However</w:t>
      </w:r>
      <w:r w:rsidR="00FD4F87" w:rsidRPr="00602F08">
        <w:rPr>
          <w:rFonts w:ascii="Times New Roman" w:hAnsi="Times New Roman"/>
          <w:lang w:eastAsia="en-GB"/>
        </w:rPr>
        <w:t>,</w:t>
      </w:r>
      <w:r w:rsidR="003828ED" w:rsidRPr="00602F08">
        <w:rPr>
          <w:rFonts w:ascii="Times New Roman" w:hAnsi="Times New Roman"/>
          <w:lang w:eastAsia="en-GB"/>
        </w:rPr>
        <w:t xml:space="preserve"> th</w:t>
      </w:r>
      <w:r w:rsidRPr="00602F08">
        <w:rPr>
          <w:rFonts w:ascii="Times New Roman" w:hAnsi="Times New Roman"/>
          <w:lang w:eastAsia="en-GB"/>
        </w:rPr>
        <w:t>is</w:t>
      </w:r>
      <w:r w:rsidR="003828ED" w:rsidRPr="00602F08">
        <w:rPr>
          <w:rFonts w:ascii="Times New Roman" w:hAnsi="Times New Roman"/>
          <w:lang w:eastAsia="en-GB"/>
        </w:rPr>
        <w:t xml:space="preserve"> </w:t>
      </w:r>
      <w:r w:rsidR="00EA18CA" w:rsidRPr="00602F08">
        <w:rPr>
          <w:rFonts w:ascii="Times New Roman" w:hAnsi="Times New Roman"/>
          <w:lang w:eastAsia="en-GB"/>
        </w:rPr>
        <w:t>does not hit the true mark</w:t>
      </w:r>
      <w:r w:rsidR="0060721E" w:rsidRPr="00602F08">
        <w:rPr>
          <w:rFonts w:ascii="Times New Roman" w:hAnsi="Times New Roman"/>
          <w:lang w:eastAsia="en-GB"/>
        </w:rPr>
        <w:t>. The evidence in these proceedings contain</w:t>
      </w:r>
      <w:r w:rsidR="00D506E4">
        <w:rPr>
          <w:rFonts w:ascii="Times New Roman" w:hAnsi="Times New Roman"/>
          <w:lang w:eastAsia="en-GB"/>
        </w:rPr>
        <w:t>ed</w:t>
      </w:r>
      <w:r w:rsidR="0060721E" w:rsidRPr="00602F08">
        <w:rPr>
          <w:rFonts w:ascii="Times New Roman" w:hAnsi="Times New Roman"/>
          <w:lang w:eastAsia="en-GB"/>
        </w:rPr>
        <w:t xml:space="preserve"> examples of p</w:t>
      </w:r>
      <w:r w:rsidR="001309EA" w:rsidRPr="00602F08">
        <w:rPr>
          <w:rFonts w:ascii="Times New Roman" w:hAnsi="Times New Roman"/>
          <w:lang w:eastAsia="en-GB"/>
        </w:rPr>
        <w:t>rioritisation</w:t>
      </w:r>
      <w:r w:rsidR="0023302A" w:rsidRPr="00602F08">
        <w:rPr>
          <w:rFonts w:ascii="Times New Roman" w:hAnsi="Times New Roman"/>
          <w:lang w:eastAsia="en-GB"/>
        </w:rPr>
        <w:t>,</w:t>
      </w:r>
      <w:r w:rsidR="001309EA" w:rsidRPr="00602F08">
        <w:rPr>
          <w:rFonts w:ascii="Times New Roman" w:hAnsi="Times New Roman"/>
          <w:lang w:eastAsia="en-GB"/>
        </w:rPr>
        <w:t xml:space="preserve"> if used</w:t>
      </w:r>
      <w:r w:rsidR="0023302A" w:rsidRPr="00602F08">
        <w:rPr>
          <w:rFonts w:ascii="Times New Roman" w:hAnsi="Times New Roman"/>
          <w:lang w:eastAsia="en-GB"/>
        </w:rPr>
        <w:t>,</w:t>
      </w:r>
      <w:r w:rsidR="001309EA" w:rsidRPr="00602F08">
        <w:rPr>
          <w:rFonts w:ascii="Times New Roman" w:hAnsi="Times New Roman"/>
          <w:lang w:eastAsia="en-GB"/>
        </w:rPr>
        <w:t xml:space="preserve"> not working</w:t>
      </w:r>
      <w:r w:rsidR="0060721E" w:rsidRPr="00602F08">
        <w:rPr>
          <w:rFonts w:ascii="Times New Roman" w:hAnsi="Times New Roman"/>
          <w:lang w:eastAsia="en-GB"/>
        </w:rPr>
        <w:t xml:space="preserve">. </w:t>
      </w:r>
      <w:r w:rsidR="007F41D0" w:rsidRPr="00602F08">
        <w:rPr>
          <w:rFonts w:ascii="Times New Roman" w:hAnsi="Times New Roman"/>
          <w:lang w:eastAsia="en-GB"/>
        </w:rPr>
        <w:t xml:space="preserve">The figures </w:t>
      </w:r>
      <w:r w:rsidR="009C2DB9" w:rsidRPr="00602F08">
        <w:rPr>
          <w:rFonts w:ascii="Times New Roman" w:hAnsi="Times New Roman"/>
          <w:lang w:eastAsia="en-GB"/>
        </w:rPr>
        <w:t xml:space="preserve">provided to the Court </w:t>
      </w:r>
      <w:r w:rsidR="00462F79" w:rsidRPr="00602F08">
        <w:rPr>
          <w:rFonts w:ascii="Times New Roman" w:hAnsi="Times New Roman"/>
          <w:lang w:eastAsia="en-GB"/>
        </w:rPr>
        <w:t>on behalf of</w:t>
      </w:r>
      <w:r w:rsidR="001347B8" w:rsidRPr="00602F08">
        <w:rPr>
          <w:rFonts w:ascii="Times New Roman" w:hAnsi="Times New Roman"/>
          <w:lang w:eastAsia="en-GB"/>
        </w:rPr>
        <w:t xml:space="preserve"> the Secretary of State show</w:t>
      </w:r>
      <w:r w:rsidR="00C91DC6">
        <w:rPr>
          <w:rFonts w:ascii="Times New Roman" w:hAnsi="Times New Roman"/>
          <w:lang w:eastAsia="en-GB"/>
        </w:rPr>
        <w:t>ed</w:t>
      </w:r>
      <w:r w:rsidR="002F0820" w:rsidRPr="00602F08">
        <w:rPr>
          <w:rFonts w:ascii="Times New Roman" w:hAnsi="Times New Roman"/>
          <w:lang w:eastAsia="en-GB"/>
        </w:rPr>
        <w:t xml:space="preserve"> that the Secretary of State </w:t>
      </w:r>
      <w:r w:rsidR="00462F79" w:rsidRPr="00602F08">
        <w:rPr>
          <w:rFonts w:ascii="Times New Roman" w:hAnsi="Times New Roman"/>
          <w:lang w:eastAsia="en-GB"/>
        </w:rPr>
        <w:t>actin</w:t>
      </w:r>
      <w:r w:rsidR="00433DD7" w:rsidRPr="00602F08">
        <w:rPr>
          <w:rFonts w:ascii="Times New Roman" w:hAnsi="Times New Roman"/>
          <w:lang w:eastAsia="en-GB"/>
        </w:rPr>
        <w:t xml:space="preserve">g by her officials </w:t>
      </w:r>
      <w:r w:rsidR="002F0820" w:rsidRPr="00602F08">
        <w:rPr>
          <w:rFonts w:ascii="Times New Roman" w:hAnsi="Times New Roman"/>
          <w:lang w:eastAsia="en-GB"/>
        </w:rPr>
        <w:t xml:space="preserve">understood </w:t>
      </w:r>
      <w:r w:rsidR="00433DD7" w:rsidRPr="00602F08">
        <w:rPr>
          <w:rFonts w:ascii="Times New Roman" w:hAnsi="Times New Roman"/>
          <w:lang w:eastAsia="en-GB"/>
        </w:rPr>
        <w:t xml:space="preserve">that </w:t>
      </w:r>
      <w:r w:rsidR="001633B9" w:rsidRPr="00602F08">
        <w:rPr>
          <w:rFonts w:ascii="Times New Roman" w:hAnsi="Times New Roman"/>
          <w:lang w:eastAsia="en-GB"/>
        </w:rPr>
        <w:t xml:space="preserve">the system, including its use of priorities, </w:t>
      </w:r>
      <w:r w:rsidR="002F0820" w:rsidRPr="00602F08">
        <w:rPr>
          <w:rFonts w:ascii="Times New Roman" w:hAnsi="Times New Roman"/>
          <w:lang w:eastAsia="en-GB"/>
        </w:rPr>
        <w:t>was largely working overall</w:t>
      </w:r>
      <w:r w:rsidR="00F3300C" w:rsidRPr="00602F08">
        <w:rPr>
          <w:rFonts w:ascii="Times New Roman" w:hAnsi="Times New Roman"/>
          <w:lang w:eastAsia="en-GB"/>
        </w:rPr>
        <w:t xml:space="preserve">, but it is now clear that </w:t>
      </w:r>
      <w:r w:rsidR="005339AE" w:rsidRPr="00602F08">
        <w:rPr>
          <w:rFonts w:ascii="Times New Roman" w:hAnsi="Times New Roman"/>
          <w:lang w:eastAsia="en-GB"/>
        </w:rPr>
        <w:t xml:space="preserve">understanding </w:t>
      </w:r>
      <w:r w:rsidR="00F3300C" w:rsidRPr="00602F08">
        <w:rPr>
          <w:rFonts w:ascii="Times New Roman" w:hAnsi="Times New Roman"/>
          <w:lang w:eastAsia="en-GB"/>
        </w:rPr>
        <w:t>was wrong</w:t>
      </w:r>
      <w:r w:rsidR="002F0820" w:rsidRPr="00602F08">
        <w:rPr>
          <w:rFonts w:ascii="Times New Roman" w:hAnsi="Times New Roman"/>
          <w:lang w:eastAsia="en-GB"/>
        </w:rPr>
        <w:t xml:space="preserve">. </w:t>
      </w:r>
      <w:r w:rsidR="0094672E" w:rsidRPr="00602F08">
        <w:rPr>
          <w:rFonts w:ascii="Times New Roman" w:hAnsi="Times New Roman"/>
          <w:lang w:eastAsia="en-GB"/>
        </w:rPr>
        <w:t xml:space="preserve">In the case of disabled </w:t>
      </w:r>
      <w:r w:rsidR="00B169F2" w:rsidRPr="00602F08">
        <w:rPr>
          <w:rFonts w:ascii="Times New Roman" w:hAnsi="Times New Roman"/>
          <w:lang w:eastAsia="en-GB"/>
        </w:rPr>
        <w:t>individuals,</w:t>
      </w:r>
      <w:r w:rsidR="003A4983" w:rsidRPr="00602F08">
        <w:rPr>
          <w:rFonts w:ascii="Times New Roman" w:hAnsi="Times New Roman"/>
          <w:lang w:eastAsia="en-GB"/>
        </w:rPr>
        <w:t xml:space="preserve"> the absence of monitoring means that </w:t>
      </w:r>
      <w:r w:rsidR="00FA4F34" w:rsidRPr="00602F08">
        <w:rPr>
          <w:rFonts w:ascii="Times New Roman" w:hAnsi="Times New Roman"/>
          <w:lang w:eastAsia="en-GB"/>
        </w:rPr>
        <w:t xml:space="preserve">it cannot be </w:t>
      </w:r>
      <w:r w:rsidR="00A12F1F" w:rsidRPr="00602F08">
        <w:rPr>
          <w:rFonts w:ascii="Times New Roman" w:hAnsi="Times New Roman"/>
          <w:lang w:eastAsia="en-GB"/>
        </w:rPr>
        <w:t xml:space="preserve">fully </w:t>
      </w:r>
      <w:r w:rsidR="00FA4F34" w:rsidRPr="00602F08">
        <w:rPr>
          <w:rFonts w:ascii="Times New Roman" w:hAnsi="Times New Roman"/>
          <w:lang w:eastAsia="en-GB"/>
        </w:rPr>
        <w:t>understood why</w:t>
      </w:r>
      <w:r w:rsidR="001633B9" w:rsidRPr="00602F08">
        <w:rPr>
          <w:rFonts w:ascii="Times New Roman" w:hAnsi="Times New Roman"/>
          <w:lang w:eastAsia="en-GB"/>
        </w:rPr>
        <w:t xml:space="preserve"> the </w:t>
      </w:r>
      <w:r w:rsidR="00A12F1F" w:rsidRPr="00602F08">
        <w:rPr>
          <w:rFonts w:ascii="Times New Roman" w:hAnsi="Times New Roman"/>
          <w:lang w:eastAsia="en-GB"/>
        </w:rPr>
        <w:t>use of priorities is not working and where</w:t>
      </w:r>
      <w:r w:rsidR="00B169F2" w:rsidRPr="00602F08">
        <w:rPr>
          <w:rFonts w:ascii="Times New Roman" w:hAnsi="Times New Roman"/>
          <w:lang w:eastAsia="en-GB"/>
        </w:rPr>
        <w:t>, and what must be done about it</w:t>
      </w:r>
      <w:r w:rsidR="00A12F1F" w:rsidRPr="00602F08">
        <w:rPr>
          <w:rFonts w:ascii="Times New Roman" w:hAnsi="Times New Roman"/>
          <w:lang w:eastAsia="en-GB"/>
        </w:rPr>
        <w:t>.</w:t>
      </w:r>
    </w:p>
    <w:p w14:paraId="0B002262" w14:textId="77777777" w:rsidR="00B169F2" w:rsidRPr="00602F08" w:rsidRDefault="00B169F2" w:rsidP="00B6212D">
      <w:pPr>
        <w:pStyle w:val="ListParagraph"/>
        <w:jc w:val="both"/>
        <w:rPr>
          <w:rFonts w:ascii="Times New Roman" w:hAnsi="Times New Roman"/>
          <w:u w:val="single"/>
          <w:lang w:val="en-US"/>
        </w:rPr>
      </w:pPr>
    </w:p>
    <w:p w14:paraId="54097CA8" w14:textId="6BD59E32" w:rsidR="00B169F2" w:rsidRPr="00602F08" w:rsidRDefault="00F2134C" w:rsidP="00B6212D">
      <w:pPr>
        <w:pStyle w:val="ListParagraph"/>
        <w:numPr>
          <w:ilvl w:val="0"/>
          <w:numId w:val="10"/>
        </w:numPr>
        <w:jc w:val="both"/>
        <w:rPr>
          <w:rFonts w:ascii="Times New Roman" w:hAnsi="Times New Roman"/>
          <w:u w:val="single"/>
          <w:lang w:val="en-US"/>
        </w:rPr>
      </w:pPr>
      <w:r w:rsidRPr="00602F08">
        <w:rPr>
          <w:rFonts w:ascii="Times New Roman" w:hAnsi="Times New Roman"/>
          <w:lang w:eastAsia="en-GB"/>
        </w:rPr>
        <w:t>The</w:t>
      </w:r>
      <w:r w:rsidR="00433DD7" w:rsidRPr="00602F08">
        <w:rPr>
          <w:rFonts w:ascii="Times New Roman" w:hAnsi="Times New Roman"/>
          <w:lang w:eastAsia="en-GB"/>
        </w:rPr>
        <w:t xml:space="preserve"> argument on behalf of the</w:t>
      </w:r>
      <w:r w:rsidRPr="00602F08">
        <w:rPr>
          <w:rFonts w:ascii="Times New Roman" w:hAnsi="Times New Roman"/>
          <w:lang w:eastAsia="en-GB"/>
        </w:rPr>
        <w:t xml:space="preserve"> Secretary of State discussed the impracticability of a waiting list or of putting </w:t>
      </w:r>
      <w:r w:rsidR="00657A3C">
        <w:rPr>
          <w:rFonts w:ascii="Times New Roman" w:hAnsi="Times New Roman"/>
          <w:lang w:eastAsia="en-GB"/>
        </w:rPr>
        <w:t>one</w:t>
      </w:r>
      <w:r w:rsidRPr="00602F08">
        <w:rPr>
          <w:rFonts w:ascii="Times New Roman" w:hAnsi="Times New Roman"/>
          <w:lang w:eastAsia="en-GB"/>
        </w:rPr>
        <w:t xml:space="preserve"> request </w:t>
      </w:r>
      <w:r w:rsidR="00657A3C">
        <w:rPr>
          <w:rFonts w:ascii="Times New Roman" w:hAnsi="Times New Roman"/>
          <w:lang w:eastAsia="en-GB"/>
        </w:rPr>
        <w:t xml:space="preserve">(say </w:t>
      </w:r>
      <w:r w:rsidRPr="00602F08">
        <w:rPr>
          <w:rFonts w:ascii="Times New Roman" w:hAnsi="Times New Roman"/>
          <w:lang w:eastAsia="en-GB"/>
        </w:rPr>
        <w:t xml:space="preserve">for an accessible room within a mile of </w:t>
      </w:r>
      <w:r w:rsidR="00657A3C">
        <w:rPr>
          <w:rFonts w:ascii="Times New Roman" w:hAnsi="Times New Roman"/>
          <w:lang w:eastAsia="en-GB"/>
        </w:rPr>
        <w:t xml:space="preserve">London </w:t>
      </w:r>
      <w:r w:rsidRPr="00602F08">
        <w:rPr>
          <w:rFonts w:ascii="Times New Roman" w:hAnsi="Times New Roman"/>
          <w:lang w:eastAsia="en-GB"/>
        </w:rPr>
        <w:t>E8</w:t>
      </w:r>
      <w:r w:rsidR="00657A3C">
        <w:rPr>
          <w:rFonts w:ascii="Times New Roman" w:hAnsi="Times New Roman"/>
          <w:lang w:eastAsia="en-GB"/>
        </w:rPr>
        <w:t>)</w:t>
      </w:r>
      <w:r w:rsidRPr="00602F08">
        <w:rPr>
          <w:rFonts w:ascii="Times New Roman" w:hAnsi="Times New Roman"/>
          <w:lang w:eastAsia="en-GB"/>
        </w:rPr>
        <w:t xml:space="preserve"> either ‘ahead’ or ‘behind’ a</w:t>
      </w:r>
      <w:r w:rsidR="007931B2">
        <w:rPr>
          <w:rFonts w:ascii="Times New Roman" w:hAnsi="Times New Roman"/>
          <w:lang w:eastAsia="en-GB"/>
        </w:rPr>
        <w:t>nother</w:t>
      </w:r>
      <w:r w:rsidRPr="00602F08">
        <w:rPr>
          <w:rFonts w:ascii="Times New Roman" w:hAnsi="Times New Roman"/>
          <w:lang w:eastAsia="en-GB"/>
        </w:rPr>
        <w:t xml:space="preserve"> request </w:t>
      </w:r>
      <w:r w:rsidR="007931B2">
        <w:rPr>
          <w:rFonts w:ascii="Times New Roman" w:hAnsi="Times New Roman"/>
          <w:lang w:eastAsia="en-GB"/>
        </w:rPr>
        <w:t xml:space="preserve">(say </w:t>
      </w:r>
      <w:r w:rsidRPr="00602F08">
        <w:rPr>
          <w:rFonts w:ascii="Times New Roman" w:hAnsi="Times New Roman"/>
          <w:lang w:eastAsia="en-GB"/>
        </w:rPr>
        <w:t xml:space="preserve">for an accessible room within a mile of </w:t>
      </w:r>
      <w:r w:rsidR="007931B2">
        <w:rPr>
          <w:rFonts w:ascii="Times New Roman" w:hAnsi="Times New Roman"/>
          <w:lang w:eastAsia="en-GB"/>
        </w:rPr>
        <w:t xml:space="preserve">London </w:t>
      </w:r>
      <w:r w:rsidRPr="00602F08">
        <w:rPr>
          <w:rFonts w:ascii="Times New Roman" w:hAnsi="Times New Roman"/>
          <w:lang w:eastAsia="en-GB"/>
        </w:rPr>
        <w:t>W12</w:t>
      </w:r>
      <w:r w:rsidR="007931B2">
        <w:rPr>
          <w:rFonts w:ascii="Times New Roman" w:hAnsi="Times New Roman"/>
          <w:lang w:eastAsia="en-GB"/>
        </w:rPr>
        <w:t>)</w:t>
      </w:r>
      <w:r w:rsidRPr="00602F08">
        <w:rPr>
          <w:rFonts w:ascii="Times New Roman" w:hAnsi="Times New Roman"/>
          <w:lang w:eastAsia="en-GB"/>
        </w:rPr>
        <w:t xml:space="preserve">. This </w:t>
      </w:r>
      <w:r w:rsidR="000B1087" w:rsidRPr="00602F08">
        <w:rPr>
          <w:rFonts w:ascii="Times New Roman" w:hAnsi="Times New Roman"/>
          <w:lang w:eastAsia="en-GB"/>
        </w:rPr>
        <w:t>example, with respect, does not begin to appreciate the scale of the issue</w:t>
      </w:r>
      <w:r w:rsidR="005D28C6" w:rsidRPr="00602F08">
        <w:rPr>
          <w:rFonts w:ascii="Times New Roman" w:hAnsi="Times New Roman"/>
          <w:lang w:eastAsia="en-GB"/>
        </w:rPr>
        <w:t xml:space="preserve"> and the work needed</w:t>
      </w:r>
      <w:r w:rsidR="000B1087" w:rsidRPr="00602F08">
        <w:rPr>
          <w:rFonts w:ascii="Times New Roman" w:hAnsi="Times New Roman"/>
          <w:lang w:eastAsia="en-GB"/>
        </w:rPr>
        <w:t>.</w:t>
      </w:r>
    </w:p>
    <w:p w14:paraId="460EB83B" w14:textId="16B31289" w:rsidR="00C93CC4" w:rsidRPr="00602F08" w:rsidRDefault="00C93CC4" w:rsidP="00B6212D">
      <w:pPr>
        <w:ind w:firstLine="687"/>
        <w:jc w:val="both"/>
        <w:rPr>
          <w:rStyle w:val="normaltextrun"/>
          <w:u w:val="single"/>
          <w:lang w:val="en-US"/>
        </w:rPr>
      </w:pPr>
    </w:p>
    <w:p w14:paraId="6EDAD700" w14:textId="77777777" w:rsidR="00D62581" w:rsidRPr="00602F08" w:rsidRDefault="00D62581" w:rsidP="00B6212D">
      <w:pPr>
        <w:ind w:firstLine="687"/>
        <w:jc w:val="both"/>
        <w:rPr>
          <w:rStyle w:val="normaltextrun"/>
          <w:u w:val="single"/>
          <w:lang w:val="en-US"/>
        </w:rPr>
      </w:pPr>
    </w:p>
    <w:p w14:paraId="097E0CC7" w14:textId="793374A4" w:rsidR="004817A2" w:rsidRPr="00602F08" w:rsidRDefault="002C0667" w:rsidP="00B6212D">
      <w:pPr>
        <w:ind w:firstLine="687"/>
        <w:jc w:val="both"/>
        <w:rPr>
          <w:rStyle w:val="normaltextrun"/>
          <w:u w:val="single"/>
          <w:lang w:val="en-US"/>
        </w:rPr>
      </w:pPr>
      <w:r w:rsidRPr="00602F08">
        <w:rPr>
          <w:rStyle w:val="normaltextrun"/>
          <w:u w:val="single"/>
          <w:lang w:val="en-US"/>
        </w:rPr>
        <w:t>Public sector equality duty</w:t>
      </w:r>
    </w:p>
    <w:p w14:paraId="7E64381C" w14:textId="77777777" w:rsidR="00162769" w:rsidRPr="00602F08" w:rsidRDefault="00162769" w:rsidP="00B6212D">
      <w:pPr>
        <w:pStyle w:val="ListParagraph"/>
        <w:jc w:val="both"/>
        <w:rPr>
          <w:rStyle w:val="normaltextrun"/>
          <w:rFonts w:ascii="Times New Roman" w:hAnsi="Times New Roman"/>
          <w:lang w:val="en-US"/>
        </w:rPr>
      </w:pPr>
    </w:p>
    <w:p w14:paraId="4C3D19D2" w14:textId="6FC8BF4C" w:rsidR="005C16FB" w:rsidRDefault="00220FB1"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Section 149 </w:t>
      </w:r>
      <w:r w:rsidR="002F763A">
        <w:rPr>
          <w:rStyle w:val="normaltextrun"/>
          <w:rFonts w:ascii="Times New Roman" w:hAnsi="Times New Roman"/>
          <w:lang w:val="en-US"/>
        </w:rPr>
        <w:t xml:space="preserve">of the Equality Act </w:t>
      </w:r>
      <w:r w:rsidR="00DD4281" w:rsidRPr="00602F08">
        <w:rPr>
          <w:rStyle w:val="normaltextrun"/>
          <w:rFonts w:ascii="Times New Roman" w:hAnsi="Times New Roman"/>
          <w:lang w:val="en-US"/>
        </w:rPr>
        <w:t xml:space="preserve">is set out above, so far as material. </w:t>
      </w:r>
      <w:r w:rsidR="002F12E6" w:rsidRPr="00602F08">
        <w:rPr>
          <w:rStyle w:val="normaltextrun"/>
          <w:rFonts w:ascii="Times New Roman" w:hAnsi="Times New Roman"/>
          <w:lang w:val="en-US"/>
        </w:rPr>
        <w:t>Th</w:t>
      </w:r>
      <w:r w:rsidR="002F763A">
        <w:rPr>
          <w:rStyle w:val="normaltextrun"/>
          <w:rFonts w:ascii="Times New Roman" w:hAnsi="Times New Roman"/>
          <w:lang w:val="en-US"/>
        </w:rPr>
        <w:t>us, th</w:t>
      </w:r>
      <w:r w:rsidR="002F12E6" w:rsidRPr="00602F08">
        <w:rPr>
          <w:rStyle w:val="normaltextrun"/>
          <w:rFonts w:ascii="Times New Roman" w:hAnsi="Times New Roman"/>
          <w:lang w:val="en-US"/>
        </w:rPr>
        <w:t xml:space="preserve">e law </w:t>
      </w:r>
      <w:r w:rsidRPr="00602F08">
        <w:rPr>
          <w:rStyle w:val="normaltextrun"/>
          <w:rFonts w:ascii="Times New Roman" w:hAnsi="Times New Roman"/>
          <w:lang w:val="en-US"/>
        </w:rPr>
        <w:t>requires the Secretary of State</w:t>
      </w:r>
      <w:r w:rsidR="00C5707E" w:rsidRPr="00602F08">
        <w:rPr>
          <w:rStyle w:val="normaltextrun"/>
          <w:rFonts w:ascii="Times New Roman" w:hAnsi="Times New Roman"/>
          <w:lang w:val="en-US"/>
        </w:rPr>
        <w:t xml:space="preserve">, in the exercise of </w:t>
      </w:r>
      <w:r w:rsidRPr="00602F08">
        <w:rPr>
          <w:rStyle w:val="normaltextrun"/>
          <w:rFonts w:ascii="Times New Roman" w:hAnsi="Times New Roman"/>
          <w:lang w:val="en-US"/>
        </w:rPr>
        <w:t>her</w:t>
      </w:r>
      <w:r w:rsidR="00C5707E" w:rsidRPr="00602F08">
        <w:rPr>
          <w:rStyle w:val="normaltextrun"/>
          <w:rFonts w:ascii="Times New Roman" w:hAnsi="Times New Roman"/>
          <w:lang w:val="en-US"/>
        </w:rPr>
        <w:t xml:space="preserve"> functions, </w:t>
      </w:r>
      <w:r w:rsidRPr="00602F08">
        <w:rPr>
          <w:rStyle w:val="normaltextrun"/>
          <w:rFonts w:ascii="Times New Roman" w:hAnsi="Times New Roman"/>
          <w:lang w:val="en-US"/>
        </w:rPr>
        <w:t xml:space="preserve">to </w:t>
      </w:r>
      <w:r w:rsidR="00C5707E" w:rsidRPr="00602F08">
        <w:rPr>
          <w:rStyle w:val="normaltextrun"/>
          <w:rFonts w:ascii="Times New Roman" w:hAnsi="Times New Roman"/>
          <w:lang w:val="en-US"/>
        </w:rPr>
        <w:t xml:space="preserve">have due regard to the need </w:t>
      </w:r>
      <w:r w:rsidR="00B27B20">
        <w:rPr>
          <w:rStyle w:val="normaltextrun"/>
          <w:rFonts w:ascii="Times New Roman" w:hAnsi="Times New Roman"/>
          <w:lang w:val="en-US"/>
        </w:rPr>
        <w:t xml:space="preserve">to </w:t>
      </w:r>
      <w:r w:rsidR="00C5707E" w:rsidRPr="00602F08">
        <w:rPr>
          <w:rStyle w:val="normaltextrun"/>
          <w:rFonts w:ascii="Times New Roman" w:hAnsi="Times New Roman"/>
          <w:lang w:val="en-US"/>
        </w:rPr>
        <w:t>eliminate discrimination</w:t>
      </w:r>
      <w:r w:rsidRPr="00602F08">
        <w:rPr>
          <w:rStyle w:val="normaltextrun"/>
          <w:rFonts w:ascii="Times New Roman" w:hAnsi="Times New Roman"/>
          <w:lang w:val="en-US"/>
        </w:rPr>
        <w:t>.</w:t>
      </w:r>
      <w:r w:rsidR="002F12E6" w:rsidRPr="00602F08">
        <w:rPr>
          <w:rStyle w:val="normaltextrun"/>
          <w:rFonts w:ascii="Times New Roman" w:hAnsi="Times New Roman"/>
          <w:lang w:val="en-US"/>
        </w:rPr>
        <w:t xml:space="preserve"> It also requires that</w:t>
      </w:r>
      <w:r w:rsidR="0093140A" w:rsidRPr="00602F08">
        <w:rPr>
          <w:rStyle w:val="normaltextrun"/>
          <w:rFonts w:ascii="Times New Roman" w:hAnsi="Times New Roman"/>
          <w:lang w:val="en-US"/>
        </w:rPr>
        <w:t xml:space="preserve">, in the exercise of her functions, she have due regard to the need to </w:t>
      </w:r>
      <w:r w:rsidR="00DD4281" w:rsidRPr="00602F08">
        <w:rPr>
          <w:rStyle w:val="normaltextrun"/>
          <w:rFonts w:ascii="Times New Roman" w:hAnsi="Times New Roman"/>
          <w:lang w:val="en-US"/>
        </w:rPr>
        <w:t xml:space="preserve">advance equality of opportunity between persons who share a relevant protected characteristic </w:t>
      </w:r>
      <w:r w:rsidR="00296ECD" w:rsidRPr="00602F08">
        <w:rPr>
          <w:rStyle w:val="normaltextrun"/>
          <w:rFonts w:ascii="Times New Roman" w:hAnsi="Times New Roman"/>
          <w:lang w:val="en-US"/>
        </w:rPr>
        <w:t xml:space="preserve">(such as disability) </w:t>
      </w:r>
      <w:r w:rsidR="00DD4281" w:rsidRPr="00602F08">
        <w:rPr>
          <w:rStyle w:val="normaltextrun"/>
          <w:rFonts w:ascii="Times New Roman" w:hAnsi="Times New Roman"/>
          <w:lang w:val="en-US"/>
        </w:rPr>
        <w:t>and persons who do not share it</w:t>
      </w:r>
      <w:r w:rsidR="00D71E7C" w:rsidRPr="00602F08">
        <w:rPr>
          <w:rStyle w:val="normaltextrun"/>
          <w:rFonts w:ascii="Times New Roman" w:hAnsi="Times New Roman"/>
          <w:lang w:val="en-US"/>
        </w:rPr>
        <w:t xml:space="preserve">. </w:t>
      </w:r>
    </w:p>
    <w:p w14:paraId="2AC585AF" w14:textId="77777777" w:rsidR="005C16FB" w:rsidRDefault="005C16FB" w:rsidP="005C16FB">
      <w:pPr>
        <w:pStyle w:val="ListParagraph"/>
        <w:ind w:left="687"/>
        <w:jc w:val="both"/>
        <w:rPr>
          <w:rStyle w:val="normaltextrun"/>
          <w:rFonts w:ascii="Times New Roman" w:hAnsi="Times New Roman"/>
          <w:lang w:val="en-US"/>
        </w:rPr>
      </w:pPr>
    </w:p>
    <w:p w14:paraId="2239D483" w14:textId="77777777" w:rsidR="003A106E" w:rsidRDefault="002E7025" w:rsidP="003A106E">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The latter</w:t>
      </w:r>
      <w:r w:rsidR="00DD4281" w:rsidRPr="00602F08">
        <w:rPr>
          <w:rStyle w:val="normaltextrun"/>
          <w:rFonts w:ascii="Times New Roman" w:hAnsi="Times New Roman"/>
          <w:lang w:val="en-US"/>
        </w:rPr>
        <w:t xml:space="preserve"> involves having due regard, in particular, to the need to</w:t>
      </w:r>
      <w:r w:rsidR="00550EEE" w:rsidRPr="00602F08">
        <w:rPr>
          <w:rStyle w:val="normaltextrun"/>
          <w:rFonts w:ascii="Times New Roman" w:hAnsi="Times New Roman"/>
          <w:lang w:val="en-US"/>
        </w:rPr>
        <w:t xml:space="preserve"> </w:t>
      </w:r>
      <w:r w:rsidR="00DD4281" w:rsidRPr="00602F08">
        <w:rPr>
          <w:rStyle w:val="normaltextrun"/>
          <w:rFonts w:ascii="Times New Roman" w:hAnsi="Times New Roman"/>
          <w:lang w:val="en-US"/>
        </w:rPr>
        <w:t>remove or minimise disadvantages suffered by persons who share a relevant protected characteristic that are connected to that characteristic</w:t>
      </w:r>
      <w:r w:rsidR="00887EF8">
        <w:rPr>
          <w:rStyle w:val="normaltextrun"/>
          <w:rFonts w:ascii="Times New Roman" w:hAnsi="Times New Roman"/>
          <w:lang w:val="en-US"/>
        </w:rPr>
        <w:t>,</w:t>
      </w:r>
      <w:r w:rsidRPr="00602F08">
        <w:rPr>
          <w:rStyle w:val="normaltextrun"/>
          <w:rFonts w:ascii="Times New Roman" w:hAnsi="Times New Roman"/>
          <w:lang w:val="en-US"/>
        </w:rPr>
        <w:t xml:space="preserve"> and</w:t>
      </w:r>
      <w:r w:rsidR="00DD4281" w:rsidRPr="00602F08">
        <w:rPr>
          <w:rStyle w:val="normaltextrun"/>
          <w:rFonts w:ascii="Times New Roman" w:hAnsi="Times New Roman"/>
          <w:lang w:val="en-US"/>
        </w:rPr>
        <w:t xml:space="preserve"> </w:t>
      </w:r>
      <w:r w:rsidR="00887EF8">
        <w:rPr>
          <w:rStyle w:val="normaltextrun"/>
          <w:rFonts w:ascii="Times New Roman" w:hAnsi="Times New Roman"/>
          <w:lang w:val="en-US"/>
        </w:rPr>
        <w:t xml:space="preserve">to </w:t>
      </w:r>
      <w:r w:rsidR="00DD4281" w:rsidRPr="00602F08">
        <w:rPr>
          <w:rStyle w:val="normaltextrun"/>
          <w:rFonts w:ascii="Times New Roman" w:hAnsi="Times New Roman"/>
          <w:lang w:val="en-US"/>
        </w:rPr>
        <w:t>take steps to meet the needs of persons who share a relevant protected characteristic that are different from the needs of persons who do not share it</w:t>
      </w:r>
      <w:r w:rsidRPr="00602F08">
        <w:rPr>
          <w:rStyle w:val="normaltextrun"/>
          <w:rFonts w:ascii="Times New Roman" w:hAnsi="Times New Roman"/>
          <w:lang w:val="en-US"/>
        </w:rPr>
        <w:t>.</w:t>
      </w:r>
    </w:p>
    <w:p w14:paraId="1F9A5745" w14:textId="77777777" w:rsidR="003A106E" w:rsidRPr="003A106E" w:rsidRDefault="003A106E" w:rsidP="003A106E">
      <w:pPr>
        <w:pStyle w:val="ListParagraph"/>
        <w:rPr>
          <w:rStyle w:val="normaltextrun"/>
          <w:rFonts w:ascii="Times New Roman" w:hAnsi="Times New Roman"/>
          <w:lang w:val="en-US"/>
        </w:rPr>
      </w:pPr>
    </w:p>
    <w:p w14:paraId="2FF867BC" w14:textId="12A5E274" w:rsidR="00162769" w:rsidRPr="003A106E" w:rsidRDefault="004817A2" w:rsidP="003A106E">
      <w:pPr>
        <w:pStyle w:val="ListParagraph"/>
        <w:numPr>
          <w:ilvl w:val="0"/>
          <w:numId w:val="10"/>
        </w:numPr>
        <w:jc w:val="both"/>
        <w:rPr>
          <w:rStyle w:val="normaltextrun"/>
          <w:rFonts w:ascii="Times New Roman" w:hAnsi="Times New Roman"/>
          <w:lang w:val="en-US"/>
        </w:rPr>
      </w:pPr>
      <w:r w:rsidRPr="003A106E">
        <w:rPr>
          <w:rStyle w:val="normaltextrun"/>
          <w:rFonts w:ascii="Times New Roman" w:hAnsi="Times New Roman"/>
          <w:lang w:val="en-US"/>
        </w:rPr>
        <w:t>Ms Leventhal</w:t>
      </w:r>
      <w:r w:rsidR="008E7AA3" w:rsidRPr="003A106E">
        <w:rPr>
          <w:rStyle w:val="normaltextrun"/>
          <w:rFonts w:ascii="Times New Roman" w:hAnsi="Times New Roman"/>
          <w:lang w:val="en-US"/>
        </w:rPr>
        <w:t xml:space="preserve"> </w:t>
      </w:r>
      <w:r w:rsidRPr="003A106E">
        <w:rPr>
          <w:rStyle w:val="normaltextrun"/>
          <w:rFonts w:ascii="Times New Roman" w:hAnsi="Times New Roman"/>
          <w:lang w:val="en-US"/>
        </w:rPr>
        <w:t>contend</w:t>
      </w:r>
      <w:r w:rsidR="00F87482" w:rsidRPr="003A106E">
        <w:rPr>
          <w:rStyle w:val="normaltextrun"/>
          <w:rFonts w:ascii="Times New Roman" w:hAnsi="Times New Roman"/>
          <w:lang w:val="en-US"/>
        </w:rPr>
        <w:t>ed</w:t>
      </w:r>
      <w:r w:rsidR="008E7AA3" w:rsidRPr="003A106E">
        <w:rPr>
          <w:rStyle w:val="normaltextrun"/>
          <w:rFonts w:ascii="Times New Roman" w:hAnsi="Times New Roman"/>
          <w:lang w:val="en-US"/>
        </w:rPr>
        <w:t xml:space="preserve"> the</w:t>
      </w:r>
      <w:r w:rsidR="003A106E">
        <w:rPr>
          <w:rStyle w:val="normaltextrun"/>
          <w:rFonts w:ascii="Times New Roman" w:hAnsi="Times New Roman"/>
          <w:lang w:val="en-US"/>
        </w:rPr>
        <w:t xml:space="preserve"> present case reveals </w:t>
      </w:r>
      <w:r w:rsidR="008E7AA3" w:rsidRPr="003A106E">
        <w:rPr>
          <w:rStyle w:val="normaltextrun"/>
          <w:rFonts w:ascii="Times New Roman" w:hAnsi="Times New Roman"/>
          <w:lang w:val="en-US"/>
        </w:rPr>
        <w:t xml:space="preserve">a clear breach of the public sector equality duty </w:t>
      </w:r>
      <w:r w:rsidR="00F87482" w:rsidRPr="003A106E">
        <w:rPr>
          <w:rStyle w:val="normaltextrun"/>
          <w:rFonts w:ascii="Times New Roman" w:hAnsi="Times New Roman"/>
          <w:lang w:val="en-US"/>
        </w:rPr>
        <w:t xml:space="preserve">that is </w:t>
      </w:r>
      <w:r w:rsidR="008E7AA3" w:rsidRPr="003A106E">
        <w:rPr>
          <w:rStyle w:val="normaltextrun"/>
          <w:rFonts w:ascii="Times New Roman" w:hAnsi="Times New Roman"/>
          <w:lang w:val="en-US"/>
        </w:rPr>
        <w:t xml:space="preserve">provided by </w:t>
      </w:r>
      <w:r w:rsidR="00F87482" w:rsidRPr="003A106E">
        <w:rPr>
          <w:rStyle w:val="normaltextrun"/>
          <w:rFonts w:ascii="Times New Roman" w:hAnsi="Times New Roman"/>
          <w:lang w:val="en-US"/>
        </w:rPr>
        <w:t>section 149</w:t>
      </w:r>
      <w:r w:rsidR="00951BCF" w:rsidRPr="003A106E">
        <w:rPr>
          <w:rStyle w:val="normaltextrun"/>
          <w:rFonts w:ascii="Times New Roman" w:hAnsi="Times New Roman"/>
          <w:lang w:val="en-US"/>
        </w:rPr>
        <w:t xml:space="preserve">. She </w:t>
      </w:r>
      <w:r w:rsidR="00FD4F87" w:rsidRPr="003A106E">
        <w:rPr>
          <w:rStyle w:val="normaltextrun"/>
          <w:rFonts w:ascii="Times New Roman" w:hAnsi="Times New Roman"/>
          <w:lang w:val="en-US"/>
        </w:rPr>
        <w:t xml:space="preserve">again </w:t>
      </w:r>
      <w:r w:rsidR="00951BCF" w:rsidRPr="003A106E">
        <w:rPr>
          <w:rStyle w:val="normaltextrun"/>
          <w:rFonts w:ascii="Times New Roman" w:hAnsi="Times New Roman"/>
          <w:lang w:val="en-US"/>
        </w:rPr>
        <w:t>centre</w:t>
      </w:r>
      <w:r w:rsidR="00F87482" w:rsidRPr="003A106E">
        <w:rPr>
          <w:rStyle w:val="normaltextrun"/>
          <w:rFonts w:ascii="Times New Roman" w:hAnsi="Times New Roman"/>
          <w:lang w:val="en-US"/>
        </w:rPr>
        <w:t>d</w:t>
      </w:r>
      <w:r w:rsidR="00951BCF" w:rsidRPr="003A106E">
        <w:rPr>
          <w:rStyle w:val="normaltextrun"/>
          <w:rFonts w:ascii="Times New Roman" w:hAnsi="Times New Roman"/>
          <w:lang w:val="en-US"/>
        </w:rPr>
        <w:t xml:space="preserve"> this </w:t>
      </w:r>
      <w:r w:rsidR="00F87482" w:rsidRPr="003A106E">
        <w:rPr>
          <w:rStyle w:val="normaltextrun"/>
          <w:rFonts w:ascii="Times New Roman" w:hAnsi="Times New Roman"/>
          <w:lang w:val="en-US"/>
        </w:rPr>
        <w:t xml:space="preserve">contention </w:t>
      </w:r>
      <w:r w:rsidR="00951BCF" w:rsidRPr="003A106E">
        <w:rPr>
          <w:rStyle w:val="normaltextrun"/>
          <w:rFonts w:ascii="Times New Roman" w:hAnsi="Times New Roman"/>
          <w:lang w:val="en-US"/>
        </w:rPr>
        <w:t xml:space="preserve">on </w:t>
      </w:r>
      <w:r w:rsidR="00A944CF" w:rsidRPr="003A106E">
        <w:rPr>
          <w:rStyle w:val="normaltextrun"/>
          <w:rFonts w:ascii="Times New Roman" w:hAnsi="Times New Roman"/>
          <w:lang w:val="en-US"/>
        </w:rPr>
        <w:t>monitoring:</w:t>
      </w:r>
    </w:p>
    <w:p w14:paraId="4E5DF26D" w14:textId="052A152C" w:rsidR="00A944CF" w:rsidRPr="00602F08" w:rsidRDefault="00A944CF" w:rsidP="00B6212D">
      <w:pPr>
        <w:ind w:left="687"/>
        <w:jc w:val="both"/>
        <w:rPr>
          <w:rStyle w:val="normaltextrun"/>
          <w:lang w:val="en-US"/>
        </w:rPr>
      </w:pPr>
    </w:p>
    <w:p w14:paraId="0104640B" w14:textId="34718BBF" w:rsidR="004A472C" w:rsidRPr="00602F08" w:rsidRDefault="00A944CF" w:rsidP="00B6212D">
      <w:pPr>
        <w:ind w:left="1440"/>
        <w:jc w:val="both"/>
        <w:rPr>
          <w:rStyle w:val="normaltextrun"/>
          <w:lang w:val="en-US"/>
        </w:rPr>
      </w:pPr>
      <w:r w:rsidRPr="00602F08">
        <w:rPr>
          <w:rStyle w:val="normaltextrun"/>
          <w:lang w:val="en-US"/>
        </w:rPr>
        <w:t xml:space="preserve">“… [T]here is a fundamental obstacle </w:t>
      </w:r>
      <w:r w:rsidR="00DB48F9" w:rsidRPr="00602F08">
        <w:rPr>
          <w:rStyle w:val="normaltextrun"/>
          <w:lang w:val="en-US"/>
        </w:rPr>
        <w:t>preventing [the Secretary of State] being able to have “due regard”</w:t>
      </w:r>
      <w:r w:rsidR="00111F00" w:rsidRPr="00602F08">
        <w:rPr>
          <w:rStyle w:val="normaltextrun"/>
          <w:lang w:val="en-US"/>
        </w:rPr>
        <w:t xml:space="preserve"> to</w:t>
      </w:r>
      <w:r w:rsidR="00A24C24" w:rsidRPr="00602F08">
        <w:rPr>
          <w:rStyle w:val="normaltextrun"/>
          <w:lang w:val="en-US"/>
        </w:rPr>
        <w:t xml:space="preserve"> </w:t>
      </w:r>
      <w:r w:rsidR="00960A99" w:rsidRPr="00602F08">
        <w:rPr>
          <w:rStyle w:val="normaltextrun"/>
          <w:lang w:val="en-US"/>
        </w:rPr>
        <w:t>the need to eliminate discrimination, advance</w:t>
      </w:r>
      <w:r w:rsidR="003311D0" w:rsidRPr="00602F08">
        <w:rPr>
          <w:rStyle w:val="normaltextrun"/>
          <w:lang w:val="en-US"/>
        </w:rPr>
        <w:t xml:space="preserve"> equality of opportunity and foster good relations in respect of disabled people within the s.4 scheme as required by s.149(1)(a), (b) and/or (c)</w:t>
      </w:r>
      <w:r w:rsidR="005B6A06" w:rsidRPr="00602F08">
        <w:rPr>
          <w:rStyle w:val="normaltextrun"/>
          <w:lang w:val="en-US"/>
        </w:rPr>
        <w:t xml:space="preserve"> and s. 149(4). That follows from the simple failure to undertake any form of monitoring </w:t>
      </w:r>
      <w:r w:rsidR="000F712B" w:rsidRPr="00602F08">
        <w:rPr>
          <w:rStyle w:val="normaltextrun"/>
          <w:lang w:val="en-US"/>
        </w:rPr>
        <w:t xml:space="preserve">of disabled </w:t>
      </w:r>
      <w:r w:rsidR="00EB7529" w:rsidRPr="00602F08">
        <w:rPr>
          <w:rStyle w:val="normaltextrun"/>
          <w:lang w:val="en-US"/>
        </w:rPr>
        <w:t xml:space="preserve">[individuals] </w:t>
      </w:r>
      <w:r w:rsidR="000F712B" w:rsidRPr="00602F08">
        <w:rPr>
          <w:rStyle w:val="normaltextrun"/>
          <w:lang w:val="en-US"/>
        </w:rPr>
        <w:t>accessing the system.”</w:t>
      </w:r>
    </w:p>
    <w:p w14:paraId="170D3C3C" w14:textId="1BB9ADDC" w:rsidR="00DB48F9" w:rsidRPr="00602F08" w:rsidRDefault="000F712B" w:rsidP="00B6212D">
      <w:pPr>
        <w:jc w:val="both"/>
        <w:rPr>
          <w:rStyle w:val="normaltextrun"/>
          <w:lang w:val="en-US"/>
        </w:rPr>
      </w:pPr>
      <w:r w:rsidRPr="00602F08">
        <w:rPr>
          <w:rStyle w:val="normaltextrun"/>
          <w:lang w:val="en-US"/>
        </w:rPr>
        <w:t xml:space="preserve"> </w:t>
      </w:r>
    </w:p>
    <w:p w14:paraId="27ED29C4" w14:textId="33B2AECB" w:rsidR="00660FFF" w:rsidRDefault="00333C54" w:rsidP="00B6212D">
      <w:pPr>
        <w:pStyle w:val="ListParagraph"/>
        <w:numPr>
          <w:ilvl w:val="0"/>
          <w:numId w:val="10"/>
        </w:numPr>
        <w:jc w:val="both"/>
        <w:rPr>
          <w:rStyle w:val="normaltextrun"/>
          <w:rFonts w:ascii="Times New Roman" w:hAnsi="Times New Roman"/>
          <w:lang w:val="en-US"/>
        </w:rPr>
      </w:pPr>
      <w:r>
        <w:rPr>
          <w:rStyle w:val="normaltextrun"/>
          <w:rFonts w:ascii="Times New Roman" w:hAnsi="Times New Roman"/>
          <w:lang w:val="en-US"/>
        </w:rPr>
        <w:t>In my judgment, t</w:t>
      </w:r>
      <w:r w:rsidR="00DB48F9" w:rsidRPr="00602F08">
        <w:rPr>
          <w:rStyle w:val="normaltextrun"/>
          <w:rFonts w:ascii="Times New Roman" w:hAnsi="Times New Roman"/>
          <w:lang w:val="en-US"/>
        </w:rPr>
        <w:t>his goes to the heart of things.</w:t>
      </w:r>
    </w:p>
    <w:p w14:paraId="68E8706B" w14:textId="77777777" w:rsidR="00D21AC6" w:rsidRDefault="00D21AC6" w:rsidP="00D21AC6">
      <w:pPr>
        <w:pStyle w:val="ListParagraph"/>
        <w:ind w:left="687"/>
        <w:jc w:val="both"/>
        <w:rPr>
          <w:rStyle w:val="normaltextrun"/>
          <w:rFonts w:ascii="Times New Roman" w:hAnsi="Times New Roman"/>
          <w:lang w:val="en-US"/>
        </w:rPr>
      </w:pPr>
    </w:p>
    <w:p w14:paraId="4B14F71F" w14:textId="77D21B75" w:rsidR="003B31BA" w:rsidRPr="003B31BA" w:rsidRDefault="00D21AC6" w:rsidP="00FC324C">
      <w:pPr>
        <w:pStyle w:val="ListParagraph"/>
        <w:numPr>
          <w:ilvl w:val="0"/>
          <w:numId w:val="10"/>
        </w:numPr>
        <w:jc w:val="both"/>
        <w:rPr>
          <w:rStyle w:val="normaltextrun"/>
          <w:rFonts w:ascii="Times New Roman" w:hAnsi="Times New Roman"/>
          <w:lang w:val="en-US"/>
        </w:rPr>
      </w:pPr>
      <w:r>
        <w:rPr>
          <w:rStyle w:val="normaltextrun"/>
          <w:rFonts w:ascii="Times New Roman" w:hAnsi="Times New Roman"/>
          <w:lang w:val="en-US"/>
        </w:rPr>
        <w:t>In</w:t>
      </w:r>
      <w:r w:rsidR="00FF2716">
        <w:rPr>
          <w:rStyle w:val="normaltextrun"/>
          <w:rFonts w:ascii="Times New Roman" w:hAnsi="Times New Roman"/>
          <w:lang w:val="en-US"/>
        </w:rPr>
        <w:t xml:space="preserve"> </w:t>
      </w:r>
      <w:r w:rsidR="002B6D52" w:rsidRPr="00A52043">
        <w:rPr>
          <w:rStyle w:val="normaltextrun"/>
          <w:rFonts w:ascii="Times New Roman" w:hAnsi="Times New Roman"/>
          <w:u w:val="single"/>
          <w:lang w:val="en-US"/>
        </w:rPr>
        <w:t>R</w:t>
      </w:r>
      <w:r w:rsidR="00A52043">
        <w:rPr>
          <w:rStyle w:val="normaltextrun"/>
          <w:rFonts w:ascii="Times New Roman" w:hAnsi="Times New Roman"/>
          <w:u w:val="single"/>
          <w:lang w:val="en-US"/>
        </w:rPr>
        <w:t xml:space="preserve"> </w:t>
      </w:r>
      <w:r w:rsidR="002B6D52" w:rsidRPr="00A52043">
        <w:rPr>
          <w:rStyle w:val="normaltextrun"/>
          <w:rFonts w:ascii="Times New Roman" w:hAnsi="Times New Roman"/>
          <w:u w:val="single"/>
          <w:lang w:val="en-US"/>
        </w:rPr>
        <w:t>(Brown) v Secretary of State of Work and Pensions</w:t>
      </w:r>
      <w:r w:rsidR="002B6D52" w:rsidRPr="003B31BA">
        <w:rPr>
          <w:rStyle w:val="normaltextrun"/>
          <w:rFonts w:ascii="Times New Roman" w:hAnsi="Times New Roman"/>
          <w:lang w:val="en-US"/>
        </w:rPr>
        <w:t xml:space="preserve"> </w:t>
      </w:r>
      <w:r w:rsidR="00DA02A1" w:rsidRPr="003B31BA">
        <w:rPr>
          <w:rStyle w:val="normaltextrun"/>
          <w:rFonts w:ascii="Times New Roman" w:hAnsi="Times New Roman"/>
          <w:lang w:val="en-US"/>
        </w:rPr>
        <w:t xml:space="preserve">[2008] EWHC 3158 (Admin) </w:t>
      </w:r>
      <w:r w:rsidR="003B31BA">
        <w:rPr>
          <w:rStyle w:val="normaltextrun"/>
          <w:rFonts w:ascii="Times New Roman" w:hAnsi="Times New Roman"/>
          <w:lang w:val="en-US"/>
        </w:rPr>
        <w:t xml:space="preserve">at [85], </w:t>
      </w:r>
      <w:r w:rsidR="00DA02A1" w:rsidRPr="003B31BA">
        <w:rPr>
          <w:rStyle w:val="normaltextrun"/>
          <w:rFonts w:ascii="Times New Roman" w:hAnsi="Times New Roman"/>
          <w:lang w:val="en-US"/>
        </w:rPr>
        <w:t>Aikens</w:t>
      </w:r>
      <w:r w:rsidR="00D6385D" w:rsidRPr="003B31BA">
        <w:rPr>
          <w:rStyle w:val="normaltextrun"/>
          <w:rFonts w:ascii="Times New Roman" w:hAnsi="Times New Roman"/>
          <w:lang w:val="en-US"/>
        </w:rPr>
        <w:t xml:space="preserve"> and Scott Baker LJJ in a judgment to the Divisional Court to which both had contributed,</w:t>
      </w:r>
      <w:r w:rsidR="003B31BA">
        <w:rPr>
          <w:rStyle w:val="normaltextrun"/>
          <w:rFonts w:ascii="Times New Roman" w:hAnsi="Times New Roman"/>
          <w:lang w:val="en-US"/>
        </w:rPr>
        <w:t xml:space="preserve"> </w:t>
      </w:r>
      <w:r w:rsidR="00196045">
        <w:rPr>
          <w:rStyle w:val="normaltextrun"/>
          <w:rFonts w:ascii="Times New Roman" w:hAnsi="Times New Roman"/>
          <w:lang w:val="en-US"/>
        </w:rPr>
        <w:t>held:</w:t>
      </w:r>
    </w:p>
    <w:p w14:paraId="7E593C1F" w14:textId="77777777" w:rsidR="003B31BA" w:rsidRPr="003B31BA" w:rsidRDefault="003B31BA" w:rsidP="00FC324C">
      <w:pPr>
        <w:pStyle w:val="ListParagraph"/>
        <w:jc w:val="both"/>
        <w:rPr>
          <w:rStyle w:val="normaltextrun"/>
          <w:rFonts w:ascii="Times New Roman" w:hAnsi="Times New Roman"/>
          <w:lang w:val="en-US"/>
        </w:rPr>
      </w:pPr>
    </w:p>
    <w:p w14:paraId="1883E143" w14:textId="5F76AD74" w:rsidR="003B31BA" w:rsidRDefault="003B31BA" w:rsidP="00FC324C">
      <w:pPr>
        <w:pStyle w:val="ListParagraph"/>
        <w:ind w:left="1440"/>
        <w:jc w:val="both"/>
        <w:rPr>
          <w:rFonts w:ascii="Times New Roman" w:hAnsi="Times New Roman"/>
        </w:rPr>
      </w:pPr>
      <w:r w:rsidRPr="003B31BA">
        <w:rPr>
          <w:rStyle w:val="normaltextrun"/>
          <w:rFonts w:ascii="Times New Roman" w:hAnsi="Times New Roman"/>
          <w:lang w:val="en-US"/>
        </w:rPr>
        <w:t>“</w:t>
      </w:r>
      <w:bookmarkStart w:id="5" w:name="para85"/>
      <w:r w:rsidR="00196045">
        <w:rPr>
          <w:rStyle w:val="normaltextrun"/>
          <w:rFonts w:ascii="Times New Roman" w:hAnsi="Times New Roman"/>
          <w:lang w:val="en-US"/>
        </w:rPr>
        <w:t xml:space="preserve">… </w:t>
      </w:r>
      <w:r w:rsidRPr="003B31BA">
        <w:rPr>
          <w:rFonts w:ascii="Times New Roman" w:hAnsi="Times New Roman"/>
        </w:rPr>
        <w:t xml:space="preserve">the public authority concerned will, in our view, have to have due regard to the </w:t>
      </w:r>
      <w:r w:rsidRPr="003B31BA">
        <w:rPr>
          <w:rFonts w:ascii="Times New Roman" w:hAnsi="Times New Roman"/>
          <w:i/>
          <w:iCs/>
        </w:rPr>
        <w:t>need</w:t>
      </w:r>
      <w:r w:rsidRPr="003B31BA">
        <w:rPr>
          <w:rFonts w:ascii="Times New Roman" w:hAnsi="Times New Roman"/>
        </w:rPr>
        <w:t xml:space="preserve"> to take steps to gather relevant information in order that it can properly take steps to take into account disabled persons' disabilities in the context of the particular function under consideration.</w:t>
      </w:r>
      <w:bookmarkEnd w:id="5"/>
      <w:r w:rsidR="00196045">
        <w:rPr>
          <w:rFonts w:ascii="Times New Roman" w:hAnsi="Times New Roman"/>
        </w:rPr>
        <w:t>” [original emphasis]</w:t>
      </w:r>
    </w:p>
    <w:p w14:paraId="66E93785" w14:textId="77777777" w:rsidR="00060E3E" w:rsidRPr="008A23D3" w:rsidRDefault="00060E3E" w:rsidP="00FC324C">
      <w:pPr>
        <w:pStyle w:val="ListParagraph"/>
        <w:ind w:left="1440"/>
        <w:jc w:val="both"/>
        <w:rPr>
          <w:rStyle w:val="normaltextrun"/>
          <w:rFonts w:ascii="Times New Roman" w:hAnsi="Times New Roman"/>
          <w:lang w:val="en-US"/>
        </w:rPr>
      </w:pPr>
    </w:p>
    <w:p w14:paraId="4626DDBF" w14:textId="6A582E6D" w:rsidR="008A23D3" w:rsidRPr="00FC324C" w:rsidRDefault="003819EE" w:rsidP="00FC324C">
      <w:pPr>
        <w:pStyle w:val="ListParagraph"/>
        <w:jc w:val="both"/>
        <w:rPr>
          <w:rStyle w:val="normaltextrun"/>
          <w:rFonts w:ascii="Times New Roman" w:hAnsi="Times New Roman"/>
          <w:lang w:val="en-US"/>
        </w:rPr>
      </w:pPr>
      <w:r w:rsidRPr="008A23D3">
        <w:rPr>
          <w:rStyle w:val="normaltextrun"/>
          <w:rFonts w:ascii="Times New Roman" w:hAnsi="Times New Roman"/>
          <w:lang w:val="en-US"/>
        </w:rPr>
        <w:t>The passage</w:t>
      </w:r>
      <w:r w:rsidR="00060E3E" w:rsidRPr="008A23D3">
        <w:rPr>
          <w:rStyle w:val="normaltextrun"/>
          <w:rFonts w:ascii="Times New Roman" w:hAnsi="Times New Roman"/>
          <w:lang w:val="en-US"/>
        </w:rPr>
        <w:t xml:space="preserve"> address</w:t>
      </w:r>
      <w:r w:rsidRPr="008A23D3">
        <w:rPr>
          <w:rStyle w:val="normaltextrun"/>
          <w:rFonts w:ascii="Times New Roman" w:hAnsi="Times New Roman"/>
          <w:lang w:val="en-US"/>
        </w:rPr>
        <w:t>ed</w:t>
      </w:r>
      <w:r w:rsidR="00060E3E" w:rsidRPr="008A23D3">
        <w:rPr>
          <w:rStyle w:val="normaltextrun"/>
          <w:rFonts w:ascii="Times New Roman" w:hAnsi="Times New Roman"/>
          <w:lang w:val="en-US"/>
        </w:rPr>
        <w:t xml:space="preserve"> the Disability Discrimination Act 1995 as amended in 2005</w:t>
      </w:r>
      <w:r w:rsidR="00504916" w:rsidRPr="008A23D3">
        <w:rPr>
          <w:rStyle w:val="normaltextrun"/>
          <w:rFonts w:ascii="Times New Roman" w:hAnsi="Times New Roman"/>
          <w:lang w:val="en-US"/>
        </w:rPr>
        <w:t xml:space="preserve">. It </w:t>
      </w:r>
      <w:r w:rsidRPr="008A23D3">
        <w:rPr>
          <w:rStyle w:val="normaltextrun"/>
          <w:rFonts w:ascii="Times New Roman" w:hAnsi="Times New Roman"/>
          <w:lang w:val="en-US"/>
        </w:rPr>
        <w:t xml:space="preserve">was cited with approval by </w:t>
      </w:r>
      <w:r w:rsidR="00503757" w:rsidRPr="008A23D3">
        <w:rPr>
          <w:rStyle w:val="normaltextrun"/>
          <w:rFonts w:ascii="Times New Roman" w:hAnsi="Times New Roman"/>
          <w:lang w:val="en-US"/>
        </w:rPr>
        <w:t>the Divisional Court</w:t>
      </w:r>
      <w:r w:rsidR="00504916" w:rsidRPr="008A23D3">
        <w:rPr>
          <w:rStyle w:val="normaltextrun"/>
          <w:rFonts w:ascii="Times New Roman" w:hAnsi="Times New Roman"/>
          <w:lang w:val="en-US"/>
        </w:rPr>
        <w:t xml:space="preserve"> in </w:t>
      </w:r>
      <w:r w:rsidR="00D21AC6" w:rsidRPr="008A23D3">
        <w:rPr>
          <w:rStyle w:val="normaltextrun"/>
          <w:rFonts w:ascii="Times New Roman" w:hAnsi="Times New Roman"/>
          <w:u w:val="single"/>
          <w:lang w:val="en-US"/>
        </w:rPr>
        <w:t>R</w:t>
      </w:r>
      <w:r w:rsidR="002669D6" w:rsidRPr="008A23D3">
        <w:rPr>
          <w:rStyle w:val="normaltextrun"/>
          <w:rFonts w:ascii="Times New Roman" w:hAnsi="Times New Roman"/>
          <w:u w:val="single"/>
          <w:lang w:val="en-US"/>
        </w:rPr>
        <w:t xml:space="preserve"> </w:t>
      </w:r>
      <w:r w:rsidR="00D21AC6" w:rsidRPr="008A23D3">
        <w:rPr>
          <w:rStyle w:val="normaltextrun"/>
          <w:rFonts w:ascii="Times New Roman" w:hAnsi="Times New Roman"/>
          <w:u w:val="single"/>
          <w:lang w:val="en-US"/>
        </w:rPr>
        <w:t xml:space="preserve"> </w:t>
      </w:r>
      <w:r w:rsidR="003F48A9" w:rsidRPr="008A23D3">
        <w:rPr>
          <w:rStyle w:val="normaltextrun"/>
          <w:rFonts w:ascii="Times New Roman" w:hAnsi="Times New Roman"/>
          <w:u w:val="single"/>
          <w:lang w:val="en-US"/>
        </w:rPr>
        <w:t>(Hurley &amp; Moore) v Secretary of State for Business Innovation and Skills</w:t>
      </w:r>
      <w:r w:rsidR="006D177C" w:rsidRPr="008A23D3">
        <w:rPr>
          <w:rStyle w:val="normaltextrun"/>
          <w:rFonts w:ascii="Times New Roman" w:hAnsi="Times New Roman"/>
          <w:lang w:val="en-US"/>
        </w:rPr>
        <w:t xml:space="preserve"> [2012] EWHC 201 (Admin) at </w:t>
      </w:r>
      <w:r w:rsidR="00A43259" w:rsidRPr="008A23D3">
        <w:rPr>
          <w:rStyle w:val="normaltextrun"/>
          <w:rFonts w:ascii="Times New Roman" w:hAnsi="Times New Roman"/>
          <w:lang w:val="en-US"/>
        </w:rPr>
        <w:t>[89]-[90]</w:t>
      </w:r>
      <w:r w:rsidR="006B4BAD" w:rsidRPr="008A23D3">
        <w:rPr>
          <w:rStyle w:val="normaltextrun"/>
          <w:rFonts w:ascii="Times New Roman" w:hAnsi="Times New Roman"/>
          <w:lang w:val="en-US"/>
        </w:rPr>
        <w:t xml:space="preserve"> Elias LJ</w:t>
      </w:r>
      <w:r w:rsidR="00504916" w:rsidRPr="008A23D3">
        <w:rPr>
          <w:rStyle w:val="normaltextrun"/>
          <w:rFonts w:ascii="Times New Roman" w:hAnsi="Times New Roman"/>
          <w:lang w:val="en-US"/>
        </w:rPr>
        <w:t xml:space="preserve"> and in turn by the Court of Appeal in </w:t>
      </w:r>
      <w:r w:rsidR="004C08C1" w:rsidRPr="008A23D3">
        <w:rPr>
          <w:rStyle w:val="normaltextrun"/>
          <w:rFonts w:ascii="Times New Roman" w:hAnsi="Times New Roman"/>
          <w:u w:val="single"/>
          <w:lang w:val="en-US"/>
        </w:rPr>
        <w:t xml:space="preserve">Stuart Bracking and Others v Secretary of State </w:t>
      </w:r>
      <w:r w:rsidR="00CD1F00" w:rsidRPr="008A23D3">
        <w:rPr>
          <w:rStyle w:val="normaltextrun"/>
          <w:rFonts w:ascii="Times New Roman" w:hAnsi="Times New Roman"/>
          <w:u w:val="single"/>
          <w:lang w:val="en-US"/>
        </w:rPr>
        <w:t>for Work and Pensions</w:t>
      </w:r>
      <w:r w:rsidR="00CD1F00" w:rsidRPr="008A23D3">
        <w:rPr>
          <w:rStyle w:val="normaltextrun"/>
          <w:rFonts w:ascii="Times New Roman" w:hAnsi="Times New Roman"/>
          <w:lang w:val="en-US"/>
        </w:rPr>
        <w:t xml:space="preserve"> [2013] EWCA Civ 1345 </w:t>
      </w:r>
      <w:r w:rsidR="0048785D" w:rsidRPr="008A23D3">
        <w:rPr>
          <w:rStyle w:val="normaltextrun"/>
          <w:rFonts w:ascii="Times New Roman" w:hAnsi="Times New Roman"/>
          <w:lang w:val="en-US"/>
        </w:rPr>
        <w:t>at [26(8)]</w:t>
      </w:r>
      <w:r w:rsidR="00A52043" w:rsidRPr="008A23D3">
        <w:rPr>
          <w:rStyle w:val="normaltextrun"/>
          <w:rFonts w:ascii="Times New Roman" w:hAnsi="Times New Roman"/>
          <w:lang w:val="en-US"/>
        </w:rPr>
        <w:t>, a decision on the Equality Act of 2010.</w:t>
      </w:r>
      <w:r w:rsidR="00FC324C">
        <w:rPr>
          <w:rStyle w:val="normaltextrun"/>
          <w:rFonts w:ascii="Times New Roman" w:hAnsi="Times New Roman"/>
          <w:lang w:val="en-US"/>
        </w:rPr>
        <w:t xml:space="preserve"> </w:t>
      </w:r>
      <w:r w:rsidR="009D3653" w:rsidRPr="00FC324C">
        <w:rPr>
          <w:rStyle w:val="normaltextrun"/>
          <w:rFonts w:ascii="Times New Roman" w:hAnsi="Times New Roman"/>
          <w:lang w:val="en-US"/>
        </w:rPr>
        <w:t>T</w:t>
      </w:r>
      <w:r w:rsidR="009E050A" w:rsidRPr="00FC324C">
        <w:rPr>
          <w:rStyle w:val="normaltextrun"/>
          <w:rFonts w:ascii="Times New Roman" w:hAnsi="Times New Roman"/>
          <w:lang w:val="en-US"/>
        </w:rPr>
        <w:t>he Equality and Human Rights Commission</w:t>
      </w:r>
      <w:r w:rsidR="00D92F85" w:rsidRPr="00FC324C">
        <w:rPr>
          <w:rStyle w:val="normaltextrun"/>
          <w:rFonts w:ascii="Times New Roman" w:hAnsi="Times New Roman"/>
          <w:lang w:val="en-US"/>
        </w:rPr>
        <w:t xml:space="preserve"> </w:t>
      </w:r>
      <w:r w:rsidR="008A23D3" w:rsidRPr="00FC324C">
        <w:rPr>
          <w:rStyle w:val="normaltextrun"/>
          <w:rFonts w:ascii="Times New Roman" w:hAnsi="Times New Roman"/>
          <w:lang w:val="en-US"/>
        </w:rPr>
        <w:t>publishes valuable</w:t>
      </w:r>
      <w:r w:rsidR="00B022DE" w:rsidRPr="00FC324C">
        <w:rPr>
          <w:rStyle w:val="normaltextrun"/>
          <w:rFonts w:ascii="Times New Roman" w:hAnsi="Times New Roman"/>
          <w:lang w:val="en-US"/>
        </w:rPr>
        <w:t xml:space="preserve"> guidance</w:t>
      </w:r>
      <w:r w:rsidR="00D92F85" w:rsidRPr="00FC324C">
        <w:rPr>
          <w:rStyle w:val="normaltextrun"/>
          <w:rFonts w:ascii="Times New Roman" w:hAnsi="Times New Roman"/>
          <w:lang w:val="en-US"/>
        </w:rPr>
        <w:t xml:space="preserve"> on the public sector equality duty</w:t>
      </w:r>
      <w:r w:rsidR="00FC324C">
        <w:rPr>
          <w:rStyle w:val="normaltextrun"/>
          <w:rFonts w:ascii="Times New Roman" w:hAnsi="Times New Roman"/>
          <w:lang w:val="en-US"/>
        </w:rPr>
        <w:t xml:space="preserve"> and the importance of information</w:t>
      </w:r>
      <w:r w:rsidR="00C37BE6" w:rsidRPr="00FC324C">
        <w:rPr>
          <w:rStyle w:val="normaltextrun"/>
          <w:rFonts w:ascii="Times New Roman" w:hAnsi="Times New Roman"/>
          <w:lang w:val="en-US"/>
        </w:rPr>
        <w:t xml:space="preserve">. </w:t>
      </w:r>
    </w:p>
    <w:p w14:paraId="4B5B6AA3" w14:textId="77777777" w:rsidR="008A23D3" w:rsidRPr="008A23D3" w:rsidRDefault="008A23D3" w:rsidP="00FC324C">
      <w:pPr>
        <w:pStyle w:val="ListParagraph"/>
        <w:ind w:left="687"/>
        <w:jc w:val="both"/>
        <w:rPr>
          <w:rStyle w:val="normaltextrun"/>
          <w:rFonts w:ascii="Times New Roman" w:hAnsi="Times New Roman"/>
          <w:lang w:val="en-US"/>
        </w:rPr>
      </w:pPr>
    </w:p>
    <w:p w14:paraId="6A94DA1D" w14:textId="0FF85D7A" w:rsidR="0039564E" w:rsidRPr="008A23D3" w:rsidRDefault="00416E15" w:rsidP="00FC324C">
      <w:pPr>
        <w:pStyle w:val="ListParagraph"/>
        <w:numPr>
          <w:ilvl w:val="0"/>
          <w:numId w:val="10"/>
        </w:numPr>
        <w:jc w:val="both"/>
        <w:rPr>
          <w:rStyle w:val="normaltextrun"/>
          <w:rFonts w:ascii="Times New Roman" w:hAnsi="Times New Roman"/>
          <w:lang w:val="en-US"/>
        </w:rPr>
      </w:pPr>
      <w:r w:rsidRPr="008A23D3">
        <w:rPr>
          <w:rStyle w:val="normaltextrun"/>
          <w:rFonts w:ascii="Times New Roman" w:hAnsi="Times New Roman"/>
          <w:lang w:val="en-US"/>
        </w:rPr>
        <w:t xml:space="preserve">AA served evidence from </w:t>
      </w:r>
      <w:r w:rsidR="007D2209" w:rsidRPr="008A23D3">
        <w:rPr>
          <w:rStyle w:val="normaltextrun"/>
          <w:rFonts w:ascii="Times New Roman" w:hAnsi="Times New Roman"/>
          <w:lang w:val="en-US"/>
        </w:rPr>
        <w:t>individuals</w:t>
      </w:r>
      <w:r w:rsidRPr="008A23D3">
        <w:rPr>
          <w:rStyle w:val="normaltextrun"/>
          <w:rFonts w:ascii="Times New Roman" w:hAnsi="Times New Roman"/>
          <w:lang w:val="en-US"/>
        </w:rPr>
        <w:t xml:space="preserve"> with experience and expertise at </w:t>
      </w:r>
      <w:r w:rsidR="006C57AB" w:rsidRPr="008A23D3">
        <w:rPr>
          <w:rStyle w:val="normaltextrun"/>
          <w:rFonts w:ascii="Times New Roman" w:hAnsi="Times New Roman"/>
          <w:lang w:val="en-US"/>
        </w:rPr>
        <w:t>the Refugee Council</w:t>
      </w:r>
      <w:r w:rsidR="007D2209" w:rsidRPr="008A23D3">
        <w:rPr>
          <w:rStyle w:val="normaltextrun"/>
          <w:rFonts w:ascii="Times New Roman" w:hAnsi="Times New Roman"/>
          <w:lang w:val="en-US"/>
        </w:rPr>
        <w:t xml:space="preserve"> (Ms Kama Petruczenko)</w:t>
      </w:r>
      <w:r w:rsidR="006C57AB" w:rsidRPr="008A23D3">
        <w:rPr>
          <w:rStyle w:val="normaltextrun"/>
          <w:rFonts w:ascii="Times New Roman" w:hAnsi="Times New Roman"/>
          <w:lang w:val="en-US"/>
        </w:rPr>
        <w:t>, Freedom from Torture</w:t>
      </w:r>
      <w:r w:rsidR="001935C2" w:rsidRPr="008A23D3">
        <w:rPr>
          <w:rStyle w:val="normaltextrun"/>
          <w:rFonts w:ascii="Times New Roman" w:hAnsi="Times New Roman"/>
          <w:lang w:val="en-US"/>
        </w:rPr>
        <w:t xml:space="preserve"> (Ms Salma Iqbal)</w:t>
      </w:r>
      <w:r w:rsidR="006C57AB" w:rsidRPr="008A23D3">
        <w:rPr>
          <w:rStyle w:val="normaltextrun"/>
          <w:rFonts w:ascii="Times New Roman" w:hAnsi="Times New Roman"/>
          <w:lang w:val="en-US"/>
        </w:rPr>
        <w:t xml:space="preserve">, the Helen Bamber Foundation </w:t>
      </w:r>
      <w:r w:rsidR="004D4E67" w:rsidRPr="008A23D3">
        <w:rPr>
          <w:rStyle w:val="normaltextrun"/>
          <w:rFonts w:ascii="Times New Roman" w:hAnsi="Times New Roman"/>
          <w:lang w:val="en-US"/>
        </w:rPr>
        <w:t xml:space="preserve">(Ms Zoe Dexter) </w:t>
      </w:r>
      <w:r w:rsidR="006C57AB" w:rsidRPr="008A23D3">
        <w:rPr>
          <w:rStyle w:val="normaltextrun"/>
          <w:rFonts w:ascii="Times New Roman" w:hAnsi="Times New Roman"/>
          <w:lang w:val="en-US"/>
        </w:rPr>
        <w:t>and Bristol Ref</w:t>
      </w:r>
      <w:r w:rsidR="004D4E67" w:rsidRPr="008A23D3">
        <w:rPr>
          <w:rStyle w:val="normaltextrun"/>
          <w:rFonts w:ascii="Times New Roman" w:hAnsi="Times New Roman"/>
          <w:lang w:val="en-US"/>
        </w:rPr>
        <w:t xml:space="preserve">ugee Rights (Ms Deborah Gubbay). </w:t>
      </w:r>
      <w:r w:rsidR="007454DA" w:rsidRPr="008A23D3">
        <w:rPr>
          <w:rStyle w:val="normaltextrun"/>
          <w:rFonts w:ascii="Times New Roman" w:hAnsi="Times New Roman"/>
          <w:lang w:val="en-US"/>
        </w:rPr>
        <w:t>T</w:t>
      </w:r>
      <w:r w:rsidR="001935C2" w:rsidRPr="008A23D3">
        <w:rPr>
          <w:rStyle w:val="normaltextrun"/>
          <w:rFonts w:ascii="Times New Roman" w:hAnsi="Times New Roman"/>
          <w:lang w:val="en-US"/>
        </w:rPr>
        <w:t xml:space="preserve">his evidence </w:t>
      </w:r>
      <w:r w:rsidR="00A91591" w:rsidRPr="008A23D3">
        <w:rPr>
          <w:rStyle w:val="normaltextrun"/>
          <w:rFonts w:ascii="Times New Roman" w:hAnsi="Times New Roman"/>
          <w:lang w:val="en-US"/>
        </w:rPr>
        <w:t xml:space="preserve">was not answered </w:t>
      </w:r>
      <w:r w:rsidR="008016AD" w:rsidRPr="008A23D3">
        <w:rPr>
          <w:rStyle w:val="normaltextrun"/>
          <w:rFonts w:ascii="Times New Roman" w:hAnsi="Times New Roman"/>
          <w:lang w:val="en-US"/>
        </w:rPr>
        <w:t>on behalf of</w:t>
      </w:r>
      <w:r w:rsidR="00A91591" w:rsidRPr="008A23D3">
        <w:rPr>
          <w:rStyle w:val="normaltextrun"/>
          <w:rFonts w:ascii="Times New Roman" w:hAnsi="Times New Roman"/>
          <w:lang w:val="en-US"/>
        </w:rPr>
        <w:t xml:space="preserve"> the Secretary of State. It </w:t>
      </w:r>
      <w:r w:rsidR="001F5D9B" w:rsidRPr="008A23D3">
        <w:rPr>
          <w:rStyle w:val="normaltextrun"/>
          <w:rFonts w:ascii="Times New Roman" w:hAnsi="Times New Roman"/>
          <w:lang w:val="en-US"/>
        </w:rPr>
        <w:t>shows</w:t>
      </w:r>
      <w:r w:rsidR="000138F4" w:rsidRPr="008A23D3">
        <w:rPr>
          <w:rStyle w:val="normaltextrun"/>
          <w:rFonts w:ascii="Times New Roman" w:hAnsi="Times New Roman"/>
          <w:lang w:val="en-US"/>
        </w:rPr>
        <w:t xml:space="preserve"> </w:t>
      </w:r>
      <w:r w:rsidR="001F5D9B" w:rsidRPr="008A23D3">
        <w:rPr>
          <w:rStyle w:val="normaltextrun"/>
          <w:rFonts w:ascii="Times New Roman" w:hAnsi="Times New Roman"/>
          <w:lang w:val="en-US"/>
        </w:rPr>
        <w:t xml:space="preserve">that the </w:t>
      </w:r>
      <w:r w:rsidR="000138F4" w:rsidRPr="008A23D3">
        <w:rPr>
          <w:rStyle w:val="normaltextrun"/>
          <w:rFonts w:ascii="Times New Roman" w:hAnsi="Times New Roman"/>
          <w:lang w:val="en-US"/>
        </w:rPr>
        <w:t xml:space="preserve">needs of disabled persons </w:t>
      </w:r>
      <w:r w:rsidR="00405DB7" w:rsidRPr="008A23D3">
        <w:rPr>
          <w:rStyle w:val="normaltextrun"/>
          <w:rFonts w:ascii="Times New Roman" w:hAnsi="Times New Roman"/>
          <w:lang w:val="en-US"/>
        </w:rPr>
        <w:t>are</w:t>
      </w:r>
      <w:r w:rsidR="001F5D9B" w:rsidRPr="008A23D3">
        <w:rPr>
          <w:rStyle w:val="normaltextrun"/>
          <w:rFonts w:ascii="Times New Roman" w:hAnsi="Times New Roman"/>
          <w:lang w:val="en-US"/>
        </w:rPr>
        <w:t xml:space="preserve"> insufficiently identified</w:t>
      </w:r>
      <w:r w:rsidR="00C3150E" w:rsidRPr="008A23D3">
        <w:rPr>
          <w:rStyle w:val="normaltextrun"/>
          <w:rFonts w:ascii="Times New Roman" w:hAnsi="Times New Roman"/>
          <w:lang w:val="en-US"/>
        </w:rPr>
        <w:t xml:space="preserve">, information </w:t>
      </w:r>
      <w:r w:rsidR="00C33CD8" w:rsidRPr="008A23D3">
        <w:rPr>
          <w:rStyle w:val="normaltextrun"/>
          <w:rFonts w:ascii="Times New Roman" w:hAnsi="Times New Roman"/>
          <w:lang w:val="en-US"/>
        </w:rPr>
        <w:t>about those needs is insufficiently share</w:t>
      </w:r>
      <w:r w:rsidR="00405DB7" w:rsidRPr="008A23D3">
        <w:rPr>
          <w:rStyle w:val="normaltextrun"/>
          <w:rFonts w:ascii="Times New Roman" w:hAnsi="Times New Roman"/>
          <w:lang w:val="en-US"/>
        </w:rPr>
        <w:t>d</w:t>
      </w:r>
      <w:r w:rsidR="00C33CD8" w:rsidRPr="008A23D3">
        <w:rPr>
          <w:rStyle w:val="normaltextrun"/>
          <w:rFonts w:ascii="Times New Roman" w:hAnsi="Times New Roman"/>
          <w:lang w:val="en-US"/>
        </w:rPr>
        <w:t>,</w:t>
      </w:r>
      <w:r w:rsidR="001F5D9B" w:rsidRPr="008A23D3">
        <w:rPr>
          <w:rStyle w:val="normaltextrun"/>
          <w:rFonts w:ascii="Times New Roman" w:hAnsi="Times New Roman"/>
          <w:lang w:val="en-US"/>
        </w:rPr>
        <w:t xml:space="preserve"> and </w:t>
      </w:r>
      <w:r w:rsidR="00C33CD8" w:rsidRPr="008A23D3">
        <w:rPr>
          <w:rStyle w:val="normaltextrun"/>
          <w:rFonts w:ascii="Times New Roman" w:hAnsi="Times New Roman"/>
          <w:lang w:val="en-US"/>
        </w:rPr>
        <w:t xml:space="preserve">those needs are insufficiently </w:t>
      </w:r>
      <w:r w:rsidR="001F5D9B" w:rsidRPr="008A23D3">
        <w:rPr>
          <w:rStyle w:val="normaltextrun"/>
          <w:rFonts w:ascii="Times New Roman" w:hAnsi="Times New Roman"/>
          <w:lang w:val="en-US"/>
        </w:rPr>
        <w:t>addressed</w:t>
      </w:r>
      <w:r w:rsidR="00C3150E" w:rsidRPr="008A23D3">
        <w:rPr>
          <w:rStyle w:val="normaltextrun"/>
          <w:rFonts w:ascii="Times New Roman" w:hAnsi="Times New Roman"/>
          <w:lang w:val="en-US"/>
        </w:rPr>
        <w:t xml:space="preserve"> within the system that is being used.</w:t>
      </w:r>
      <w:r w:rsidR="00B10EB6" w:rsidRPr="008A23D3">
        <w:rPr>
          <w:rStyle w:val="normaltextrun"/>
          <w:rFonts w:ascii="Times New Roman" w:hAnsi="Times New Roman"/>
          <w:lang w:val="en-US"/>
        </w:rPr>
        <w:t xml:space="preserve"> </w:t>
      </w:r>
      <w:r w:rsidR="00212346" w:rsidRPr="008A23D3">
        <w:rPr>
          <w:rStyle w:val="normaltextrun"/>
          <w:rFonts w:ascii="Times New Roman" w:hAnsi="Times New Roman"/>
          <w:lang w:val="en-US"/>
        </w:rPr>
        <w:t xml:space="preserve">There was </w:t>
      </w:r>
      <w:r w:rsidR="00943B10" w:rsidRPr="008A23D3">
        <w:rPr>
          <w:rStyle w:val="normaltextrun"/>
          <w:rFonts w:ascii="Times New Roman" w:hAnsi="Times New Roman"/>
          <w:lang w:val="en-US"/>
        </w:rPr>
        <w:t>further valuable evidence from Ms Sasha Rozansky of AA’s solicitors.</w:t>
      </w:r>
    </w:p>
    <w:p w14:paraId="6EE2C6BB" w14:textId="77777777" w:rsidR="00C31ECD" w:rsidRPr="008A23D3" w:rsidRDefault="00C31ECD" w:rsidP="00FC324C">
      <w:pPr>
        <w:pStyle w:val="ListParagraph"/>
        <w:jc w:val="both"/>
        <w:rPr>
          <w:rStyle w:val="normaltextrun"/>
          <w:rFonts w:ascii="Times New Roman" w:hAnsi="Times New Roman"/>
          <w:lang w:val="en-US"/>
        </w:rPr>
      </w:pPr>
    </w:p>
    <w:p w14:paraId="7F22A361" w14:textId="56DA5C8A" w:rsidR="00C31ECD" w:rsidRPr="008A23D3" w:rsidRDefault="007604ED" w:rsidP="00FC324C">
      <w:pPr>
        <w:numPr>
          <w:ilvl w:val="0"/>
          <w:numId w:val="10"/>
        </w:numPr>
        <w:jc w:val="both"/>
        <w:rPr>
          <w:rStyle w:val="normaltextrun"/>
          <w:lang w:val="en-US"/>
        </w:rPr>
      </w:pPr>
      <w:r w:rsidRPr="008A23D3">
        <w:rPr>
          <w:rStyle w:val="normaltextrun"/>
          <w:lang w:val="en-US"/>
        </w:rPr>
        <w:t>Ms Petruczenko said this</w:t>
      </w:r>
      <w:r w:rsidR="00516540" w:rsidRPr="008A23D3">
        <w:rPr>
          <w:rStyle w:val="normaltextrun"/>
          <w:lang w:val="en-US"/>
        </w:rPr>
        <w:t xml:space="preserve"> </w:t>
      </w:r>
      <w:r w:rsidR="0059339B" w:rsidRPr="008A23D3">
        <w:rPr>
          <w:rStyle w:val="normaltextrun"/>
          <w:lang w:val="en-US"/>
        </w:rPr>
        <w:t>of assisting clients with “complex physical and mental health problems</w:t>
      </w:r>
      <w:r w:rsidR="00D80DD1" w:rsidRPr="008A23D3">
        <w:rPr>
          <w:rStyle w:val="normaltextrun"/>
          <w:lang w:val="en-US"/>
        </w:rPr>
        <w:t>, and often a combination of both”:</w:t>
      </w:r>
    </w:p>
    <w:p w14:paraId="3AD57548" w14:textId="77777777" w:rsidR="007604ED" w:rsidRPr="008A23D3" w:rsidRDefault="007604ED" w:rsidP="00FC324C">
      <w:pPr>
        <w:pStyle w:val="ListParagraph"/>
        <w:jc w:val="both"/>
        <w:rPr>
          <w:rStyle w:val="normaltextrun"/>
          <w:rFonts w:ascii="Times New Roman" w:hAnsi="Times New Roman"/>
          <w:lang w:val="en-US"/>
        </w:rPr>
      </w:pPr>
    </w:p>
    <w:p w14:paraId="35CAA980" w14:textId="3094AD47" w:rsidR="007604ED" w:rsidRPr="00602F08" w:rsidRDefault="007604ED" w:rsidP="00FC324C">
      <w:pPr>
        <w:ind w:left="1440"/>
        <w:jc w:val="both"/>
        <w:rPr>
          <w:rStyle w:val="normaltextrun"/>
          <w:lang w:val="en-US"/>
        </w:rPr>
      </w:pPr>
      <w:r w:rsidRPr="008A23D3">
        <w:rPr>
          <w:rStyle w:val="normaltextrun"/>
          <w:lang w:val="en-US"/>
        </w:rPr>
        <w:t>“</w:t>
      </w:r>
      <w:r w:rsidR="00D80DD1" w:rsidRPr="008A23D3">
        <w:rPr>
          <w:rStyle w:val="normaltextrun"/>
          <w:lang w:val="en-US"/>
        </w:rPr>
        <w:t>… delays in getting asylum support ha</w:t>
      </w:r>
      <w:r w:rsidR="002F25D8" w:rsidRPr="008A23D3">
        <w:rPr>
          <w:rStyle w:val="normaltextrun"/>
          <w:lang w:val="en-US"/>
        </w:rPr>
        <w:t>[ve]</w:t>
      </w:r>
      <w:r w:rsidR="00D80DD1" w:rsidRPr="008A23D3">
        <w:rPr>
          <w:rStyle w:val="normaltextrun"/>
          <w:lang w:val="en-US"/>
        </w:rPr>
        <w:t xml:space="preserve"> serious</w:t>
      </w:r>
      <w:r w:rsidR="002F25D8" w:rsidRPr="008A23D3">
        <w:rPr>
          <w:rStyle w:val="normaltextrun"/>
          <w:lang w:val="en-US"/>
        </w:rPr>
        <w:t xml:space="preserve"> consequences.</w:t>
      </w:r>
      <w:r w:rsidR="005376FB" w:rsidRPr="008A23D3">
        <w:rPr>
          <w:rStyle w:val="normaltextrun"/>
          <w:lang w:val="en-US"/>
        </w:rPr>
        <w:t xml:space="preserve"> We see people disengaging with services, being forced</w:t>
      </w:r>
      <w:r w:rsidR="005376FB" w:rsidRPr="00602F08">
        <w:rPr>
          <w:rStyle w:val="normaltextrun"/>
          <w:lang w:val="en-US"/>
        </w:rPr>
        <w:t xml:space="preserve"> to live in precarious conditions, and their physical and mental health deter</w:t>
      </w:r>
      <w:r w:rsidR="002A7E15" w:rsidRPr="00602F08">
        <w:rPr>
          <w:rStyle w:val="normaltextrun"/>
          <w:lang w:val="en-US"/>
        </w:rPr>
        <w:t xml:space="preserve">iorating. Our psychotherapists report back that unless a client’s </w:t>
      </w:r>
      <w:r w:rsidR="00AC12C7" w:rsidRPr="00602F08">
        <w:rPr>
          <w:rStyle w:val="normaltextrun"/>
          <w:lang w:val="en-US"/>
        </w:rPr>
        <w:t xml:space="preserve">asylum support situation is resolved and they are properly supported, they cannot provide them with the necessary </w:t>
      </w:r>
      <w:r w:rsidR="00CC3042" w:rsidRPr="00602F08">
        <w:rPr>
          <w:rStyle w:val="normaltextrun"/>
          <w:lang w:val="en-US"/>
        </w:rPr>
        <w:t>help to stabilise and overcome trauma. To the contrary, instability caused by asylum support delays is identified as a contributing facto</w:t>
      </w:r>
      <w:r w:rsidR="00015B40" w:rsidRPr="00602F08">
        <w:rPr>
          <w:rStyle w:val="normaltextrun"/>
          <w:lang w:val="en-US"/>
        </w:rPr>
        <w:t>r, leading to poorer health outcomes …”</w:t>
      </w:r>
      <w:r w:rsidR="00D80DD1" w:rsidRPr="00602F08">
        <w:rPr>
          <w:rStyle w:val="normaltextrun"/>
          <w:lang w:val="en-US"/>
        </w:rPr>
        <w:t xml:space="preserve"> </w:t>
      </w:r>
    </w:p>
    <w:p w14:paraId="5E341EF1" w14:textId="05438C66" w:rsidR="004308E7" w:rsidRPr="00602F08" w:rsidRDefault="004308E7" w:rsidP="00FC324C">
      <w:pPr>
        <w:jc w:val="both"/>
        <w:rPr>
          <w:rStyle w:val="normaltextrun"/>
          <w:lang w:val="en-US"/>
        </w:rPr>
      </w:pPr>
    </w:p>
    <w:p w14:paraId="50EA20E0" w14:textId="275AD0EE" w:rsidR="00A10977" w:rsidRPr="00A10977" w:rsidRDefault="008016AD" w:rsidP="00FC324C">
      <w:pPr>
        <w:pStyle w:val="ListParagraph"/>
        <w:numPr>
          <w:ilvl w:val="0"/>
          <w:numId w:val="10"/>
        </w:numPr>
        <w:jc w:val="both"/>
        <w:rPr>
          <w:rFonts w:ascii="Times New Roman" w:hAnsi="Times New Roman"/>
          <w:lang w:val="en-US"/>
        </w:rPr>
      </w:pPr>
      <w:r w:rsidRPr="00602F08">
        <w:rPr>
          <w:rFonts w:ascii="Times New Roman" w:hAnsi="Times New Roman"/>
          <w:lang w:eastAsia="en-GB"/>
        </w:rPr>
        <w:t>B</w:t>
      </w:r>
      <w:r w:rsidR="009D7738" w:rsidRPr="00602F08">
        <w:rPr>
          <w:rFonts w:ascii="Times New Roman" w:hAnsi="Times New Roman"/>
          <w:lang w:eastAsia="en-GB"/>
        </w:rPr>
        <w:t>reach</w:t>
      </w:r>
      <w:r w:rsidRPr="00602F08">
        <w:rPr>
          <w:rFonts w:ascii="Times New Roman" w:hAnsi="Times New Roman"/>
          <w:lang w:eastAsia="en-GB"/>
        </w:rPr>
        <w:t xml:space="preserve"> </w:t>
      </w:r>
      <w:r w:rsidR="00824EA1">
        <w:rPr>
          <w:rFonts w:ascii="Times New Roman" w:hAnsi="Times New Roman"/>
          <w:lang w:eastAsia="en-GB"/>
        </w:rPr>
        <w:t xml:space="preserve">of the public sector equality duty </w:t>
      </w:r>
      <w:r w:rsidR="00A10977">
        <w:rPr>
          <w:rFonts w:ascii="Times New Roman" w:hAnsi="Times New Roman"/>
          <w:lang w:eastAsia="en-GB"/>
        </w:rPr>
        <w:t>wa</w:t>
      </w:r>
      <w:r w:rsidRPr="00602F08">
        <w:rPr>
          <w:rFonts w:ascii="Times New Roman" w:hAnsi="Times New Roman"/>
          <w:lang w:eastAsia="en-GB"/>
        </w:rPr>
        <w:t>s denied on behalf of the Secretary of State,</w:t>
      </w:r>
      <w:r w:rsidR="0097487E" w:rsidRPr="00602F08">
        <w:rPr>
          <w:rFonts w:ascii="Times New Roman" w:hAnsi="Times New Roman"/>
          <w:lang w:eastAsia="en-GB"/>
        </w:rPr>
        <w:t xml:space="preserve"> for several reasons. </w:t>
      </w:r>
    </w:p>
    <w:p w14:paraId="2189002C" w14:textId="77777777" w:rsidR="00A10977" w:rsidRPr="00A10977" w:rsidRDefault="00A10977" w:rsidP="00FC324C">
      <w:pPr>
        <w:pStyle w:val="ListParagraph"/>
        <w:ind w:left="687"/>
        <w:jc w:val="both"/>
        <w:rPr>
          <w:rFonts w:ascii="Times New Roman" w:hAnsi="Times New Roman"/>
          <w:lang w:val="en-US"/>
        </w:rPr>
      </w:pPr>
    </w:p>
    <w:p w14:paraId="2D973486" w14:textId="77777777" w:rsidR="009D5405" w:rsidRPr="009D5405" w:rsidRDefault="00CF4538" w:rsidP="00FC324C">
      <w:pPr>
        <w:pStyle w:val="ListParagraph"/>
        <w:numPr>
          <w:ilvl w:val="0"/>
          <w:numId w:val="10"/>
        </w:numPr>
        <w:jc w:val="both"/>
        <w:rPr>
          <w:rFonts w:ascii="Times New Roman" w:hAnsi="Times New Roman"/>
          <w:lang w:val="en-US"/>
        </w:rPr>
      </w:pPr>
      <w:r w:rsidRPr="00602F08">
        <w:rPr>
          <w:rFonts w:ascii="Times New Roman" w:hAnsi="Times New Roman"/>
          <w:lang w:eastAsia="en-GB"/>
        </w:rPr>
        <w:t>I</w:t>
      </w:r>
      <w:r w:rsidR="0097487E" w:rsidRPr="00602F08">
        <w:rPr>
          <w:rFonts w:ascii="Times New Roman" w:hAnsi="Times New Roman"/>
          <w:lang w:eastAsia="en-GB"/>
        </w:rPr>
        <w:t xml:space="preserve">t </w:t>
      </w:r>
      <w:r w:rsidR="00A10977">
        <w:rPr>
          <w:rFonts w:ascii="Times New Roman" w:hAnsi="Times New Roman"/>
          <w:lang w:eastAsia="en-GB"/>
        </w:rPr>
        <w:t>wa</w:t>
      </w:r>
      <w:r w:rsidR="0097487E" w:rsidRPr="00602F08">
        <w:rPr>
          <w:rFonts w:ascii="Times New Roman" w:hAnsi="Times New Roman"/>
          <w:lang w:eastAsia="en-GB"/>
        </w:rPr>
        <w:t xml:space="preserve">s </w:t>
      </w:r>
      <w:r w:rsidR="004322E3" w:rsidRPr="00602F08">
        <w:rPr>
          <w:rFonts w:ascii="Times New Roman" w:hAnsi="Times New Roman"/>
          <w:lang w:eastAsia="en-GB"/>
        </w:rPr>
        <w:t xml:space="preserve">first </w:t>
      </w:r>
      <w:r w:rsidR="0097487E" w:rsidRPr="00602F08">
        <w:rPr>
          <w:rFonts w:ascii="Times New Roman" w:hAnsi="Times New Roman"/>
          <w:lang w:eastAsia="en-GB"/>
        </w:rPr>
        <w:t>argued that AA</w:t>
      </w:r>
      <w:r w:rsidR="00FE421B" w:rsidRPr="00602F08">
        <w:rPr>
          <w:rFonts w:ascii="Times New Roman" w:hAnsi="Times New Roman"/>
          <w:lang w:eastAsia="en-GB"/>
        </w:rPr>
        <w:t xml:space="preserve"> points to no evidence of any kind concerning the position of disabled recipients of s</w:t>
      </w:r>
      <w:r w:rsidR="00D360E3" w:rsidRPr="00602F08">
        <w:rPr>
          <w:rFonts w:ascii="Times New Roman" w:hAnsi="Times New Roman"/>
          <w:lang w:eastAsia="en-GB"/>
        </w:rPr>
        <w:t xml:space="preserve">ection </w:t>
      </w:r>
      <w:r w:rsidR="00FE421B" w:rsidRPr="00602F08">
        <w:rPr>
          <w:rFonts w:ascii="Times New Roman" w:hAnsi="Times New Roman"/>
          <w:lang w:eastAsia="en-GB"/>
        </w:rPr>
        <w:t>4 support more generally</w:t>
      </w:r>
      <w:r w:rsidR="0016270B" w:rsidRPr="00602F08">
        <w:rPr>
          <w:rFonts w:ascii="Times New Roman" w:hAnsi="Times New Roman"/>
          <w:lang w:eastAsia="en-GB"/>
        </w:rPr>
        <w:t>. This is not correct</w:t>
      </w:r>
      <w:r w:rsidR="00D360E3" w:rsidRPr="00602F08">
        <w:rPr>
          <w:rFonts w:ascii="Times New Roman" w:hAnsi="Times New Roman"/>
          <w:lang w:eastAsia="en-GB"/>
        </w:rPr>
        <w:t>, as will be apparent from the above</w:t>
      </w:r>
      <w:r w:rsidR="0016270B" w:rsidRPr="00602F08">
        <w:rPr>
          <w:rFonts w:ascii="Times New Roman" w:hAnsi="Times New Roman"/>
          <w:lang w:eastAsia="en-GB"/>
        </w:rPr>
        <w:t>.</w:t>
      </w:r>
      <w:r w:rsidR="00D360E3" w:rsidRPr="00602F08">
        <w:rPr>
          <w:rFonts w:ascii="Times New Roman" w:hAnsi="Times New Roman"/>
          <w:lang w:eastAsia="en-GB"/>
        </w:rPr>
        <w:t xml:space="preserve"> </w:t>
      </w:r>
      <w:r w:rsidRPr="00602F08">
        <w:rPr>
          <w:rFonts w:ascii="Times New Roman" w:hAnsi="Times New Roman"/>
          <w:lang w:eastAsia="en-GB"/>
        </w:rPr>
        <w:t xml:space="preserve"> </w:t>
      </w:r>
    </w:p>
    <w:p w14:paraId="1CC6C988" w14:textId="77777777" w:rsidR="009D5405" w:rsidRPr="009D5405" w:rsidRDefault="009D5405" w:rsidP="00FC324C">
      <w:pPr>
        <w:pStyle w:val="ListParagraph"/>
        <w:jc w:val="both"/>
        <w:rPr>
          <w:rFonts w:ascii="Times New Roman" w:hAnsi="Times New Roman"/>
          <w:lang w:eastAsia="en-GB"/>
        </w:rPr>
      </w:pPr>
    </w:p>
    <w:p w14:paraId="536611C0" w14:textId="15AC80BB" w:rsidR="00550BC1" w:rsidRPr="00314396" w:rsidRDefault="009D5405" w:rsidP="00B6212D">
      <w:pPr>
        <w:pStyle w:val="ListParagraph"/>
        <w:numPr>
          <w:ilvl w:val="0"/>
          <w:numId w:val="10"/>
        </w:numPr>
        <w:jc w:val="both"/>
        <w:rPr>
          <w:rFonts w:ascii="Times New Roman" w:hAnsi="Times New Roman"/>
          <w:lang w:val="en-US"/>
        </w:rPr>
      </w:pPr>
      <w:r>
        <w:rPr>
          <w:rFonts w:ascii="Times New Roman" w:hAnsi="Times New Roman"/>
          <w:lang w:eastAsia="en-GB"/>
        </w:rPr>
        <w:t>I</w:t>
      </w:r>
      <w:r w:rsidR="008016AD" w:rsidRPr="00602F08">
        <w:rPr>
          <w:rFonts w:ascii="Times New Roman" w:hAnsi="Times New Roman"/>
          <w:lang w:eastAsia="en-GB"/>
        </w:rPr>
        <w:t xml:space="preserve">t </w:t>
      </w:r>
      <w:r w:rsidR="00F17EA4">
        <w:rPr>
          <w:rFonts w:ascii="Times New Roman" w:hAnsi="Times New Roman"/>
          <w:lang w:eastAsia="en-GB"/>
        </w:rPr>
        <w:t>wa</w:t>
      </w:r>
      <w:r w:rsidR="008016AD" w:rsidRPr="00602F08">
        <w:rPr>
          <w:rFonts w:ascii="Times New Roman" w:hAnsi="Times New Roman"/>
          <w:lang w:eastAsia="en-GB"/>
        </w:rPr>
        <w:t xml:space="preserve">s said on behalf of the Secretary of State </w:t>
      </w:r>
      <w:r w:rsidR="005B1349" w:rsidRPr="00602F08">
        <w:rPr>
          <w:rFonts w:ascii="Times New Roman" w:hAnsi="Times New Roman"/>
          <w:lang w:eastAsia="en-GB"/>
        </w:rPr>
        <w:t xml:space="preserve">that </w:t>
      </w:r>
      <w:r w:rsidR="005300A1" w:rsidRPr="00602F08">
        <w:rPr>
          <w:rFonts w:ascii="Times New Roman" w:hAnsi="Times New Roman"/>
          <w:lang w:eastAsia="en-GB"/>
        </w:rPr>
        <w:t xml:space="preserve">the </w:t>
      </w:r>
      <w:r w:rsidR="008247B6" w:rsidRPr="00602F08">
        <w:rPr>
          <w:rFonts w:ascii="Times New Roman" w:hAnsi="Times New Roman"/>
          <w:lang w:eastAsia="en-GB"/>
        </w:rPr>
        <w:t xml:space="preserve">evidence base relied upon by </w:t>
      </w:r>
      <w:r w:rsidR="005B1349" w:rsidRPr="00602F08">
        <w:rPr>
          <w:rFonts w:ascii="Times New Roman" w:hAnsi="Times New Roman"/>
          <w:lang w:eastAsia="en-GB"/>
        </w:rPr>
        <w:t>AA</w:t>
      </w:r>
      <w:r w:rsidR="008247B6" w:rsidRPr="00602F08">
        <w:rPr>
          <w:rFonts w:ascii="Times New Roman" w:hAnsi="Times New Roman"/>
          <w:lang w:eastAsia="en-GB"/>
        </w:rPr>
        <w:t xml:space="preserve"> does not identify </w:t>
      </w:r>
      <w:r w:rsidR="005B1349" w:rsidRPr="00602F08">
        <w:rPr>
          <w:rFonts w:ascii="Times New Roman" w:hAnsi="Times New Roman"/>
          <w:lang w:eastAsia="en-GB"/>
        </w:rPr>
        <w:t>“</w:t>
      </w:r>
      <w:r w:rsidR="008247B6" w:rsidRPr="00602F08">
        <w:rPr>
          <w:rFonts w:ascii="Times New Roman" w:hAnsi="Times New Roman"/>
          <w:lang w:eastAsia="en-GB"/>
        </w:rPr>
        <w:t>any safe or realistic average time</w:t>
      </w:r>
      <w:r w:rsidR="005B1349" w:rsidRPr="00602F08">
        <w:rPr>
          <w:rFonts w:ascii="Times New Roman" w:hAnsi="Times New Roman"/>
          <w:lang w:eastAsia="en-GB"/>
        </w:rPr>
        <w:t>”</w:t>
      </w:r>
      <w:r w:rsidR="008247B6" w:rsidRPr="00602F08">
        <w:rPr>
          <w:rFonts w:ascii="Times New Roman" w:hAnsi="Times New Roman"/>
          <w:lang w:eastAsia="en-GB"/>
        </w:rPr>
        <w:t xml:space="preserve"> for accommodating individuals with disabilities in s</w:t>
      </w:r>
      <w:r w:rsidR="005B1349" w:rsidRPr="00602F08">
        <w:rPr>
          <w:rFonts w:ascii="Times New Roman" w:hAnsi="Times New Roman"/>
          <w:lang w:eastAsia="en-GB"/>
        </w:rPr>
        <w:t xml:space="preserve">ection </w:t>
      </w:r>
      <w:r w:rsidR="008247B6" w:rsidRPr="00602F08">
        <w:rPr>
          <w:rFonts w:ascii="Times New Roman" w:hAnsi="Times New Roman"/>
          <w:lang w:eastAsia="en-GB"/>
        </w:rPr>
        <w:t>4</w:t>
      </w:r>
      <w:r w:rsidR="00945F2E" w:rsidRPr="00602F08">
        <w:rPr>
          <w:rFonts w:ascii="Times New Roman" w:hAnsi="Times New Roman"/>
          <w:lang w:eastAsia="en-GB"/>
        </w:rPr>
        <w:t>(2)</w:t>
      </w:r>
      <w:r w:rsidR="008247B6" w:rsidRPr="00602F08">
        <w:rPr>
          <w:rFonts w:ascii="Times New Roman" w:hAnsi="Times New Roman"/>
          <w:lang w:eastAsia="en-GB"/>
        </w:rPr>
        <w:t xml:space="preserve"> accommodation, where their accommodation needs may often be more complex than </w:t>
      </w:r>
      <w:r w:rsidR="005B1349" w:rsidRPr="00602F08">
        <w:rPr>
          <w:rFonts w:ascii="Times New Roman" w:hAnsi="Times New Roman"/>
          <w:lang w:eastAsia="en-GB"/>
        </w:rPr>
        <w:t>those</w:t>
      </w:r>
      <w:r w:rsidR="008247B6" w:rsidRPr="00602F08">
        <w:rPr>
          <w:rFonts w:ascii="Times New Roman" w:hAnsi="Times New Roman"/>
          <w:lang w:eastAsia="en-GB"/>
        </w:rPr>
        <w:t xml:space="preserve"> without disabilities and meeting their accommodation needs may require the receipt and consideration by the </w:t>
      </w:r>
      <w:r w:rsidR="00FB76EE" w:rsidRPr="00602F08">
        <w:rPr>
          <w:rFonts w:ascii="Times New Roman" w:hAnsi="Times New Roman"/>
          <w:lang w:eastAsia="en-GB"/>
        </w:rPr>
        <w:t>Secretary of State</w:t>
      </w:r>
      <w:r w:rsidR="008247B6" w:rsidRPr="00602F08">
        <w:rPr>
          <w:rFonts w:ascii="Times New Roman" w:hAnsi="Times New Roman"/>
          <w:lang w:eastAsia="en-GB"/>
        </w:rPr>
        <w:t xml:space="preserve"> of medical evidence, and the provider procuring accommodation outside their general portfolios and adapting it. </w:t>
      </w:r>
    </w:p>
    <w:p w14:paraId="2BDD0AE8" w14:textId="77777777" w:rsidR="00550BC1" w:rsidRPr="00314396" w:rsidRDefault="00550BC1" w:rsidP="00B6212D">
      <w:pPr>
        <w:pStyle w:val="ListParagraph"/>
        <w:ind w:left="687"/>
        <w:jc w:val="both"/>
        <w:rPr>
          <w:rFonts w:ascii="Times New Roman" w:hAnsi="Times New Roman"/>
          <w:lang w:val="en-US"/>
        </w:rPr>
      </w:pPr>
    </w:p>
    <w:p w14:paraId="4E488D5C" w14:textId="77777777" w:rsidR="00314396" w:rsidRPr="00314396" w:rsidRDefault="009D5405" w:rsidP="00B6212D">
      <w:pPr>
        <w:pStyle w:val="ListParagraph"/>
        <w:numPr>
          <w:ilvl w:val="0"/>
          <w:numId w:val="10"/>
        </w:numPr>
        <w:jc w:val="both"/>
        <w:rPr>
          <w:rFonts w:ascii="Times New Roman" w:hAnsi="Times New Roman"/>
          <w:lang w:val="en-US"/>
        </w:rPr>
      </w:pPr>
      <w:r w:rsidRPr="00314396">
        <w:rPr>
          <w:rFonts w:ascii="Times New Roman" w:hAnsi="Times New Roman"/>
          <w:lang w:eastAsia="en-GB"/>
        </w:rPr>
        <w:t>T</w:t>
      </w:r>
      <w:r w:rsidR="00EE7B29" w:rsidRPr="00314396">
        <w:rPr>
          <w:rFonts w:ascii="Times New Roman" w:hAnsi="Times New Roman"/>
          <w:lang w:eastAsia="en-GB"/>
        </w:rPr>
        <w:t>hi</w:t>
      </w:r>
      <w:r w:rsidR="00041C9D" w:rsidRPr="00314396">
        <w:rPr>
          <w:rFonts w:ascii="Times New Roman" w:hAnsi="Times New Roman"/>
          <w:lang w:eastAsia="en-GB"/>
        </w:rPr>
        <w:t>s is not</w:t>
      </w:r>
      <w:r w:rsidR="008247B6" w:rsidRPr="00314396">
        <w:rPr>
          <w:rFonts w:ascii="Times New Roman" w:hAnsi="Times New Roman"/>
          <w:lang w:eastAsia="en-GB"/>
        </w:rPr>
        <w:t xml:space="preserve"> about averages. It is about </w:t>
      </w:r>
      <w:r w:rsidR="00041C9D" w:rsidRPr="00314396">
        <w:rPr>
          <w:rFonts w:ascii="Times New Roman" w:hAnsi="Times New Roman"/>
          <w:lang w:eastAsia="en-GB"/>
        </w:rPr>
        <w:t xml:space="preserve">a duty to provide </w:t>
      </w:r>
      <w:r w:rsidR="00FE129D" w:rsidRPr="00314396">
        <w:rPr>
          <w:rFonts w:ascii="Times New Roman" w:hAnsi="Times New Roman"/>
          <w:lang w:eastAsia="en-GB"/>
        </w:rPr>
        <w:t xml:space="preserve">accommodation to an individual </w:t>
      </w:r>
      <w:r w:rsidR="00041C9D" w:rsidRPr="00314396">
        <w:rPr>
          <w:rFonts w:ascii="Times New Roman" w:hAnsi="Times New Roman"/>
          <w:lang w:eastAsia="en-GB"/>
        </w:rPr>
        <w:t>within a reasonable period of time</w:t>
      </w:r>
      <w:r w:rsidR="004403F3" w:rsidRPr="00314396">
        <w:rPr>
          <w:rFonts w:ascii="Times New Roman" w:hAnsi="Times New Roman"/>
          <w:lang w:eastAsia="en-GB"/>
        </w:rPr>
        <w:t xml:space="preserve">, having regard to the fact that the individual </w:t>
      </w:r>
      <w:r w:rsidR="00A069F0" w:rsidRPr="00314396">
        <w:rPr>
          <w:rFonts w:ascii="Times New Roman" w:hAnsi="Times New Roman"/>
          <w:lang w:eastAsia="en-GB"/>
        </w:rPr>
        <w:t xml:space="preserve">faces “an imminent prospect of serious suffering” </w:t>
      </w:r>
      <w:r w:rsidR="00550BC1" w:rsidRPr="00314396">
        <w:rPr>
          <w:rFonts w:ascii="Times New Roman" w:hAnsi="Times New Roman"/>
          <w:lang w:eastAsia="en-GB"/>
        </w:rPr>
        <w:t xml:space="preserve">and is prohibited from addressing this by earning or </w:t>
      </w:r>
      <w:r w:rsidR="00FE129D" w:rsidRPr="00314396">
        <w:rPr>
          <w:rFonts w:ascii="Times New Roman" w:hAnsi="Times New Roman"/>
          <w:lang w:eastAsia="en-GB"/>
        </w:rPr>
        <w:t xml:space="preserve">by </w:t>
      </w:r>
      <w:r w:rsidR="00550BC1" w:rsidRPr="00314396">
        <w:rPr>
          <w:rFonts w:ascii="Times New Roman" w:hAnsi="Times New Roman"/>
          <w:lang w:eastAsia="en-GB"/>
        </w:rPr>
        <w:t xml:space="preserve">recourse to public funds. </w:t>
      </w:r>
    </w:p>
    <w:p w14:paraId="5063CFD2" w14:textId="77777777" w:rsidR="00314396" w:rsidRPr="00314396" w:rsidRDefault="00314396" w:rsidP="00314396">
      <w:pPr>
        <w:pStyle w:val="ListParagraph"/>
        <w:rPr>
          <w:rFonts w:ascii="Times New Roman" w:hAnsi="Times New Roman"/>
          <w:lang w:eastAsia="en-GB"/>
        </w:rPr>
      </w:pPr>
    </w:p>
    <w:p w14:paraId="61578A2D" w14:textId="380A7C6E" w:rsidR="00133383" w:rsidRPr="00314396" w:rsidRDefault="00550BC1" w:rsidP="00314396">
      <w:pPr>
        <w:pStyle w:val="ListParagraph"/>
        <w:numPr>
          <w:ilvl w:val="0"/>
          <w:numId w:val="10"/>
        </w:numPr>
        <w:jc w:val="both"/>
        <w:rPr>
          <w:rFonts w:ascii="Times New Roman" w:hAnsi="Times New Roman"/>
          <w:lang w:val="en-US"/>
        </w:rPr>
      </w:pPr>
      <w:r w:rsidRPr="00314396">
        <w:rPr>
          <w:rFonts w:ascii="Times New Roman" w:hAnsi="Times New Roman"/>
          <w:lang w:eastAsia="en-GB"/>
        </w:rPr>
        <w:t xml:space="preserve">It is also about </w:t>
      </w:r>
      <w:r w:rsidR="008247B6" w:rsidRPr="00314396">
        <w:rPr>
          <w:rFonts w:ascii="Times New Roman" w:hAnsi="Times New Roman"/>
          <w:lang w:eastAsia="en-GB"/>
        </w:rPr>
        <w:t>monitoring for two purposes</w:t>
      </w:r>
      <w:r w:rsidR="008016AD" w:rsidRPr="00314396">
        <w:rPr>
          <w:rFonts w:ascii="Times New Roman" w:hAnsi="Times New Roman"/>
          <w:lang w:eastAsia="en-GB"/>
        </w:rPr>
        <w:t xml:space="preserve">. First, </w:t>
      </w:r>
      <w:r w:rsidR="008247B6" w:rsidRPr="00314396">
        <w:rPr>
          <w:rFonts w:ascii="Times New Roman" w:hAnsi="Times New Roman"/>
          <w:lang w:eastAsia="en-GB"/>
        </w:rPr>
        <w:t xml:space="preserve">to </w:t>
      </w:r>
      <w:r w:rsidRPr="00314396">
        <w:rPr>
          <w:rFonts w:ascii="Times New Roman" w:hAnsi="Times New Roman"/>
          <w:lang w:eastAsia="en-GB"/>
        </w:rPr>
        <w:t>identif</w:t>
      </w:r>
      <w:r w:rsidR="00E1671B" w:rsidRPr="00314396">
        <w:rPr>
          <w:rFonts w:ascii="Times New Roman" w:hAnsi="Times New Roman"/>
          <w:lang w:eastAsia="en-GB"/>
        </w:rPr>
        <w:t>y</w:t>
      </w:r>
      <w:r w:rsidR="008247B6" w:rsidRPr="00314396">
        <w:rPr>
          <w:rFonts w:ascii="Times New Roman" w:hAnsi="Times New Roman"/>
          <w:lang w:eastAsia="en-GB"/>
        </w:rPr>
        <w:t xml:space="preserve"> and resolve </w:t>
      </w:r>
      <w:r w:rsidR="00E1671B" w:rsidRPr="00314396">
        <w:rPr>
          <w:rFonts w:ascii="Times New Roman" w:hAnsi="Times New Roman"/>
          <w:lang w:eastAsia="en-GB"/>
        </w:rPr>
        <w:t>the problem where accommodation</w:t>
      </w:r>
      <w:r w:rsidR="008876E5" w:rsidRPr="00314396">
        <w:rPr>
          <w:rFonts w:ascii="Times New Roman" w:hAnsi="Times New Roman"/>
          <w:lang w:eastAsia="en-GB"/>
        </w:rPr>
        <w:t>,</w:t>
      </w:r>
      <w:r w:rsidR="00E1671B" w:rsidRPr="00314396">
        <w:rPr>
          <w:rFonts w:ascii="Times New Roman" w:hAnsi="Times New Roman"/>
          <w:lang w:eastAsia="en-GB"/>
        </w:rPr>
        <w:t xml:space="preserve"> that the Secretary of State has accepted </w:t>
      </w:r>
      <w:r w:rsidR="008016AD" w:rsidRPr="00314396">
        <w:rPr>
          <w:rFonts w:ascii="Times New Roman" w:hAnsi="Times New Roman"/>
          <w:lang w:eastAsia="en-GB"/>
        </w:rPr>
        <w:t xml:space="preserve">through her officials </w:t>
      </w:r>
      <w:r w:rsidR="00E1671B" w:rsidRPr="00314396">
        <w:rPr>
          <w:rFonts w:ascii="Times New Roman" w:hAnsi="Times New Roman"/>
          <w:lang w:eastAsia="en-GB"/>
        </w:rPr>
        <w:t>there is a duty to provide to an individual</w:t>
      </w:r>
      <w:r w:rsidR="008876E5" w:rsidRPr="00314396">
        <w:rPr>
          <w:rFonts w:ascii="Times New Roman" w:hAnsi="Times New Roman"/>
          <w:lang w:eastAsia="en-GB"/>
        </w:rPr>
        <w:t>,</w:t>
      </w:r>
      <w:r w:rsidR="00E1671B" w:rsidRPr="00314396">
        <w:rPr>
          <w:rFonts w:ascii="Times New Roman" w:hAnsi="Times New Roman"/>
          <w:lang w:eastAsia="en-GB"/>
        </w:rPr>
        <w:t xml:space="preserve"> is not being provided</w:t>
      </w:r>
      <w:r w:rsidR="00F778F9" w:rsidRPr="00314396">
        <w:rPr>
          <w:rFonts w:ascii="Times New Roman" w:hAnsi="Times New Roman"/>
          <w:lang w:eastAsia="en-GB"/>
        </w:rPr>
        <w:t>. Second,</w:t>
      </w:r>
      <w:r w:rsidR="008247B6" w:rsidRPr="00314396">
        <w:rPr>
          <w:rFonts w:ascii="Times New Roman" w:hAnsi="Times New Roman"/>
          <w:lang w:eastAsia="en-GB"/>
        </w:rPr>
        <w:t xml:space="preserve"> to </w:t>
      </w:r>
      <w:r w:rsidR="00C452FA" w:rsidRPr="00314396">
        <w:rPr>
          <w:rFonts w:ascii="Times New Roman" w:hAnsi="Times New Roman"/>
          <w:lang w:eastAsia="en-GB"/>
        </w:rPr>
        <w:t>see whether the</w:t>
      </w:r>
      <w:r w:rsidR="008247B6" w:rsidRPr="00314396">
        <w:rPr>
          <w:rFonts w:ascii="Times New Roman" w:hAnsi="Times New Roman"/>
          <w:lang w:eastAsia="en-GB"/>
        </w:rPr>
        <w:t xml:space="preserve"> system </w:t>
      </w:r>
      <w:r w:rsidR="00C452FA" w:rsidRPr="00314396">
        <w:rPr>
          <w:rFonts w:ascii="Times New Roman" w:hAnsi="Times New Roman"/>
          <w:lang w:eastAsia="en-GB"/>
        </w:rPr>
        <w:t xml:space="preserve">is </w:t>
      </w:r>
      <w:r w:rsidR="008247B6" w:rsidRPr="00314396">
        <w:rPr>
          <w:rFonts w:ascii="Times New Roman" w:hAnsi="Times New Roman"/>
          <w:lang w:eastAsia="en-GB"/>
        </w:rPr>
        <w:t>work</w:t>
      </w:r>
      <w:r w:rsidR="00C452FA" w:rsidRPr="00314396">
        <w:rPr>
          <w:rFonts w:ascii="Times New Roman" w:hAnsi="Times New Roman"/>
          <w:lang w:eastAsia="en-GB"/>
        </w:rPr>
        <w:t>ing and where it is not</w:t>
      </w:r>
      <w:r w:rsidR="0001742E" w:rsidRPr="00314396">
        <w:rPr>
          <w:rFonts w:ascii="Times New Roman" w:hAnsi="Times New Roman"/>
          <w:lang w:eastAsia="en-GB"/>
        </w:rPr>
        <w:t>,</w:t>
      </w:r>
      <w:r w:rsidR="00C452FA" w:rsidRPr="00314396">
        <w:rPr>
          <w:rFonts w:ascii="Times New Roman" w:hAnsi="Times New Roman"/>
          <w:lang w:eastAsia="en-GB"/>
        </w:rPr>
        <w:t xml:space="preserve"> to h</w:t>
      </w:r>
      <w:r w:rsidR="00132915" w:rsidRPr="00314396">
        <w:rPr>
          <w:rFonts w:ascii="Times New Roman" w:hAnsi="Times New Roman"/>
          <w:lang w:eastAsia="en-GB"/>
        </w:rPr>
        <w:t>elp in the identification of solutions</w:t>
      </w:r>
      <w:r w:rsidR="00C452FA" w:rsidRPr="00314396">
        <w:rPr>
          <w:rFonts w:ascii="Times New Roman" w:hAnsi="Times New Roman"/>
          <w:lang w:eastAsia="en-GB"/>
        </w:rPr>
        <w:t xml:space="preserve">. </w:t>
      </w:r>
      <w:r w:rsidR="00BC1078" w:rsidRPr="00314396">
        <w:rPr>
          <w:rFonts w:ascii="Times New Roman" w:hAnsi="Times New Roman"/>
          <w:lang w:eastAsia="en-GB"/>
        </w:rPr>
        <w:t>Where a system</w:t>
      </w:r>
      <w:r w:rsidR="00765023" w:rsidRPr="00314396">
        <w:rPr>
          <w:rFonts w:ascii="Times New Roman" w:hAnsi="Times New Roman"/>
          <w:lang w:eastAsia="en-GB"/>
        </w:rPr>
        <w:t xml:space="preserve"> for section 4(2) accommodation</w:t>
      </w:r>
      <w:r w:rsidR="00BC1078" w:rsidRPr="00314396">
        <w:rPr>
          <w:rFonts w:ascii="Times New Roman" w:hAnsi="Times New Roman"/>
          <w:lang w:eastAsia="en-GB"/>
        </w:rPr>
        <w:t xml:space="preserve"> will take longer for a</w:t>
      </w:r>
      <w:r w:rsidR="00C00602" w:rsidRPr="00314396">
        <w:rPr>
          <w:rFonts w:ascii="Times New Roman" w:hAnsi="Times New Roman"/>
          <w:lang w:eastAsia="en-GB"/>
        </w:rPr>
        <w:t xml:space="preserve"> </w:t>
      </w:r>
      <w:r w:rsidR="00BC1078" w:rsidRPr="00314396">
        <w:rPr>
          <w:rFonts w:ascii="Times New Roman" w:hAnsi="Times New Roman"/>
          <w:lang w:eastAsia="en-GB"/>
        </w:rPr>
        <w:t xml:space="preserve">person </w:t>
      </w:r>
      <w:r w:rsidR="00C00602" w:rsidRPr="00314396">
        <w:rPr>
          <w:rFonts w:ascii="Times New Roman" w:hAnsi="Times New Roman"/>
          <w:lang w:eastAsia="en-GB"/>
        </w:rPr>
        <w:t xml:space="preserve">with a disability </w:t>
      </w:r>
      <w:r w:rsidR="00EA0BBA" w:rsidRPr="00314396">
        <w:rPr>
          <w:rFonts w:ascii="Times New Roman" w:hAnsi="Times New Roman"/>
          <w:lang w:eastAsia="en-GB"/>
        </w:rPr>
        <w:t xml:space="preserve">than a person </w:t>
      </w:r>
      <w:r w:rsidR="00C00602" w:rsidRPr="00314396">
        <w:rPr>
          <w:rFonts w:ascii="Times New Roman" w:hAnsi="Times New Roman"/>
          <w:lang w:eastAsia="en-GB"/>
        </w:rPr>
        <w:t>without</w:t>
      </w:r>
      <w:r w:rsidR="00DA5584" w:rsidRPr="00314396">
        <w:rPr>
          <w:rFonts w:ascii="Times New Roman" w:hAnsi="Times New Roman"/>
          <w:lang w:eastAsia="en-GB"/>
        </w:rPr>
        <w:t>,</w:t>
      </w:r>
      <w:r w:rsidR="00C00602" w:rsidRPr="00314396">
        <w:rPr>
          <w:rFonts w:ascii="Times New Roman" w:hAnsi="Times New Roman"/>
          <w:lang w:eastAsia="en-GB"/>
        </w:rPr>
        <w:t xml:space="preserve"> </w:t>
      </w:r>
      <w:r w:rsidR="000F45F1" w:rsidRPr="00314396">
        <w:rPr>
          <w:rFonts w:ascii="Times New Roman" w:hAnsi="Times New Roman"/>
          <w:lang w:eastAsia="en-GB"/>
        </w:rPr>
        <w:t>the system require</w:t>
      </w:r>
      <w:r w:rsidR="00C00602" w:rsidRPr="00314396">
        <w:rPr>
          <w:rFonts w:ascii="Times New Roman" w:hAnsi="Times New Roman"/>
          <w:lang w:eastAsia="en-GB"/>
        </w:rPr>
        <w:t>s</w:t>
      </w:r>
      <w:r w:rsidR="000F45F1" w:rsidRPr="00314396">
        <w:rPr>
          <w:rFonts w:ascii="Times New Roman" w:hAnsi="Times New Roman"/>
          <w:lang w:eastAsia="en-GB"/>
        </w:rPr>
        <w:t xml:space="preserve"> examination</w:t>
      </w:r>
      <w:r w:rsidR="00C00602" w:rsidRPr="00314396">
        <w:rPr>
          <w:rFonts w:ascii="Times New Roman" w:hAnsi="Times New Roman"/>
          <w:lang w:eastAsia="en-GB"/>
        </w:rPr>
        <w:t xml:space="preserve"> to understand why and</w:t>
      </w:r>
      <w:r w:rsidR="000A34D3" w:rsidRPr="00314396">
        <w:rPr>
          <w:rFonts w:ascii="Times New Roman" w:hAnsi="Times New Roman"/>
          <w:lang w:eastAsia="en-GB"/>
        </w:rPr>
        <w:t>, where appropriate,</w:t>
      </w:r>
      <w:r w:rsidR="00C00602" w:rsidRPr="00314396">
        <w:rPr>
          <w:rFonts w:ascii="Times New Roman" w:hAnsi="Times New Roman"/>
          <w:lang w:eastAsia="en-GB"/>
        </w:rPr>
        <w:t xml:space="preserve"> to address</w:t>
      </w:r>
      <w:r w:rsidR="000A34D3" w:rsidRPr="00314396">
        <w:rPr>
          <w:rFonts w:ascii="Times New Roman" w:hAnsi="Times New Roman"/>
          <w:lang w:eastAsia="en-GB"/>
        </w:rPr>
        <w:t xml:space="preserve"> the position</w:t>
      </w:r>
      <w:r w:rsidR="00E67397" w:rsidRPr="00314396">
        <w:rPr>
          <w:rFonts w:ascii="Times New Roman" w:hAnsi="Times New Roman"/>
          <w:lang w:eastAsia="en-GB"/>
        </w:rPr>
        <w:t xml:space="preserve">. </w:t>
      </w:r>
    </w:p>
    <w:p w14:paraId="765CDA8D" w14:textId="77777777" w:rsidR="00133383" w:rsidRPr="00314396" w:rsidRDefault="00133383" w:rsidP="00133383">
      <w:pPr>
        <w:pStyle w:val="ListParagraph"/>
        <w:rPr>
          <w:rFonts w:ascii="Times New Roman" w:hAnsi="Times New Roman"/>
          <w:lang w:eastAsia="en-GB"/>
        </w:rPr>
      </w:pPr>
    </w:p>
    <w:p w14:paraId="27C8D3CF" w14:textId="53388511" w:rsidR="004322E3" w:rsidRPr="00314396" w:rsidRDefault="00E67397" w:rsidP="00B6212D">
      <w:pPr>
        <w:pStyle w:val="ListParagraph"/>
        <w:numPr>
          <w:ilvl w:val="0"/>
          <w:numId w:val="10"/>
        </w:numPr>
        <w:jc w:val="both"/>
        <w:rPr>
          <w:rFonts w:ascii="Times New Roman" w:hAnsi="Times New Roman"/>
          <w:lang w:val="en-US"/>
        </w:rPr>
      </w:pPr>
      <w:r w:rsidRPr="00314396">
        <w:rPr>
          <w:rFonts w:ascii="Times New Roman" w:hAnsi="Times New Roman"/>
          <w:lang w:eastAsia="en-GB"/>
        </w:rPr>
        <w:t xml:space="preserve">It </w:t>
      </w:r>
      <w:r w:rsidR="00926FDB">
        <w:rPr>
          <w:rFonts w:ascii="Times New Roman" w:hAnsi="Times New Roman"/>
          <w:lang w:eastAsia="en-GB"/>
        </w:rPr>
        <w:t>will be</w:t>
      </w:r>
      <w:r w:rsidRPr="00314396">
        <w:rPr>
          <w:rFonts w:ascii="Times New Roman" w:hAnsi="Times New Roman"/>
          <w:lang w:eastAsia="en-GB"/>
        </w:rPr>
        <w:t xml:space="preserve"> appreciated that the policy choice</w:t>
      </w:r>
      <w:r w:rsidR="004E2318" w:rsidRPr="00314396">
        <w:rPr>
          <w:rFonts w:ascii="Times New Roman" w:hAnsi="Times New Roman"/>
          <w:lang w:eastAsia="en-GB"/>
        </w:rPr>
        <w:t>s</w:t>
      </w:r>
      <w:r w:rsidRPr="00314396">
        <w:rPr>
          <w:rFonts w:ascii="Times New Roman" w:hAnsi="Times New Roman"/>
          <w:lang w:eastAsia="en-GB"/>
        </w:rPr>
        <w:t xml:space="preserve"> not to allow recourse to public funds </w:t>
      </w:r>
      <w:r w:rsidR="00A0737C" w:rsidRPr="00314396">
        <w:rPr>
          <w:rFonts w:ascii="Times New Roman" w:hAnsi="Times New Roman"/>
          <w:lang w:eastAsia="en-GB"/>
        </w:rPr>
        <w:t xml:space="preserve">(or earning) </w:t>
      </w:r>
      <w:r w:rsidRPr="00314396">
        <w:rPr>
          <w:rFonts w:ascii="Times New Roman" w:hAnsi="Times New Roman"/>
          <w:lang w:eastAsia="en-GB"/>
        </w:rPr>
        <w:t xml:space="preserve">and </w:t>
      </w:r>
      <w:r w:rsidR="004E2318" w:rsidRPr="00314396">
        <w:rPr>
          <w:rFonts w:ascii="Times New Roman" w:hAnsi="Times New Roman"/>
          <w:lang w:eastAsia="en-GB"/>
        </w:rPr>
        <w:t>only to engage the section 4</w:t>
      </w:r>
      <w:r w:rsidR="00945F2E" w:rsidRPr="00314396">
        <w:rPr>
          <w:rFonts w:ascii="Times New Roman" w:hAnsi="Times New Roman"/>
          <w:lang w:eastAsia="en-GB"/>
        </w:rPr>
        <w:t>(2)</w:t>
      </w:r>
      <w:r w:rsidR="004E2318" w:rsidRPr="00314396">
        <w:rPr>
          <w:rFonts w:ascii="Times New Roman" w:hAnsi="Times New Roman"/>
          <w:lang w:eastAsia="en-GB"/>
        </w:rPr>
        <w:t xml:space="preserve"> duty at the point where a disabled individual faces “an imminent </w:t>
      </w:r>
      <w:r w:rsidR="00A0737C" w:rsidRPr="00314396">
        <w:rPr>
          <w:rFonts w:ascii="Times New Roman" w:hAnsi="Times New Roman"/>
          <w:lang w:eastAsia="en-GB"/>
        </w:rPr>
        <w:t xml:space="preserve">prospect of serious suffering” </w:t>
      </w:r>
      <w:r w:rsidR="006C4C22" w:rsidRPr="00314396">
        <w:rPr>
          <w:rFonts w:ascii="Times New Roman" w:hAnsi="Times New Roman"/>
          <w:lang w:eastAsia="en-GB"/>
        </w:rPr>
        <w:t xml:space="preserve">are </w:t>
      </w:r>
      <w:r w:rsidR="00940184" w:rsidRPr="00314396">
        <w:rPr>
          <w:rFonts w:ascii="Times New Roman" w:hAnsi="Times New Roman"/>
          <w:lang w:eastAsia="en-GB"/>
        </w:rPr>
        <w:t xml:space="preserve">policy </w:t>
      </w:r>
      <w:r w:rsidR="006C4C22" w:rsidRPr="00314396">
        <w:rPr>
          <w:rFonts w:ascii="Times New Roman" w:hAnsi="Times New Roman"/>
          <w:lang w:eastAsia="en-GB"/>
        </w:rPr>
        <w:t xml:space="preserve">choices that contribute to </w:t>
      </w:r>
      <w:r w:rsidRPr="00314396">
        <w:rPr>
          <w:rFonts w:ascii="Times New Roman" w:hAnsi="Times New Roman"/>
          <w:lang w:eastAsia="en-GB"/>
        </w:rPr>
        <w:t>the pressure</w:t>
      </w:r>
      <w:r w:rsidR="006C4C22" w:rsidRPr="00314396">
        <w:rPr>
          <w:rFonts w:ascii="Times New Roman" w:hAnsi="Times New Roman"/>
          <w:lang w:eastAsia="en-GB"/>
        </w:rPr>
        <w:t xml:space="preserve"> of time</w:t>
      </w:r>
      <w:r w:rsidR="00F01E2A" w:rsidRPr="00314396">
        <w:rPr>
          <w:rFonts w:ascii="Times New Roman" w:hAnsi="Times New Roman"/>
          <w:lang w:eastAsia="en-GB"/>
        </w:rPr>
        <w:t xml:space="preserve"> if the Secretary of State is not to breach </w:t>
      </w:r>
      <w:r w:rsidR="00F778F9" w:rsidRPr="00314396">
        <w:rPr>
          <w:rFonts w:ascii="Times New Roman" w:hAnsi="Times New Roman"/>
          <w:lang w:eastAsia="en-GB"/>
        </w:rPr>
        <w:t xml:space="preserve">her </w:t>
      </w:r>
      <w:r w:rsidR="00F01E2A" w:rsidRPr="00314396">
        <w:rPr>
          <w:rFonts w:ascii="Times New Roman" w:hAnsi="Times New Roman"/>
          <w:lang w:eastAsia="en-GB"/>
        </w:rPr>
        <w:t>Article 3</w:t>
      </w:r>
      <w:r w:rsidR="008444F0" w:rsidRPr="00314396">
        <w:rPr>
          <w:rFonts w:ascii="Times New Roman" w:hAnsi="Times New Roman"/>
          <w:lang w:eastAsia="en-GB"/>
        </w:rPr>
        <w:t>, common law</w:t>
      </w:r>
      <w:r w:rsidR="008C5D9F" w:rsidRPr="00314396">
        <w:rPr>
          <w:rFonts w:ascii="Times New Roman" w:hAnsi="Times New Roman"/>
          <w:lang w:eastAsia="en-GB"/>
        </w:rPr>
        <w:t xml:space="preserve"> and Equality Act duties</w:t>
      </w:r>
      <w:r w:rsidR="00F01E2A" w:rsidRPr="00314396">
        <w:rPr>
          <w:rFonts w:ascii="Times New Roman" w:hAnsi="Times New Roman"/>
          <w:lang w:eastAsia="en-GB"/>
        </w:rPr>
        <w:t>.</w:t>
      </w:r>
    </w:p>
    <w:p w14:paraId="6828BAD9" w14:textId="77777777" w:rsidR="004322E3" w:rsidRPr="00314396" w:rsidRDefault="004322E3" w:rsidP="00B6212D">
      <w:pPr>
        <w:pStyle w:val="ListParagraph"/>
        <w:ind w:left="687"/>
        <w:jc w:val="both"/>
        <w:rPr>
          <w:rFonts w:ascii="Times New Roman" w:hAnsi="Times New Roman"/>
          <w:lang w:val="en-US"/>
        </w:rPr>
      </w:pPr>
    </w:p>
    <w:p w14:paraId="5EC9268F" w14:textId="6AB3FC08" w:rsidR="000F0E7C" w:rsidRPr="00602F08" w:rsidRDefault="00F17EA4" w:rsidP="00B6212D">
      <w:pPr>
        <w:pStyle w:val="ListParagraph"/>
        <w:numPr>
          <w:ilvl w:val="0"/>
          <w:numId w:val="10"/>
        </w:numPr>
        <w:jc w:val="both"/>
        <w:rPr>
          <w:rFonts w:ascii="Times New Roman" w:hAnsi="Times New Roman"/>
          <w:lang w:val="en-US"/>
        </w:rPr>
      </w:pPr>
      <w:r>
        <w:rPr>
          <w:rFonts w:ascii="Times New Roman" w:hAnsi="Times New Roman"/>
          <w:lang w:eastAsia="en-GB"/>
        </w:rPr>
        <w:t>On behalf of the Secretary of State it</w:t>
      </w:r>
      <w:r w:rsidR="00D360E3" w:rsidRPr="00314396">
        <w:rPr>
          <w:rFonts w:ascii="Times New Roman" w:hAnsi="Times New Roman"/>
          <w:lang w:eastAsia="en-GB"/>
        </w:rPr>
        <w:t xml:space="preserve"> </w:t>
      </w:r>
      <w:r>
        <w:rPr>
          <w:rFonts w:ascii="Times New Roman" w:hAnsi="Times New Roman"/>
          <w:lang w:eastAsia="en-GB"/>
        </w:rPr>
        <w:t>wa</w:t>
      </w:r>
      <w:r w:rsidR="00D360E3" w:rsidRPr="00314396">
        <w:rPr>
          <w:rFonts w:ascii="Times New Roman" w:hAnsi="Times New Roman"/>
          <w:lang w:eastAsia="en-GB"/>
        </w:rPr>
        <w:t xml:space="preserve">s argued that AA’s </w:t>
      </w:r>
      <w:r w:rsidR="001C1AE1" w:rsidRPr="00314396">
        <w:rPr>
          <w:rFonts w:ascii="Times New Roman" w:hAnsi="Times New Roman"/>
          <w:lang w:eastAsia="en-GB"/>
        </w:rPr>
        <w:t>challenge does</w:t>
      </w:r>
      <w:r w:rsidR="00B9507D" w:rsidRPr="00314396">
        <w:rPr>
          <w:rFonts w:ascii="Times New Roman" w:hAnsi="Times New Roman"/>
          <w:lang w:eastAsia="en-GB"/>
        </w:rPr>
        <w:t xml:space="preserve"> not take into account the contractual provisions which </w:t>
      </w:r>
      <w:r w:rsidR="004322E3" w:rsidRPr="00314396">
        <w:rPr>
          <w:rFonts w:ascii="Times New Roman" w:hAnsi="Times New Roman"/>
          <w:lang w:eastAsia="en-GB"/>
        </w:rPr>
        <w:t>require t</w:t>
      </w:r>
      <w:r w:rsidR="00B9507D" w:rsidRPr="00314396">
        <w:rPr>
          <w:rFonts w:ascii="Times New Roman" w:hAnsi="Times New Roman"/>
          <w:lang w:eastAsia="en-GB"/>
        </w:rPr>
        <w:t xml:space="preserve">he </w:t>
      </w:r>
      <w:r w:rsidR="001C1AE1" w:rsidRPr="00314396">
        <w:rPr>
          <w:rFonts w:ascii="Times New Roman" w:hAnsi="Times New Roman"/>
          <w:lang w:eastAsia="en-GB"/>
        </w:rPr>
        <w:t xml:space="preserve">accommodation </w:t>
      </w:r>
      <w:r w:rsidR="00B9507D" w:rsidRPr="00314396">
        <w:rPr>
          <w:rFonts w:ascii="Times New Roman" w:hAnsi="Times New Roman"/>
          <w:lang w:eastAsia="en-GB"/>
        </w:rPr>
        <w:t>provider to address the needs of service users</w:t>
      </w:r>
      <w:r w:rsidR="004322E3" w:rsidRPr="00314396">
        <w:rPr>
          <w:rFonts w:ascii="Times New Roman" w:hAnsi="Times New Roman"/>
          <w:lang w:eastAsia="en-GB"/>
        </w:rPr>
        <w:t>, or the</w:t>
      </w:r>
      <w:r w:rsidR="00B9507D" w:rsidRPr="00314396">
        <w:rPr>
          <w:rFonts w:ascii="Times New Roman" w:hAnsi="Times New Roman"/>
          <w:lang w:eastAsia="en-GB"/>
        </w:rPr>
        <w:t> </w:t>
      </w:r>
      <w:r w:rsidR="004322E3" w:rsidRPr="00314396">
        <w:rPr>
          <w:rFonts w:ascii="Times New Roman" w:hAnsi="Times New Roman"/>
          <w:lang w:eastAsia="en-GB"/>
        </w:rPr>
        <w:t xml:space="preserve">Healthcare Needs and Pregnancy Dispersal Policy which provides that “If an applicant’s healthcare need requires the urgent provision of dispersal accommodation, the application for support should be prioritised wherever possible”. </w:t>
      </w:r>
      <w:r w:rsidR="001C1AE1" w:rsidRPr="00314396">
        <w:rPr>
          <w:rFonts w:ascii="Times New Roman" w:hAnsi="Times New Roman"/>
          <w:lang w:eastAsia="en-GB"/>
        </w:rPr>
        <w:t>However, these provisions do not appear to be</w:t>
      </w:r>
      <w:r w:rsidR="0016270B" w:rsidRPr="00314396">
        <w:rPr>
          <w:rFonts w:ascii="Times New Roman" w:hAnsi="Times New Roman"/>
          <w:lang w:eastAsia="en-GB"/>
        </w:rPr>
        <w:t xml:space="preserve"> </w:t>
      </w:r>
      <w:r w:rsidR="00913CE6" w:rsidRPr="00314396">
        <w:rPr>
          <w:rFonts w:ascii="Times New Roman" w:hAnsi="Times New Roman"/>
          <w:lang w:eastAsia="en-GB"/>
        </w:rPr>
        <w:t>working</w:t>
      </w:r>
      <w:r w:rsidR="001C1AE1" w:rsidRPr="00314396">
        <w:rPr>
          <w:rFonts w:ascii="Times New Roman" w:hAnsi="Times New Roman"/>
          <w:lang w:eastAsia="en-GB"/>
        </w:rPr>
        <w:t xml:space="preserve"> generally</w:t>
      </w:r>
      <w:r w:rsidR="007F7F7A">
        <w:rPr>
          <w:rFonts w:ascii="Times New Roman" w:hAnsi="Times New Roman"/>
          <w:lang w:eastAsia="en-GB"/>
        </w:rPr>
        <w:t>,</w:t>
      </w:r>
      <w:r w:rsidR="00AB543D" w:rsidRPr="00314396">
        <w:rPr>
          <w:rFonts w:ascii="Times New Roman" w:hAnsi="Times New Roman"/>
          <w:lang w:eastAsia="en-GB"/>
        </w:rPr>
        <w:t>.</w:t>
      </w:r>
      <w:r w:rsidR="001C1AE1" w:rsidRPr="00314396">
        <w:rPr>
          <w:rFonts w:ascii="Times New Roman" w:hAnsi="Times New Roman"/>
          <w:lang w:eastAsia="en-GB"/>
        </w:rPr>
        <w:t xml:space="preserve"> </w:t>
      </w:r>
      <w:r w:rsidR="00AB543D" w:rsidRPr="00314396">
        <w:rPr>
          <w:rFonts w:ascii="Times New Roman" w:hAnsi="Times New Roman"/>
          <w:lang w:eastAsia="en-GB"/>
        </w:rPr>
        <w:t>T</w:t>
      </w:r>
      <w:r w:rsidR="001C1AE1" w:rsidRPr="00314396">
        <w:rPr>
          <w:rFonts w:ascii="Times New Roman" w:hAnsi="Times New Roman"/>
          <w:lang w:eastAsia="en-GB"/>
        </w:rPr>
        <w:t>h</w:t>
      </w:r>
      <w:r w:rsidR="00402A96" w:rsidRPr="00314396">
        <w:rPr>
          <w:rFonts w:ascii="Times New Roman" w:hAnsi="Times New Roman"/>
          <w:lang w:eastAsia="en-GB"/>
        </w:rPr>
        <w:t>e</w:t>
      </w:r>
      <w:r w:rsidR="001C1AE1" w:rsidRPr="00314396">
        <w:rPr>
          <w:rFonts w:ascii="Times New Roman" w:hAnsi="Times New Roman"/>
          <w:lang w:eastAsia="en-GB"/>
        </w:rPr>
        <w:t xml:space="preserve"> Secretary of State </w:t>
      </w:r>
      <w:r w:rsidR="005012ED" w:rsidRPr="00314396">
        <w:rPr>
          <w:rFonts w:ascii="Times New Roman" w:hAnsi="Times New Roman"/>
          <w:lang w:eastAsia="en-GB"/>
        </w:rPr>
        <w:t xml:space="preserve">through her officials </w:t>
      </w:r>
      <w:r w:rsidR="001C1AE1" w:rsidRPr="00314396">
        <w:rPr>
          <w:rFonts w:ascii="Times New Roman" w:hAnsi="Times New Roman"/>
          <w:lang w:eastAsia="en-GB"/>
        </w:rPr>
        <w:t xml:space="preserve">does not show the </w:t>
      </w:r>
      <w:r w:rsidR="00CF4538" w:rsidRPr="00314396">
        <w:rPr>
          <w:rFonts w:ascii="Times New Roman" w:hAnsi="Times New Roman"/>
          <w:lang w:eastAsia="en-GB"/>
        </w:rPr>
        <w:t xml:space="preserve">working </w:t>
      </w:r>
      <w:r w:rsidR="005012ED" w:rsidRPr="00314396">
        <w:rPr>
          <w:rFonts w:ascii="Times New Roman" w:hAnsi="Times New Roman"/>
          <w:lang w:eastAsia="en-GB"/>
        </w:rPr>
        <w:t xml:space="preserve">of the provisions </w:t>
      </w:r>
      <w:r w:rsidR="00CF4538" w:rsidRPr="00314396">
        <w:rPr>
          <w:rFonts w:ascii="Times New Roman" w:hAnsi="Times New Roman"/>
          <w:lang w:eastAsia="en-GB"/>
        </w:rPr>
        <w:t>in the case</w:t>
      </w:r>
      <w:r w:rsidR="003F7D11">
        <w:rPr>
          <w:rFonts w:ascii="Times New Roman" w:hAnsi="Times New Roman"/>
          <w:lang w:eastAsia="en-GB"/>
        </w:rPr>
        <w:t xml:space="preserve"> of AA</w:t>
      </w:r>
      <w:r w:rsidR="00913CE6" w:rsidRPr="00314396">
        <w:rPr>
          <w:rFonts w:ascii="Times New Roman" w:hAnsi="Times New Roman"/>
          <w:lang w:eastAsia="en-GB"/>
        </w:rPr>
        <w:t xml:space="preserve">, and </w:t>
      </w:r>
      <w:r w:rsidR="008A2130" w:rsidRPr="00314396">
        <w:rPr>
          <w:rFonts w:ascii="Times New Roman" w:hAnsi="Times New Roman"/>
          <w:lang w:eastAsia="en-GB"/>
        </w:rPr>
        <w:t xml:space="preserve">on the figures put to the Court </w:t>
      </w:r>
      <w:r w:rsidR="005012ED" w:rsidRPr="00314396">
        <w:rPr>
          <w:rFonts w:ascii="Times New Roman" w:hAnsi="Times New Roman"/>
          <w:lang w:eastAsia="en-GB"/>
        </w:rPr>
        <w:t xml:space="preserve">on her behalf </w:t>
      </w:r>
      <w:r w:rsidR="00CF4538" w:rsidRPr="00314396">
        <w:rPr>
          <w:rFonts w:ascii="Times New Roman" w:hAnsi="Times New Roman"/>
          <w:lang w:eastAsia="en-GB"/>
        </w:rPr>
        <w:t>the Secretary of S</w:t>
      </w:r>
      <w:r w:rsidR="00CF4538" w:rsidRPr="00602F08">
        <w:rPr>
          <w:rFonts w:ascii="Times New Roman" w:hAnsi="Times New Roman"/>
          <w:lang w:eastAsia="en-GB"/>
        </w:rPr>
        <w:t xml:space="preserve">tate </w:t>
      </w:r>
      <w:r w:rsidR="005012ED" w:rsidRPr="00602F08">
        <w:rPr>
          <w:rFonts w:ascii="Times New Roman" w:hAnsi="Times New Roman"/>
          <w:lang w:eastAsia="en-GB"/>
        </w:rPr>
        <w:t xml:space="preserve">acting by her officials </w:t>
      </w:r>
      <w:r w:rsidR="00913CE6" w:rsidRPr="00602F08">
        <w:rPr>
          <w:rFonts w:ascii="Times New Roman" w:hAnsi="Times New Roman"/>
          <w:lang w:eastAsia="en-GB"/>
        </w:rPr>
        <w:t xml:space="preserve">did not know </w:t>
      </w:r>
      <w:r w:rsidR="00CF4538" w:rsidRPr="00602F08">
        <w:rPr>
          <w:rFonts w:ascii="Times New Roman" w:hAnsi="Times New Roman"/>
          <w:lang w:eastAsia="en-GB"/>
        </w:rPr>
        <w:t>the provisions were not working.</w:t>
      </w:r>
    </w:p>
    <w:p w14:paraId="71C57594" w14:textId="77777777" w:rsidR="00FD1A1C" w:rsidRPr="00602F08" w:rsidRDefault="00FD1A1C" w:rsidP="00B6212D">
      <w:pPr>
        <w:pStyle w:val="ListParagraph"/>
        <w:jc w:val="both"/>
        <w:rPr>
          <w:rFonts w:ascii="Times New Roman" w:hAnsi="Times New Roman"/>
          <w:lang w:val="en-US"/>
        </w:rPr>
      </w:pPr>
    </w:p>
    <w:p w14:paraId="3D474240" w14:textId="520871F2" w:rsidR="00FD1A1C" w:rsidRPr="00602F08" w:rsidRDefault="00FD1A1C" w:rsidP="00B6212D">
      <w:pPr>
        <w:pStyle w:val="ListParagraph"/>
        <w:numPr>
          <w:ilvl w:val="0"/>
          <w:numId w:val="10"/>
        </w:numPr>
        <w:jc w:val="both"/>
        <w:rPr>
          <w:rFonts w:ascii="Times New Roman" w:hAnsi="Times New Roman"/>
          <w:lang w:val="en-US"/>
        </w:rPr>
      </w:pPr>
      <w:r w:rsidRPr="00602F08">
        <w:rPr>
          <w:rFonts w:ascii="Times New Roman" w:hAnsi="Times New Roman"/>
          <w:lang w:val="en-US"/>
        </w:rPr>
        <w:t>In oral argument</w:t>
      </w:r>
      <w:r w:rsidR="003F7D11">
        <w:rPr>
          <w:rFonts w:ascii="Times New Roman" w:hAnsi="Times New Roman"/>
          <w:lang w:val="en-US"/>
        </w:rPr>
        <w:t>,</w:t>
      </w:r>
      <w:r w:rsidRPr="00602F08">
        <w:rPr>
          <w:rFonts w:ascii="Times New Roman" w:hAnsi="Times New Roman"/>
          <w:lang w:val="en-US"/>
        </w:rPr>
        <w:t xml:space="preserve"> Mr Tam QC </w:t>
      </w:r>
      <w:r w:rsidR="00E55FEF" w:rsidRPr="00602F08">
        <w:rPr>
          <w:rFonts w:ascii="Times New Roman" w:hAnsi="Times New Roman"/>
          <w:lang w:val="en-US"/>
        </w:rPr>
        <w:t>said that if one looked at all the evidence, her</w:t>
      </w:r>
      <w:r w:rsidR="0002078C" w:rsidRPr="00602F08">
        <w:rPr>
          <w:rFonts w:ascii="Times New Roman" w:hAnsi="Times New Roman"/>
          <w:lang w:val="en-US"/>
        </w:rPr>
        <w:t>e</w:t>
      </w:r>
      <w:r w:rsidR="00E55FEF" w:rsidRPr="00602F08">
        <w:rPr>
          <w:rFonts w:ascii="Times New Roman" w:hAnsi="Times New Roman"/>
          <w:lang w:val="en-US"/>
        </w:rPr>
        <w:t xml:space="preserve"> including the wealth of Parliamentary documentation</w:t>
      </w:r>
      <w:r w:rsidR="00A87001">
        <w:rPr>
          <w:rFonts w:ascii="Times New Roman" w:hAnsi="Times New Roman"/>
          <w:lang w:val="en-US"/>
        </w:rPr>
        <w:t xml:space="preserve"> (cf. paragraph [</w:t>
      </w:r>
      <w:r w:rsidR="00047907">
        <w:rPr>
          <w:rFonts w:ascii="Times New Roman" w:hAnsi="Times New Roman"/>
          <w:lang w:val="en-US"/>
        </w:rPr>
        <w:t>32</w:t>
      </w:r>
      <w:r w:rsidR="00A87001">
        <w:rPr>
          <w:rFonts w:ascii="Times New Roman" w:hAnsi="Times New Roman"/>
          <w:lang w:val="en-US"/>
        </w:rPr>
        <w:t>]</w:t>
      </w:r>
      <w:r w:rsidR="00047907">
        <w:rPr>
          <w:rFonts w:ascii="Times New Roman" w:hAnsi="Times New Roman"/>
          <w:lang w:val="en-US"/>
        </w:rPr>
        <w:t>-[33]</w:t>
      </w:r>
      <w:r w:rsidR="00A87001">
        <w:rPr>
          <w:rFonts w:ascii="Times New Roman" w:hAnsi="Times New Roman"/>
          <w:lang w:val="en-US"/>
        </w:rPr>
        <w:t xml:space="preserve"> above)</w:t>
      </w:r>
      <w:r w:rsidR="00E55FEF" w:rsidRPr="00602F08">
        <w:rPr>
          <w:rFonts w:ascii="Times New Roman" w:hAnsi="Times New Roman"/>
          <w:lang w:val="en-US"/>
        </w:rPr>
        <w:t xml:space="preserve">, </w:t>
      </w:r>
      <w:r w:rsidR="00721F62" w:rsidRPr="00602F08">
        <w:rPr>
          <w:rFonts w:ascii="Times New Roman" w:hAnsi="Times New Roman"/>
          <w:lang w:val="en-US"/>
        </w:rPr>
        <w:t>it is clear that proper regard has been had</w:t>
      </w:r>
      <w:r w:rsidR="00C37760" w:rsidRPr="00602F08">
        <w:rPr>
          <w:rStyle w:val="normaltextrun"/>
          <w:rFonts w:ascii="Times New Roman" w:hAnsi="Times New Roman"/>
          <w:lang w:val="en-US"/>
        </w:rPr>
        <w:t xml:space="preserve"> to the need to eliminate discrimination and to the need to advance equality of opportunity between persons who share the protected characteristic of disability and persons who do not share it. </w:t>
      </w:r>
      <w:r w:rsidR="00A04CBC" w:rsidRPr="00602F08">
        <w:rPr>
          <w:rFonts w:ascii="Times New Roman" w:hAnsi="Times New Roman"/>
          <w:lang w:val="en-US"/>
        </w:rPr>
        <w:t>The system was, he argued, capable of working properly and if there are problems they are practical one</w:t>
      </w:r>
      <w:r w:rsidR="0069178D" w:rsidRPr="00602F08">
        <w:rPr>
          <w:rFonts w:ascii="Times New Roman" w:hAnsi="Times New Roman"/>
          <w:lang w:val="en-US"/>
        </w:rPr>
        <w:t>s arising for various reasons which have created bottlenecks</w:t>
      </w:r>
      <w:r w:rsidR="00C2454D" w:rsidRPr="00602F08">
        <w:rPr>
          <w:rFonts w:ascii="Times New Roman" w:hAnsi="Times New Roman"/>
          <w:lang w:val="en-US"/>
        </w:rPr>
        <w:t>. He argued these problems can be readily detected, even without a formal Equality Impact Assessment.</w:t>
      </w:r>
    </w:p>
    <w:p w14:paraId="1731FAC2" w14:textId="77777777" w:rsidR="00C2454D" w:rsidRPr="00602F08" w:rsidRDefault="00C2454D" w:rsidP="00B6212D">
      <w:pPr>
        <w:pStyle w:val="ListParagraph"/>
        <w:jc w:val="both"/>
        <w:rPr>
          <w:rFonts w:ascii="Times New Roman" w:hAnsi="Times New Roman"/>
          <w:lang w:val="en-US"/>
        </w:rPr>
      </w:pPr>
    </w:p>
    <w:p w14:paraId="288526E5" w14:textId="5FDEE19C" w:rsidR="00C2454D" w:rsidRPr="00602F08" w:rsidRDefault="00C2454D" w:rsidP="00B6212D">
      <w:pPr>
        <w:pStyle w:val="ListParagraph"/>
        <w:numPr>
          <w:ilvl w:val="0"/>
          <w:numId w:val="10"/>
        </w:numPr>
        <w:jc w:val="both"/>
        <w:rPr>
          <w:rFonts w:ascii="Times New Roman" w:hAnsi="Times New Roman"/>
          <w:lang w:val="en-US"/>
        </w:rPr>
      </w:pPr>
      <w:r w:rsidRPr="00602F08">
        <w:rPr>
          <w:rFonts w:ascii="Times New Roman" w:hAnsi="Times New Roman"/>
          <w:lang w:val="en-US"/>
        </w:rPr>
        <w:t xml:space="preserve">The difficulty </w:t>
      </w:r>
      <w:r w:rsidR="002451FA" w:rsidRPr="00602F08">
        <w:rPr>
          <w:rFonts w:ascii="Times New Roman" w:hAnsi="Times New Roman"/>
          <w:lang w:val="en-US"/>
        </w:rPr>
        <w:t xml:space="preserve">with this argument </w:t>
      </w:r>
      <w:r w:rsidRPr="00602F08">
        <w:rPr>
          <w:rFonts w:ascii="Times New Roman" w:hAnsi="Times New Roman"/>
          <w:lang w:val="en-US"/>
        </w:rPr>
        <w:t xml:space="preserve">is that the problems, and their impact on those with a disability, cannot </w:t>
      </w:r>
      <w:r w:rsidR="002451FA" w:rsidRPr="00602F08">
        <w:rPr>
          <w:rFonts w:ascii="Times New Roman" w:hAnsi="Times New Roman"/>
          <w:lang w:val="en-US"/>
        </w:rPr>
        <w:t xml:space="preserve">in fact </w:t>
      </w:r>
      <w:r w:rsidRPr="00602F08">
        <w:rPr>
          <w:rFonts w:ascii="Times New Roman" w:hAnsi="Times New Roman"/>
          <w:lang w:val="en-US"/>
        </w:rPr>
        <w:t xml:space="preserve">be </w:t>
      </w:r>
      <w:r w:rsidR="001809A9" w:rsidRPr="00602F08">
        <w:rPr>
          <w:rFonts w:ascii="Times New Roman" w:hAnsi="Times New Roman"/>
          <w:lang w:val="en-US"/>
        </w:rPr>
        <w:t xml:space="preserve">readily </w:t>
      </w:r>
      <w:r w:rsidRPr="00602F08">
        <w:rPr>
          <w:rFonts w:ascii="Times New Roman" w:hAnsi="Times New Roman"/>
          <w:lang w:val="en-US"/>
        </w:rPr>
        <w:t>detected because there is no</w:t>
      </w:r>
      <w:r w:rsidR="007737C8">
        <w:rPr>
          <w:rFonts w:ascii="Times New Roman" w:hAnsi="Times New Roman"/>
          <w:lang w:val="en-US"/>
        </w:rPr>
        <w:t xml:space="preserve"> </w:t>
      </w:r>
      <w:r w:rsidRPr="00602F08">
        <w:rPr>
          <w:rFonts w:ascii="Times New Roman" w:hAnsi="Times New Roman"/>
          <w:lang w:val="en-US"/>
        </w:rPr>
        <w:t>monitoring</w:t>
      </w:r>
      <w:r w:rsidR="002451FA" w:rsidRPr="00602F08">
        <w:rPr>
          <w:rFonts w:ascii="Times New Roman" w:hAnsi="Times New Roman"/>
          <w:lang w:val="en-US"/>
        </w:rPr>
        <w:t xml:space="preserve"> </w:t>
      </w:r>
      <w:r w:rsidR="00B02A2C">
        <w:rPr>
          <w:rFonts w:ascii="Times New Roman" w:hAnsi="Times New Roman"/>
          <w:lang w:val="en-US"/>
        </w:rPr>
        <w:t>(</w:t>
      </w:r>
      <w:r w:rsidR="00667FC5">
        <w:rPr>
          <w:rFonts w:ascii="Times New Roman" w:hAnsi="Times New Roman"/>
          <w:lang w:val="en-US"/>
        </w:rPr>
        <w:t>including</w:t>
      </w:r>
      <w:r w:rsidR="00B02A2C">
        <w:rPr>
          <w:rFonts w:ascii="Times New Roman" w:hAnsi="Times New Roman"/>
          <w:lang w:val="en-US"/>
        </w:rPr>
        <w:t xml:space="preserve"> collection of data </w:t>
      </w:r>
      <w:r w:rsidR="007737C8">
        <w:rPr>
          <w:rFonts w:ascii="Times New Roman" w:hAnsi="Times New Roman"/>
          <w:lang w:val="en-US"/>
        </w:rPr>
        <w:t>and evaluation</w:t>
      </w:r>
      <w:r w:rsidR="00B02A2C">
        <w:rPr>
          <w:rFonts w:ascii="Times New Roman" w:hAnsi="Times New Roman"/>
          <w:lang w:val="en-US"/>
        </w:rPr>
        <w:t>)</w:t>
      </w:r>
      <w:r w:rsidR="007737C8">
        <w:rPr>
          <w:rFonts w:ascii="Times New Roman" w:hAnsi="Times New Roman"/>
          <w:lang w:val="en-US"/>
        </w:rPr>
        <w:t xml:space="preserve"> </w:t>
      </w:r>
      <w:r w:rsidR="002451FA" w:rsidRPr="00602F08">
        <w:rPr>
          <w:rFonts w:ascii="Times New Roman" w:hAnsi="Times New Roman"/>
          <w:lang w:val="en-US"/>
        </w:rPr>
        <w:t>that would enable that</w:t>
      </w:r>
      <w:r w:rsidRPr="00602F08">
        <w:rPr>
          <w:rFonts w:ascii="Times New Roman" w:hAnsi="Times New Roman"/>
          <w:lang w:val="en-US"/>
        </w:rPr>
        <w:t>.</w:t>
      </w:r>
    </w:p>
    <w:p w14:paraId="65D91377" w14:textId="77777777" w:rsidR="000F0E7C" w:rsidRPr="00602F08" w:rsidRDefault="000F0E7C" w:rsidP="00B6212D">
      <w:pPr>
        <w:pStyle w:val="ListParagraph"/>
        <w:jc w:val="both"/>
        <w:rPr>
          <w:rFonts w:ascii="Times New Roman" w:hAnsi="Times New Roman"/>
          <w:lang w:val="en-US"/>
        </w:rPr>
      </w:pPr>
    </w:p>
    <w:p w14:paraId="4662825A" w14:textId="39E92F4E" w:rsidR="000F0E7C" w:rsidRPr="00602F08" w:rsidRDefault="00676BCD" w:rsidP="00B6212D">
      <w:pPr>
        <w:pStyle w:val="ListParagraph"/>
        <w:numPr>
          <w:ilvl w:val="0"/>
          <w:numId w:val="10"/>
        </w:numPr>
        <w:jc w:val="both"/>
        <w:rPr>
          <w:rStyle w:val="normaltextrun"/>
          <w:rFonts w:ascii="Times New Roman" w:hAnsi="Times New Roman"/>
          <w:lang w:val="en-US"/>
        </w:rPr>
      </w:pPr>
      <w:r w:rsidRPr="00602F08">
        <w:rPr>
          <w:rFonts w:ascii="Times New Roman" w:hAnsi="Times New Roman"/>
          <w:lang w:val="en-US"/>
        </w:rPr>
        <w:t>As things stand</w:t>
      </w:r>
      <w:r w:rsidR="00217F1C">
        <w:rPr>
          <w:rFonts w:ascii="Times New Roman" w:hAnsi="Times New Roman"/>
          <w:lang w:val="en-US"/>
        </w:rPr>
        <w:t>,</w:t>
      </w:r>
      <w:r w:rsidRPr="00602F08">
        <w:rPr>
          <w:rFonts w:ascii="Times New Roman" w:hAnsi="Times New Roman"/>
          <w:lang w:val="en-US"/>
        </w:rPr>
        <w:t xml:space="preserve"> </w:t>
      </w:r>
      <w:r w:rsidR="00E92574" w:rsidRPr="00602F08">
        <w:rPr>
          <w:rFonts w:ascii="Times New Roman" w:hAnsi="Times New Roman"/>
          <w:lang w:val="en-US"/>
        </w:rPr>
        <w:t xml:space="preserve">I have no alternative but to find that </w:t>
      </w:r>
      <w:r w:rsidRPr="00602F08">
        <w:rPr>
          <w:rFonts w:ascii="Times New Roman" w:hAnsi="Times New Roman"/>
          <w:lang w:val="en-US"/>
        </w:rPr>
        <w:t xml:space="preserve">the Secretary of State is in breach of </w:t>
      </w:r>
      <w:r w:rsidR="00217F1C">
        <w:rPr>
          <w:rFonts w:ascii="Times New Roman" w:hAnsi="Times New Roman"/>
          <w:lang w:val="en-US"/>
        </w:rPr>
        <w:t>the</w:t>
      </w:r>
      <w:r w:rsidRPr="00602F08">
        <w:rPr>
          <w:rFonts w:ascii="Times New Roman" w:hAnsi="Times New Roman"/>
          <w:lang w:val="en-US"/>
        </w:rPr>
        <w:t xml:space="preserve"> public sec</w:t>
      </w:r>
      <w:r w:rsidR="000F0E7C" w:rsidRPr="00602F08">
        <w:rPr>
          <w:rFonts w:ascii="Times New Roman" w:hAnsi="Times New Roman"/>
          <w:lang w:val="en-US"/>
        </w:rPr>
        <w:t>tor equality duty in failing</w:t>
      </w:r>
      <w:r w:rsidR="002F634D" w:rsidRPr="00602F08">
        <w:rPr>
          <w:rFonts w:ascii="Times New Roman" w:hAnsi="Times New Roman"/>
          <w:lang w:val="en-US"/>
        </w:rPr>
        <w:t>,</w:t>
      </w:r>
      <w:r w:rsidR="000F0E7C" w:rsidRPr="00602F08">
        <w:rPr>
          <w:rFonts w:ascii="Times New Roman" w:hAnsi="Times New Roman"/>
          <w:lang w:val="en-US"/>
        </w:rPr>
        <w:t xml:space="preserve"> </w:t>
      </w:r>
      <w:r w:rsidR="00E879B3" w:rsidRPr="00602F08">
        <w:rPr>
          <w:rStyle w:val="normaltextrun"/>
          <w:rFonts w:ascii="Times New Roman" w:hAnsi="Times New Roman"/>
          <w:lang w:val="en-US"/>
        </w:rPr>
        <w:t xml:space="preserve">once she has reached a decision </w:t>
      </w:r>
      <w:r w:rsidR="00D5728C" w:rsidRPr="00602F08">
        <w:rPr>
          <w:rStyle w:val="normaltextrun"/>
          <w:rFonts w:ascii="Times New Roman" w:hAnsi="Times New Roman"/>
          <w:lang w:val="en-US"/>
        </w:rPr>
        <w:t>that she has a duty to accommodate under section 4</w:t>
      </w:r>
      <w:r w:rsidR="00945F2E" w:rsidRPr="00602F08">
        <w:rPr>
          <w:rStyle w:val="normaltextrun"/>
          <w:rFonts w:ascii="Times New Roman" w:hAnsi="Times New Roman"/>
          <w:lang w:val="en-US"/>
        </w:rPr>
        <w:t xml:space="preserve">(2) </w:t>
      </w:r>
      <w:r w:rsidR="00D5728C" w:rsidRPr="00602F08">
        <w:rPr>
          <w:rStyle w:val="normaltextrun"/>
          <w:rFonts w:ascii="Times New Roman" w:hAnsi="Times New Roman"/>
          <w:lang w:val="en-US"/>
        </w:rPr>
        <w:t>of the 1999 Act</w:t>
      </w:r>
      <w:r w:rsidR="002F634D" w:rsidRPr="00602F08">
        <w:rPr>
          <w:rStyle w:val="normaltextrun"/>
          <w:rFonts w:ascii="Times New Roman" w:hAnsi="Times New Roman"/>
          <w:lang w:val="en-US"/>
        </w:rPr>
        <w:t>,</w:t>
      </w:r>
      <w:r w:rsidR="00D22BD9" w:rsidRPr="00602F08">
        <w:rPr>
          <w:rFonts w:ascii="Times New Roman" w:hAnsi="Times New Roman"/>
          <w:lang w:val="en-US"/>
        </w:rPr>
        <w:t xml:space="preserve"> to </w:t>
      </w:r>
      <w:r w:rsidR="00D22BD9" w:rsidRPr="00602F08">
        <w:rPr>
          <w:rStyle w:val="normaltextrun"/>
          <w:rFonts w:ascii="Times New Roman" w:hAnsi="Times New Roman"/>
          <w:lang w:val="en-US"/>
        </w:rPr>
        <w:t>monitor the provision of that section 4</w:t>
      </w:r>
      <w:r w:rsidR="00945F2E" w:rsidRPr="00602F08">
        <w:rPr>
          <w:rStyle w:val="normaltextrun"/>
          <w:rFonts w:ascii="Times New Roman" w:hAnsi="Times New Roman"/>
          <w:lang w:val="en-US"/>
        </w:rPr>
        <w:t>(2)</w:t>
      </w:r>
      <w:r w:rsidR="00D22BD9" w:rsidRPr="00602F08">
        <w:rPr>
          <w:rStyle w:val="normaltextrun"/>
          <w:rFonts w:ascii="Times New Roman" w:hAnsi="Times New Roman"/>
          <w:lang w:val="en-US"/>
        </w:rPr>
        <w:t xml:space="preserve"> accommodation to individuals who have a disability</w:t>
      </w:r>
      <w:r w:rsidR="00D5728C" w:rsidRPr="00602F08">
        <w:rPr>
          <w:rStyle w:val="normaltextrun"/>
          <w:rFonts w:ascii="Times New Roman" w:hAnsi="Times New Roman"/>
          <w:lang w:val="en-US"/>
        </w:rPr>
        <w:t>.</w:t>
      </w:r>
      <w:r w:rsidR="00077ADB" w:rsidRPr="00602F08">
        <w:rPr>
          <w:rStyle w:val="normaltextrun"/>
          <w:rFonts w:ascii="Times New Roman" w:hAnsi="Times New Roman"/>
          <w:lang w:val="en-US"/>
        </w:rPr>
        <w:t xml:space="preserve"> In this respect </w:t>
      </w:r>
      <w:r w:rsidR="00667FC5">
        <w:rPr>
          <w:rStyle w:val="normaltextrun"/>
          <w:rFonts w:ascii="Times New Roman" w:hAnsi="Times New Roman"/>
          <w:lang w:val="en-US"/>
        </w:rPr>
        <w:t>the Secretary of State</w:t>
      </w:r>
      <w:r w:rsidR="00077ADB" w:rsidRPr="00602F08">
        <w:rPr>
          <w:rStyle w:val="normaltextrun"/>
          <w:rFonts w:ascii="Times New Roman" w:hAnsi="Times New Roman"/>
          <w:lang w:val="en-US"/>
        </w:rPr>
        <w:t xml:space="preserve"> has not, in the exercise of her functions, had due regard to the need </w:t>
      </w:r>
      <w:r w:rsidR="00A41C93" w:rsidRPr="00602F08">
        <w:rPr>
          <w:rStyle w:val="normaltextrun"/>
          <w:rFonts w:ascii="Times New Roman" w:hAnsi="Times New Roman"/>
          <w:lang w:val="en-US"/>
        </w:rPr>
        <w:t xml:space="preserve">to </w:t>
      </w:r>
      <w:r w:rsidR="00077ADB" w:rsidRPr="00602F08">
        <w:rPr>
          <w:rStyle w:val="normaltextrun"/>
          <w:rFonts w:ascii="Times New Roman" w:hAnsi="Times New Roman"/>
          <w:lang w:val="en-US"/>
        </w:rPr>
        <w:t>eliminate discrimination</w:t>
      </w:r>
      <w:r w:rsidR="00903121" w:rsidRPr="00602F08">
        <w:rPr>
          <w:rStyle w:val="normaltextrun"/>
          <w:rFonts w:ascii="Times New Roman" w:hAnsi="Times New Roman"/>
          <w:lang w:val="en-US"/>
        </w:rPr>
        <w:t xml:space="preserve"> and</w:t>
      </w:r>
      <w:r w:rsidR="00077ADB" w:rsidRPr="00602F08">
        <w:rPr>
          <w:rStyle w:val="normaltextrun"/>
          <w:rFonts w:ascii="Times New Roman" w:hAnsi="Times New Roman"/>
          <w:lang w:val="en-US"/>
        </w:rPr>
        <w:t xml:space="preserve"> to the need to advance equality of opportunity between persons who share </w:t>
      </w:r>
      <w:r w:rsidR="00903121" w:rsidRPr="00602F08">
        <w:rPr>
          <w:rStyle w:val="normaltextrun"/>
          <w:rFonts w:ascii="Times New Roman" w:hAnsi="Times New Roman"/>
          <w:lang w:val="en-US"/>
        </w:rPr>
        <w:t>the</w:t>
      </w:r>
      <w:r w:rsidR="00077ADB" w:rsidRPr="00602F08">
        <w:rPr>
          <w:rStyle w:val="normaltextrun"/>
          <w:rFonts w:ascii="Times New Roman" w:hAnsi="Times New Roman"/>
          <w:lang w:val="en-US"/>
        </w:rPr>
        <w:t xml:space="preserve"> protected characteristic </w:t>
      </w:r>
      <w:r w:rsidR="00903121" w:rsidRPr="00602F08">
        <w:rPr>
          <w:rStyle w:val="normaltextrun"/>
          <w:rFonts w:ascii="Times New Roman" w:hAnsi="Times New Roman"/>
          <w:lang w:val="en-US"/>
        </w:rPr>
        <w:t>of</w:t>
      </w:r>
      <w:r w:rsidR="00077ADB" w:rsidRPr="00602F08">
        <w:rPr>
          <w:rStyle w:val="normaltextrun"/>
          <w:rFonts w:ascii="Times New Roman" w:hAnsi="Times New Roman"/>
          <w:lang w:val="en-US"/>
        </w:rPr>
        <w:t xml:space="preserve"> disability and persons who do not share it</w:t>
      </w:r>
      <w:r w:rsidR="008B09BE" w:rsidRPr="00602F08">
        <w:rPr>
          <w:rStyle w:val="normaltextrun"/>
          <w:rFonts w:ascii="Times New Roman" w:hAnsi="Times New Roman"/>
          <w:lang w:val="en-US"/>
        </w:rPr>
        <w:t>.</w:t>
      </w:r>
    </w:p>
    <w:p w14:paraId="6437BDE3" w14:textId="4C2F903C" w:rsidR="00676BCD" w:rsidRPr="00602F08" w:rsidRDefault="00676BCD" w:rsidP="00B6212D">
      <w:pPr>
        <w:jc w:val="both"/>
        <w:rPr>
          <w:lang w:val="en-US"/>
        </w:rPr>
      </w:pPr>
    </w:p>
    <w:p w14:paraId="6A60DFA0" w14:textId="77777777" w:rsidR="0066223B" w:rsidRPr="00602F08" w:rsidRDefault="0066223B" w:rsidP="00B6212D">
      <w:pPr>
        <w:pStyle w:val="ListParagraph"/>
        <w:jc w:val="both"/>
        <w:rPr>
          <w:rFonts w:ascii="Times New Roman" w:hAnsi="Times New Roman"/>
          <w:lang w:eastAsia="en-GB"/>
        </w:rPr>
      </w:pPr>
    </w:p>
    <w:p w14:paraId="226FB0D1" w14:textId="77777777" w:rsidR="007678A9" w:rsidRPr="00602F08" w:rsidRDefault="007678A9" w:rsidP="00B6212D">
      <w:pPr>
        <w:jc w:val="both"/>
        <w:rPr>
          <w:rStyle w:val="normaltextrun"/>
          <w:b/>
          <w:bCs/>
          <w:u w:val="single"/>
          <w:lang w:val="en-US"/>
        </w:rPr>
      </w:pPr>
    </w:p>
    <w:p w14:paraId="5CCBFE56" w14:textId="267BB2A4" w:rsidR="00162769" w:rsidRPr="00602F08" w:rsidRDefault="00162769" w:rsidP="00B6212D">
      <w:pPr>
        <w:jc w:val="both"/>
        <w:rPr>
          <w:rStyle w:val="normaltextrun"/>
          <w:b/>
          <w:bCs/>
          <w:u w:val="single"/>
          <w:lang w:val="en-US"/>
        </w:rPr>
      </w:pPr>
      <w:r w:rsidRPr="00602F08">
        <w:rPr>
          <w:rStyle w:val="normaltextrun"/>
          <w:b/>
          <w:bCs/>
          <w:u w:val="single"/>
          <w:lang w:val="en-US"/>
        </w:rPr>
        <w:t>Academic</w:t>
      </w:r>
      <w:r w:rsidR="005B7003" w:rsidRPr="00602F08">
        <w:rPr>
          <w:rStyle w:val="normaltextrun"/>
          <w:b/>
          <w:bCs/>
          <w:u w:val="single"/>
          <w:lang w:val="en-US"/>
        </w:rPr>
        <w:t xml:space="preserve"> claims?</w:t>
      </w:r>
    </w:p>
    <w:p w14:paraId="02D560F4" w14:textId="77777777" w:rsidR="00162769" w:rsidRPr="00602F08" w:rsidRDefault="00162769" w:rsidP="00B6212D">
      <w:pPr>
        <w:jc w:val="both"/>
        <w:rPr>
          <w:rStyle w:val="normaltextrun"/>
          <w:lang w:val="en-US"/>
        </w:rPr>
      </w:pPr>
    </w:p>
    <w:p w14:paraId="4BBE70AF" w14:textId="114D1B05" w:rsidR="002A6453" w:rsidRPr="00602F08" w:rsidRDefault="00991B87" w:rsidP="00B6212D">
      <w:pPr>
        <w:numPr>
          <w:ilvl w:val="0"/>
          <w:numId w:val="10"/>
        </w:numPr>
        <w:jc w:val="both"/>
        <w:rPr>
          <w:rStyle w:val="normaltextrun"/>
          <w:lang w:val="en-US"/>
        </w:rPr>
      </w:pPr>
      <w:r w:rsidRPr="00602F08">
        <w:rPr>
          <w:rStyle w:val="normaltextrun"/>
          <w:lang w:val="en-US"/>
        </w:rPr>
        <w:t xml:space="preserve">For the Secretary of State Mr Tam QC </w:t>
      </w:r>
      <w:r w:rsidR="003302E8" w:rsidRPr="00602F08">
        <w:rPr>
          <w:rStyle w:val="normaltextrun"/>
          <w:lang w:val="en-US"/>
        </w:rPr>
        <w:t xml:space="preserve">argued that </w:t>
      </w:r>
      <w:r w:rsidR="00903121" w:rsidRPr="00602F08">
        <w:rPr>
          <w:rStyle w:val="normaltextrun"/>
          <w:lang w:val="en-US"/>
        </w:rPr>
        <w:t>the claims were</w:t>
      </w:r>
      <w:r w:rsidR="003302E8" w:rsidRPr="00602F08">
        <w:rPr>
          <w:rStyle w:val="normaltextrun"/>
          <w:lang w:val="en-US"/>
        </w:rPr>
        <w:t xml:space="preserve"> academic</w:t>
      </w:r>
      <w:r w:rsidR="00483C83" w:rsidRPr="00602F08">
        <w:rPr>
          <w:rStyle w:val="normaltextrun"/>
          <w:lang w:val="en-US"/>
        </w:rPr>
        <w:t xml:space="preserve">. </w:t>
      </w:r>
      <w:r w:rsidR="00E819D2" w:rsidRPr="00602F08">
        <w:rPr>
          <w:rStyle w:val="normaltextrun"/>
          <w:lang w:val="en-US"/>
        </w:rPr>
        <w:t xml:space="preserve">He </w:t>
      </w:r>
      <w:r w:rsidR="004C3615" w:rsidRPr="00602F08">
        <w:rPr>
          <w:rStyle w:val="normaltextrun"/>
          <w:lang w:val="en-US"/>
        </w:rPr>
        <w:t>emphasise</w:t>
      </w:r>
      <w:r w:rsidR="00043685">
        <w:rPr>
          <w:rStyle w:val="normaltextrun"/>
          <w:lang w:val="en-US"/>
        </w:rPr>
        <w:t>d</w:t>
      </w:r>
      <w:r w:rsidR="004C3615" w:rsidRPr="00602F08">
        <w:rPr>
          <w:rStyle w:val="normaltextrun"/>
          <w:lang w:val="en-US"/>
        </w:rPr>
        <w:t xml:space="preserve"> that t</w:t>
      </w:r>
      <w:r w:rsidR="00903121" w:rsidRPr="00602F08">
        <w:rPr>
          <w:rStyle w:val="normaltextrun"/>
          <w:lang w:val="en-US"/>
        </w:rPr>
        <w:t>he claimants</w:t>
      </w:r>
      <w:r w:rsidR="00483C83" w:rsidRPr="00602F08">
        <w:rPr>
          <w:rStyle w:val="normaltextrun"/>
          <w:lang w:val="en-US"/>
        </w:rPr>
        <w:t xml:space="preserve"> now ha</w:t>
      </w:r>
      <w:r w:rsidR="00903121" w:rsidRPr="00602F08">
        <w:rPr>
          <w:rStyle w:val="normaltextrun"/>
          <w:lang w:val="en-US"/>
        </w:rPr>
        <w:t>ve</w:t>
      </w:r>
      <w:r w:rsidR="00483C83" w:rsidRPr="00602F08">
        <w:rPr>
          <w:rStyle w:val="normaltextrun"/>
          <w:lang w:val="en-US"/>
        </w:rPr>
        <w:t xml:space="preserve"> </w:t>
      </w:r>
      <w:r w:rsidR="001840DA" w:rsidRPr="00602F08">
        <w:rPr>
          <w:rStyle w:val="normaltextrun"/>
          <w:lang w:val="en-US"/>
        </w:rPr>
        <w:t xml:space="preserve">suitable </w:t>
      </w:r>
      <w:r w:rsidR="00483C83" w:rsidRPr="00602F08">
        <w:rPr>
          <w:rStyle w:val="normaltextrun"/>
          <w:lang w:val="en-US"/>
        </w:rPr>
        <w:t>accommodation</w:t>
      </w:r>
      <w:r w:rsidR="001840DA" w:rsidRPr="00602F08">
        <w:rPr>
          <w:rStyle w:val="normaltextrun"/>
          <w:lang w:val="en-US"/>
        </w:rPr>
        <w:t xml:space="preserve">. </w:t>
      </w:r>
      <w:r w:rsidR="00AC5181" w:rsidRPr="00602F08">
        <w:rPr>
          <w:rStyle w:val="normaltextrun"/>
          <w:lang w:val="en-US"/>
        </w:rPr>
        <w:t>AA</w:t>
      </w:r>
      <w:r w:rsidR="00E21E6C" w:rsidRPr="00602F08">
        <w:rPr>
          <w:rStyle w:val="normaltextrun"/>
          <w:lang w:val="en-US"/>
        </w:rPr>
        <w:t xml:space="preserve"> does not claim damages</w:t>
      </w:r>
      <w:r w:rsidR="00043685">
        <w:rPr>
          <w:rStyle w:val="normaltextrun"/>
          <w:lang w:val="en-US"/>
        </w:rPr>
        <w:t>, he pointed out</w:t>
      </w:r>
      <w:r w:rsidR="00E21E6C" w:rsidRPr="00602F08">
        <w:rPr>
          <w:rStyle w:val="normaltextrun"/>
          <w:lang w:val="en-US"/>
        </w:rPr>
        <w:t xml:space="preserve">. </w:t>
      </w:r>
      <w:r w:rsidR="001F02D3" w:rsidRPr="00602F08">
        <w:rPr>
          <w:rStyle w:val="normaltextrun"/>
          <w:lang w:val="en-US"/>
        </w:rPr>
        <w:t>The question</w:t>
      </w:r>
      <w:r w:rsidR="00DF0F81" w:rsidRPr="00602F08">
        <w:rPr>
          <w:rStyle w:val="normaltextrun"/>
          <w:lang w:val="en-US"/>
        </w:rPr>
        <w:t>s</w:t>
      </w:r>
      <w:r w:rsidR="001F02D3" w:rsidRPr="00602F08">
        <w:rPr>
          <w:rStyle w:val="normaltextrun"/>
          <w:lang w:val="en-US"/>
        </w:rPr>
        <w:t xml:space="preserve"> whether the Secretary of State </w:t>
      </w:r>
      <w:r w:rsidR="002028A2" w:rsidRPr="00602F08">
        <w:rPr>
          <w:rStyle w:val="normaltextrun"/>
          <w:lang w:val="en-US"/>
        </w:rPr>
        <w:t xml:space="preserve">had </w:t>
      </w:r>
      <w:r w:rsidR="00DF0F81" w:rsidRPr="00602F08">
        <w:rPr>
          <w:rStyle w:val="normaltextrun"/>
          <w:lang w:val="en-US"/>
        </w:rPr>
        <w:t xml:space="preserve">previously acted </w:t>
      </w:r>
      <w:r w:rsidR="001F02D3" w:rsidRPr="00602F08">
        <w:rPr>
          <w:rStyle w:val="normaltextrun"/>
          <w:lang w:val="en-US"/>
        </w:rPr>
        <w:t>unlawfully</w:t>
      </w:r>
      <w:r w:rsidR="00E21E6C" w:rsidRPr="00602F08">
        <w:rPr>
          <w:rStyle w:val="normaltextrun"/>
          <w:lang w:val="en-US"/>
        </w:rPr>
        <w:t xml:space="preserve"> </w:t>
      </w:r>
      <w:r w:rsidR="00DF0F81" w:rsidRPr="00602F08">
        <w:rPr>
          <w:rStyle w:val="normaltextrun"/>
          <w:lang w:val="en-US"/>
        </w:rPr>
        <w:t>toward</w:t>
      </w:r>
      <w:r w:rsidR="00E819D2" w:rsidRPr="00602F08">
        <w:rPr>
          <w:rStyle w:val="normaltextrun"/>
          <w:lang w:val="en-US"/>
        </w:rPr>
        <w:t>s the claimants</w:t>
      </w:r>
      <w:r w:rsidR="00DF0F81" w:rsidRPr="00602F08">
        <w:rPr>
          <w:rStyle w:val="normaltextrun"/>
          <w:lang w:val="en-US"/>
        </w:rPr>
        <w:t xml:space="preserve">, </w:t>
      </w:r>
      <w:r w:rsidR="00777707" w:rsidRPr="00602F08">
        <w:rPr>
          <w:rStyle w:val="normaltextrun"/>
          <w:lang w:val="en-US"/>
        </w:rPr>
        <w:t xml:space="preserve">or </w:t>
      </w:r>
      <w:r w:rsidR="00DF0F81" w:rsidRPr="00602F08">
        <w:rPr>
          <w:rStyle w:val="normaltextrun"/>
          <w:lang w:val="en-US"/>
        </w:rPr>
        <w:t xml:space="preserve">whether </w:t>
      </w:r>
      <w:r w:rsidR="00777707" w:rsidRPr="00602F08">
        <w:rPr>
          <w:rStyle w:val="normaltextrun"/>
          <w:lang w:val="en-US"/>
        </w:rPr>
        <w:t>the section 4</w:t>
      </w:r>
      <w:r w:rsidR="0029537C" w:rsidRPr="00602F08">
        <w:rPr>
          <w:rStyle w:val="normaltextrun"/>
          <w:lang w:val="en-US"/>
        </w:rPr>
        <w:t>(2)</w:t>
      </w:r>
      <w:r w:rsidR="005B7003" w:rsidRPr="00602F08">
        <w:rPr>
          <w:rStyle w:val="normaltextrun"/>
          <w:lang w:val="en-US"/>
        </w:rPr>
        <w:t xml:space="preserve"> </w:t>
      </w:r>
      <w:r w:rsidR="00777707" w:rsidRPr="00602F08">
        <w:rPr>
          <w:rStyle w:val="normaltextrun"/>
          <w:lang w:val="en-US"/>
        </w:rPr>
        <w:t xml:space="preserve">system </w:t>
      </w:r>
      <w:r w:rsidR="002028A2" w:rsidRPr="00602F08">
        <w:rPr>
          <w:rStyle w:val="normaltextrun"/>
          <w:lang w:val="en-US"/>
        </w:rPr>
        <w:t xml:space="preserve">operated unlawfully </w:t>
      </w:r>
      <w:r w:rsidR="00DF0F81" w:rsidRPr="00602F08">
        <w:rPr>
          <w:rStyle w:val="normaltextrun"/>
          <w:lang w:val="en-US"/>
        </w:rPr>
        <w:t>more generally, were</w:t>
      </w:r>
      <w:r w:rsidR="00A72412" w:rsidRPr="00602F08">
        <w:rPr>
          <w:rStyle w:val="normaltextrun"/>
          <w:lang w:val="en-US"/>
        </w:rPr>
        <w:t xml:space="preserve"> now hypothetical </w:t>
      </w:r>
      <w:r w:rsidR="000807D9" w:rsidRPr="00602F08">
        <w:rPr>
          <w:rStyle w:val="normaltextrun"/>
          <w:lang w:val="en-US"/>
        </w:rPr>
        <w:t>as far as</w:t>
      </w:r>
      <w:r w:rsidR="00E819D2" w:rsidRPr="00602F08">
        <w:rPr>
          <w:rStyle w:val="normaltextrun"/>
          <w:lang w:val="en-US"/>
        </w:rPr>
        <w:t xml:space="preserve"> the</w:t>
      </w:r>
      <w:r w:rsidR="004C3615" w:rsidRPr="00602F08">
        <w:rPr>
          <w:rStyle w:val="normaltextrun"/>
          <w:lang w:val="en-US"/>
        </w:rPr>
        <w:t xml:space="preserve"> claimants are</w:t>
      </w:r>
      <w:r w:rsidR="00E819D2" w:rsidRPr="00602F08">
        <w:rPr>
          <w:rStyle w:val="normaltextrun"/>
          <w:lang w:val="en-US"/>
        </w:rPr>
        <w:t xml:space="preserve"> concerned</w:t>
      </w:r>
      <w:r w:rsidR="004C3615" w:rsidRPr="00602F08">
        <w:rPr>
          <w:rStyle w:val="normaltextrun"/>
          <w:lang w:val="en-US"/>
        </w:rPr>
        <w:t>,</w:t>
      </w:r>
      <w:r w:rsidR="000807D9" w:rsidRPr="00602F08">
        <w:rPr>
          <w:rStyle w:val="normaltextrun"/>
          <w:lang w:val="en-US"/>
        </w:rPr>
        <w:t xml:space="preserve"> </w:t>
      </w:r>
      <w:r w:rsidR="00AC5181" w:rsidRPr="00602F08">
        <w:rPr>
          <w:rStyle w:val="normaltextrun"/>
          <w:lang w:val="en-US"/>
        </w:rPr>
        <w:t>urge</w:t>
      </w:r>
      <w:r w:rsidR="00043685">
        <w:rPr>
          <w:rStyle w:val="normaltextrun"/>
          <w:lang w:val="en-US"/>
        </w:rPr>
        <w:t>d</w:t>
      </w:r>
      <w:r w:rsidR="00AC5181" w:rsidRPr="00602F08">
        <w:rPr>
          <w:rStyle w:val="normaltextrun"/>
          <w:lang w:val="en-US"/>
        </w:rPr>
        <w:t xml:space="preserve"> Mr Tam QC. It </w:t>
      </w:r>
      <w:r w:rsidR="00A72412" w:rsidRPr="00602F08">
        <w:rPr>
          <w:rStyle w:val="normaltextrun"/>
          <w:lang w:val="en-US"/>
        </w:rPr>
        <w:t xml:space="preserve">was not the function of the courts </w:t>
      </w:r>
      <w:r w:rsidR="001E6D55" w:rsidRPr="00602F08">
        <w:rPr>
          <w:rStyle w:val="normaltextrun"/>
          <w:lang w:val="en-US"/>
        </w:rPr>
        <w:t>“to decide hypothetical questions which do not impact on the parties before them”</w:t>
      </w:r>
      <w:r w:rsidR="00AC5181" w:rsidRPr="00602F08">
        <w:rPr>
          <w:rStyle w:val="normaltextrun"/>
          <w:lang w:val="en-US"/>
        </w:rPr>
        <w:t xml:space="preserve"> (Lord Hutton </w:t>
      </w:r>
      <w:r w:rsidR="007E0B48" w:rsidRPr="00602F08">
        <w:rPr>
          <w:rStyle w:val="normaltextrun"/>
          <w:lang w:val="en-US"/>
        </w:rPr>
        <w:t xml:space="preserve">in </w:t>
      </w:r>
      <w:r w:rsidR="007E0B48" w:rsidRPr="00602F08">
        <w:rPr>
          <w:rStyle w:val="normaltextrun"/>
          <w:u w:val="single"/>
          <w:lang w:val="en-US"/>
        </w:rPr>
        <w:t>R</w:t>
      </w:r>
      <w:r w:rsidR="000807D9" w:rsidRPr="00602F08">
        <w:rPr>
          <w:rStyle w:val="normaltextrun"/>
          <w:u w:val="single"/>
          <w:lang w:val="en-US"/>
        </w:rPr>
        <w:t xml:space="preserve"> </w:t>
      </w:r>
      <w:r w:rsidR="007E0B48" w:rsidRPr="00602F08">
        <w:rPr>
          <w:rStyle w:val="normaltextrun"/>
          <w:u w:val="single"/>
          <w:lang w:val="en-US"/>
        </w:rPr>
        <w:t>(Rushbridger</w:t>
      </w:r>
      <w:r w:rsidR="000807D9" w:rsidRPr="00602F08">
        <w:rPr>
          <w:rStyle w:val="normaltextrun"/>
          <w:u w:val="single"/>
          <w:lang w:val="en-US"/>
        </w:rPr>
        <w:t>)</w:t>
      </w:r>
      <w:r w:rsidR="007E0B48" w:rsidRPr="00602F08">
        <w:rPr>
          <w:rStyle w:val="normaltextrun"/>
          <w:u w:val="single"/>
          <w:lang w:val="en-US"/>
        </w:rPr>
        <w:t xml:space="preserve"> v Attorney</w:t>
      </w:r>
      <w:r w:rsidR="000807D9" w:rsidRPr="00602F08">
        <w:rPr>
          <w:rStyle w:val="normaltextrun"/>
          <w:u w:val="single"/>
          <w:lang w:val="en-US"/>
        </w:rPr>
        <w:t xml:space="preserve"> General</w:t>
      </w:r>
      <w:r w:rsidR="000807D9" w:rsidRPr="00602F08">
        <w:rPr>
          <w:rStyle w:val="normaltextrun"/>
          <w:lang w:val="en-US"/>
        </w:rPr>
        <w:t xml:space="preserve"> [2004] 1 AC 357 at [35]</w:t>
      </w:r>
      <w:r w:rsidR="00433223" w:rsidRPr="00602F08">
        <w:rPr>
          <w:rStyle w:val="normaltextrun"/>
          <w:lang w:val="en-US"/>
        </w:rPr>
        <w:t>)</w:t>
      </w:r>
      <w:r w:rsidR="000807D9" w:rsidRPr="00602F08">
        <w:rPr>
          <w:rStyle w:val="normaltextrun"/>
          <w:lang w:val="en-US"/>
        </w:rPr>
        <w:t>.</w:t>
      </w:r>
      <w:r w:rsidR="007E0B48" w:rsidRPr="00602F08">
        <w:rPr>
          <w:rStyle w:val="normaltextrun"/>
          <w:lang w:val="en-US"/>
        </w:rPr>
        <w:t xml:space="preserve"> </w:t>
      </w:r>
    </w:p>
    <w:p w14:paraId="66568B2D" w14:textId="77777777" w:rsidR="002A6453" w:rsidRPr="00602F08" w:rsidRDefault="002A6453" w:rsidP="00B6212D">
      <w:pPr>
        <w:ind w:left="687"/>
        <w:jc w:val="both"/>
        <w:rPr>
          <w:rStyle w:val="normaltextrun"/>
          <w:lang w:val="en-US"/>
        </w:rPr>
      </w:pPr>
    </w:p>
    <w:p w14:paraId="1AC68C5D" w14:textId="40CA5BA6" w:rsidR="00F16C4A" w:rsidRPr="00602F08" w:rsidRDefault="00D54B75" w:rsidP="00B6212D">
      <w:pPr>
        <w:numPr>
          <w:ilvl w:val="0"/>
          <w:numId w:val="10"/>
        </w:numPr>
        <w:jc w:val="both"/>
        <w:rPr>
          <w:rStyle w:val="normaltextrun"/>
          <w:lang w:val="en-US"/>
        </w:rPr>
      </w:pPr>
      <w:r w:rsidRPr="00602F08">
        <w:rPr>
          <w:rStyle w:val="normaltextrun"/>
          <w:lang w:val="en-US"/>
        </w:rPr>
        <w:t>Mr Tam QC r</w:t>
      </w:r>
      <w:r w:rsidR="00325281" w:rsidRPr="00602F08">
        <w:rPr>
          <w:rStyle w:val="normaltextrun"/>
          <w:lang w:val="en-US"/>
        </w:rPr>
        <w:t>eferenc</w:t>
      </w:r>
      <w:r w:rsidRPr="00602F08">
        <w:rPr>
          <w:rStyle w:val="normaltextrun"/>
          <w:lang w:val="en-US"/>
        </w:rPr>
        <w:t>ed</w:t>
      </w:r>
      <w:r w:rsidR="00325281" w:rsidRPr="00602F08">
        <w:rPr>
          <w:rStyle w:val="normaltextrun"/>
          <w:lang w:val="en-US"/>
        </w:rPr>
        <w:t xml:space="preserve"> the language of Lord Slynn </w:t>
      </w:r>
      <w:r w:rsidR="00EF0A57" w:rsidRPr="00602F08">
        <w:rPr>
          <w:rStyle w:val="normaltextrun"/>
          <w:lang w:val="en-US"/>
        </w:rPr>
        <w:t xml:space="preserve">when referring to appeals </w:t>
      </w:r>
      <w:r w:rsidR="00325281" w:rsidRPr="00602F08">
        <w:rPr>
          <w:rStyle w:val="normaltextrun"/>
          <w:lang w:val="en-US"/>
        </w:rPr>
        <w:t xml:space="preserve">in </w:t>
      </w:r>
      <w:r w:rsidR="00325281" w:rsidRPr="00602F08">
        <w:rPr>
          <w:rStyle w:val="normaltextrun"/>
          <w:u w:val="single"/>
          <w:lang w:val="en-US"/>
        </w:rPr>
        <w:t xml:space="preserve">R v Secretary of State for the Home Department </w:t>
      </w:r>
      <w:r w:rsidR="00600DFB" w:rsidRPr="00602F08">
        <w:rPr>
          <w:rStyle w:val="normaltextrun"/>
          <w:u w:val="single"/>
          <w:lang w:val="en-US"/>
        </w:rPr>
        <w:t>ex parte Salem</w:t>
      </w:r>
      <w:r w:rsidR="00600DFB" w:rsidRPr="00602F08">
        <w:rPr>
          <w:rStyle w:val="normaltextrun"/>
          <w:lang w:val="en-US"/>
        </w:rPr>
        <w:t xml:space="preserve"> [1999] 1 AC 450 at 456,</w:t>
      </w:r>
      <w:r w:rsidR="00951703" w:rsidRPr="00602F08">
        <w:rPr>
          <w:rStyle w:val="normaltextrun"/>
          <w:lang w:val="en-US"/>
        </w:rPr>
        <w:t xml:space="preserve"> </w:t>
      </w:r>
      <w:r w:rsidRPr="00602F08">
        <w:rPr>
          <w:rStyle w:val="normaltextrun"/>
          <w:lang w:val="en-US"/>
        </w:rPr>
        <w:t xml:space="preserve">that </w:t>
      </w:r>
      <w:r w:rsidR="00600DFB" w:rsidRPr="00602F08">
        <w:rPr>
          <w:rStyle w:val="normaltextrun"/>
          <w:lang w:val="en-US"/>
        </w:rPr>
        <w:t xml:space="preserve">appeals </w:t>
      </w:r>
      <w:r w:rsidR="00167CD4" w:rsidRPr="00602F08">
        <w:rPr>
          <w:rStyle w:val="normaltextrun"/>
          <w:lang w:val="en-US"/>
        </w:rPr>
        <w:t>“which are academic between the parties should not be heard unless there is good reason in the</w:t>
      </w:r>
      <w:r w:rsidR="004678F5" w:rsidRPr="00602F08">
        <w:rPr>
          <w:rStyle w:val="normaltextrun"/>
          <w:lang w:val="en-US"/>
        </w:rPr>
        <w:t xml:space="preserve"> public interest for doing so”</w:t>
      </w:r>
      <w:r w:rsidR="00BF64B4" w:rsidRPr="00602F08">
        <w:rPr>
          <w:rStyle w:val="normaltextrun"/>
          <w:lang w:val="en-US"/>
        </w:rPr>
        <w:t xml:space="preserve">. </w:t>
      </w:r>
      <w:r w:rsidR="00F16C4A" w:rsidRPr="00602F08">
        <w:rPr>
          <w:rStyle w:val="normaltextrun"/>
          <w:lang w:val="en-US"/>
        </w:rPr>
        <w:t xml:space="preserve">On the authorities, </w:t>
      </w:r>
      <w:r w:rsidR="00F50D58" w:rsidRPr="00602F08">
        <w:rPr>
          <w:rStyle w:val="normaltextrun"/>
          <w:lang w:val="en-US"/>
        </w:rPr>
        <w:t>there should be “exceptional circumstances such as where two conditions are satisfied”</w:t>
      </w:r>
      <w:r w:rsidR="00F16C4A" w:rsidRPr="00602F08">
        <w:rPr>
          <w:rStyle w:val="normaltextrun"/>
          <w:lang w:val="en-US"/>
        </w:rPr>
        <w:t xml:space="preserve"> (</w:t>
      </w:r>
      <w:r w:rsidR="00330A9F" w:rsidRPr="00602F08">
        <w:rPr>
          <w:rStyle w:val="normaltextrun"/>
          <w:u w:val="single"/>
          <w:lang w:val="en-US"/>
        </w:rPr>
        <w:t xml:space="preserve">R (Zoolife International Ltd) v Secretary </w:t>
      </w:r>
      <w:r w:rsidR="00EC0D27" w:rsidRPr="00602F08">
        <w:rPr>
          <w:rStyle w:val="normaltextrun"/>
          <w:u w:val="single"/>
          <w:lang w:val="en-US"/>
        </w:rPr>
        <w:t>o</w:t>
      </w:r>
      <w:r w:rsidR="00330A9F" w:rsidRPr="00602F08">
        <w:rPr>
          <w:rStyle w:val="normaltextrun"/>
          <w:u w:val="single"/>
          <w:lang w:val="en-US"/>
        </w:rPr>
        <w:t xml:space="preserve">f State for the </w:t>
      </w:r>
      <w:r w:rsidR="00EC0D27" w:rsidRPr="00602F08">
        <w:rPr>
          <w:rStyle w:val="normaltextrun"/>
          <w:u w:val="single"/>
          <w:lang w:val="en-US"/>
        </w:rPr>
        <w:t>Environment, Food and Rural Affairs</w:t>
      </w:r>
      <w:r w:rsidR="00EC0D27" w:rsidRPr="00602F08">
        <w:rPr>
          <w:rStyle w:val="normaltextrun"/>
          <w:lang w:val="en-US"/>
        </w:rPr>
        <w:t xml:space="preserve"> [2007] EWHC 2995 (Admin)</w:t>
      </w:r>
      <w:r w:rsidR="000E106A" w:rsidRPr="00602F08">
        <w:rPr>
          <w:rStyle w:val="normaltextrun"/>
          <w:lang w:val="en-US"/>
        </w:rPr>
        <w:t xml:space="preserve">, cited with approval in </w:t>
      </w:r>
      <w:r w:rsidR="000E106A" w:rsidRPr="00602F08">
        <w:rPr>
          <w:rStyle w:val="normaltextrun"/>
          <w:u w:val="single"/>
          <w:lang w:val="en-US"/>
        </w:rPr>
        <w:t>R (Heathrow Hub</w:t>
      </w:r>
      <w:r w:rsidR="000935A4" w:rsidRPr="00602F08">
        <w:rPr>
          <w:rStyle w:val="normaltextrun"/>
          <w:u w:val="single"/>
          <w:lang w:val="en-US"/>
        </w:rPr>
        <w:t xml:space="preserve"> Ltd and Another) v Secretary of State for Transport</w:t>
      </w:r>
      <w:r w:rsidR="000935A4" w:rsidRPr="00602F08">
        <w:rPr>
          <w:rStyle w:val="normaltextrun"/>
          <w:lang w:val="en-US"/>
        </w:rPr>
        <w:t xml:space="preserve"> </w:t>
      </w:r>
      <w:r w:rsidR="000E2D98" w:rsidRPr="00602F08">
        <w:rPr>
          <w:rStyle w:val="normaltextrun"/>
          <w:lang w:val="en-US"/>
        </w:rPr>
        <w:t>[2020] EWCA Civ 213 at [209]</w:t>
      </w:r>
      <w:r w:rsidR="00883E2C" w:rsidRPr="00602F08">
        <w:rPr>
          <w:rStyle w:val="normaltextrun"/>
          <w:lang w:val="en-US"/>
        </w:rPr>
        <w:t>), namely</w:t>
      </w:r>
      <w:r w:rsidR="000E2D98" w:rsidRPr="00602F08">
        <w:rPr>
          <w:rStyle w:val="normaltextrun"/>
          <w:lang w:val="en-US"/>
        </w:rPr>
        <w:t>:</w:t>
      </w:r>
    </w:p>
    <w:p w14:paraId="67169E5B" w14:textId="77777777" w:rsidR="000E2D98" w:rsidRPr="00602F08" w:rsidRDefault="000E2D98" w:rsidP="00B6212D">
      <w:pPr>
        <w:pStyle w:val="ListParagraph"/>
        <w:jc w:val="both"/>
        <w:rPr>
          <w:rStyle w:val="normaltextrun"/>
          <w:rFonts w:ascii="Times New Roman" w:hAnsi="Times New Roman"/>
          <w:lang w:val="en-US"/>
        </w:rPr>
      </w:pPr>
    </w:p>
    <w:p w14:paraId="144CF318" w14:textId="39F6D904" w:rsidR="000E2D98" w:rsidRPr="00602F08" w:rsidRDefault="000E2D98" w:rsidP="00B6212D">
      <w:pPr>
        <w:ind w:left="1440"/>
        <w:jc w:val="both"/>
        <w:rPr>
          <w:rStyle w:val="normaltextrun"/>
          <w:lang w:val="en-US"/>
        </w:rPr>
      </w:pPr>
      <w:r w:rsidRPr="00602F08">
        <w:rPr>
          <w:rStyle w:val="normaltextrun"/>
          <w:lang w:val="en-US"/>
        </w:rPr>
        <w:t>“</w:t>
      </w:r>
      <w:r w:rsidR="001F4203" w:rsidRPr="00602F08">
        <w:rPr>
          <w:rStyle w:val="normaltextrun"/>
          <w:lang w:val="en-US"/>
        </w:rPr>
        <w:t xml:space="preserve">The first condition is … that “a large number of similar cases exist </w:t>
      </w:r>
      <w:r w:rsidR="00CF298F" w:rsidRPr="00602F08">
        <w:rPr>
          <w:rStyle w:val="normaltextrun"/>
          <w:lang w:val="en-US"/>
        </w:rPr>
        <w:t>o</w:t>
      </w:r>
      <w:r w:rsidR="001F4203" w:rsidRPr="00602F08">
        <w:rPr>
          <w:rStyle w:val="normaltextrun"/>
          <w:lang w:val="en-US"/>
        </w:rPr>
        <w:t>r are anticipated</w:t>
      </w:r>
      <w:r w:rsidR="00201648" w:rsidRPr="00602F08">
        <w:rPr>
          <w:rStyle w:val="normaltextrun"/>
          <w:lang w:val="en-US"/>
        </w:rPr>
        <w:t>”</w:t>
      </w:r>
      <w:r w:rsidR="001F4203" w:rsidRPr="00602F08">
        <w:rPr>
          <w:rStyle w:val="normaltextrun"/>
          <w:lang w:val="en-US"/>
        </w:rPr>
        <w:t xml:space="preserve"> </w:t>
      </w:r>
      <w:r w:rsidR="00201648" w:rsidRPr="00602F08">
        <w:rPr>
          <w:rStyle w:val="normaltextrun"/>
          <w:lang w:val="en-US"/>
        </w:rPr>
        <w:t xml:space="preserve">or at least other similar cases exist or are anticipated </w:t>
      </w:r>
      <w:r w:rsidR="001F4203" w:rsidRPr="00602F08">
        <w:rPr>
          <w:rStyle w:val="normaltextrun"/>
          <w:lang w:val="en-US"/>
        </w:rPr>
        <w:t xml:space="preserve">and the second </w:t>
      </w:r>
      <w:r w:rsidR="00201648" w:rsidRPr="00602F08">
        <w:rPr>
          <w:rStyle w:val="normaltextrun"/>
          <w:lang w:val="en-US"/>
        </w:rPr>
        <w:t xml:space="preserve">condition is </w:t>
      </w:r>
      <w:r w:rsidR="00E33DD9" w:rsidRPr="00602F08">
        <w:rPr>
          <w:rStyle w:val="normaltextrun"/>
          <w:lang w:val="en-US"/>
        </w:rPr>
        <w:t>that the decision in the academic case will not be fact-sensitive.”</w:t>
      </w:r>
    </w:p>
    <w:p w14:paraId="05D30315" w14:textId="77777777" w:rsidR="000B4FCB" w:rsidRPr="00602F08" w:rsidRDefault="000B4FCB" w:rsidP="00B6212D">
      <w:pPr>
        <w:jc w:val="both"/>
        <w:rPr>
          <w:rStyle w:val="normaltextrun"/>
          <w:lang w:val="en-US"/>
        </w:rPr>
      </w:pPr>
    </w:p>
    <w:p w14:paraId="32F5E06C" w14:textId="1C166145" w:rsidR="001A1DE5" w:rsidRPr="00602F08" w:rsidRDefault="001A1DE5"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Referencing the first condition </w:t>
      </w:r>
      <w:r w:rsidR="003C1C4F" w:rsidRPr="00602F08">
        <w:rPr>
          <w:rStyle w:val="normaltextrun"/>
          <w:rFonts w:ascii="Times New Roman" w:hAnsi="Times New Roman"/>
          <w:lang w:val="en-US"/>
        </w:rPr>
        <w:t>Mr Ta</w:t>
      </w:r>
      <w:r w:rsidR="00645A51" w:rsidRPr="00602F08">
        <w:rPr>
          <w:rStyle w:val="normaltextrun"/>
          <w:rFonts w:ascii="Times New Roman" w:hAnsi="Times New Roman"/>
          <w:lang w:val="en-US"/>
        </w:rPr>
        <w:t>m</w:t>
      </w:r>
      <w:r w:rsidR="003C1C4F" w:rsidRPr="00602F08">
        <w:rPr>
          <w:rStyle w:val="normaltextrun"/>
          <w:rFonts w:ascii="Times New Roman" w:hAnsi="Times New Roman"/>
          <w:lang w:val="en-US"/>
        </w:rPr>
        <w:t xml:space="preserve"> QC</w:t>
      </w:r>
      <w:r w:rsidRPr="00602F08">
        <w:rPr>
          <w:rStyle w:val="normaltextrun"/>
          <w:rFonts w:ascii="Times New Roman" w:hAnsi="Times New Roman"/>
          <w:lang w:val="en-US"/>
        </w:rPr>
        <w:t xml:space="preserve"> sa</w:t>
      </w:r>
      <w:r w:rsidR="00043685">
        <w:rPr>
          <w:rStyle w:val="normaltextrun"/>
          <w:rFonts w:ascii="Times New Roman" w:hAnsi="Times New Roman"/>
          <w:lang w:val="en-US"/>
        </w:rPr>
        <w:t>id</w:t>
      </w:r>
      <w:r w:rsidRPr="00602F08">
        <w:rPr>
          <w:rStyle w:val="normaltextrun"/>
          <w:rFonts w:ascii="Times New Roman" w:hAnsi="Times New Roman"/>
          <w:lang w:val="en-US"/>
        </w:rPr>
        <w:t xml:space="preserve"> that </w:t>
      </w:r>
      <w:r w:rsidR="00547F0E" w:rsidRPr="00602F08">
        <w:rPr>
          <w:rStyle w:val="normaltextrun"/>
          <w:rFonts w:ascii="Times New Roman" w:hAnsi="Times New Roman"/>
          <w:lang w:val="en-US"/>
        </w:rPr>
        <w:t xml:space="preserve">at best the </w:t>
      </w:r>
      <w:r w:rsidR="00304A87" w:rsidRPr="00602F08">
        <w:rPr>
          <w:rStyle w:val="normaltextrun"/>
          <w:rFonts w:ascii="Times New Roman" w:hAnsi="Times New Roman"/>
          <w:lang w:val="en-US"/>
        </w:rPr>
        <w:t>evidence</w:t>
      </w:r>
      <w:r w:rsidR="00547F0E" w:rsidRPr="00602F08">
        <w:rPr>
          <w:rStyle w:val="normaltextrun"/>
          <w:rFonts w:ascii="Times New Roman" w:hAnsi="Times New Roman"/>
          <w:lang w:val="en-US"/>
        </w:rPr>
        <w:t xml:space="preserve"> </w:t>
      </w:r>
      <w:r w:rsidR="00BA11EE" w:rsidRPr="00602F08">
        <w:rPr>
          <w:rStyle w:val="normaltextrun"/>
          <w:rFonts w:ascii="Times New Roman" w:hAnsi="Times New Roman"/>
          <w:lang w:val="en-US"/>
        </w:rPr>
        <w:t>“shows a snapshot of cases facing sim</w:t>
      </w:r>
      <w:r w:rsidR="00B82F4A" w:rsidRPr="00602F08">
        <w:rPr>
          <w:rStyle w:val="normaltextrun"/>
          <w:rFonts w:ascii="Times New Roman" w:hAnsi="Times New Roman"/>
          <w:lang w:val="en-US"/>
        </w:rPr>
        <w:t>i</w:t>
      </w:r>
      <w:r w:rsidR="00BA11EE" w:rsidRPr="00602F08">
        <w:rPr>
          <w:rStyle w:val="normaltextrun"/>
          <w:rFonts w:ascii="Times New Roman" w:hAnsi="Times New Roman"/>
          <w:lang w:val="en-US"/>
        </w:rPr>
        <w:t>lar ty</w:t>
      </w:r>
      <w:r w:rsidR="00B82F4A" w:rsidRPr="00602F08">
        <w:rPr>
          <w:rStyle w:val="normaltextrun"/>
          <w:rFonts w:ascii="Times New Roman" w:hAnsi="Times New Roman"/>
          <w:lang w:val="en-US"/>
        </w:rPr>
        <w:t>p</w:t>
      </w:r>
      <w:r w:rsidR="00BA11EE" w:rsidRPr="00602F08">
        <w:rPr>
          <w:rStyle w:val="normaltextrun"/>
          <w:rFonts w:ascii="Times New Roman" w:hAnsi="Times New Roman"/>
          <w:lang w:val="en-US"/>
        </w:rPr>
        <w:t>es of delays to the Claimants, rather than a comp</w:t>
      </w:r>
      <w:r w:rsidR="003857D3" w:rsidRPr="00602F08">
        <w:rPr>
          <w:rStyle w:val="normaltextrun"/>
          <w:rFonts w:ascii="Times New Roman" w:hAnsi="Times New Roman"/>
          <w:lang w:val="en-US"/>
        </w:rPr>
        <w:t xml:space="preserve">rehensive record of the total number of these types of cases”. As to the </w:t>
      </w:r>
      <w:r w:rsidRPr="00602F08">
        <w:rPr>
          <w:rStyle w:val="normaltextrun"/>
          <w:rFonts w:ascii="Times New Roman" w:hAnsi="Times New Roman"/>
          <w:lang w:val="en-US"/>
        </w:rPr>
        <w:t>second condition, he sa</w:t>
      </w:r>
      <w:r w:rsidR="00043685">
        <w:rPr>
          <w:rStyle w:val="normaltextrun"/>
          <w:rFonts w:ascii="Times New Roman" w:hAnsi="Times New Roman"/>
          <w:lang w:val="en-US"/>
        </w:rPr>
        <w:t>id</w:t>
      </w:r>
      <w:r w:rsidR="000304AA" w:rsidRPr="00602F08">
        <w:rPr>
          <w:rStyle w:val="normaltextrun"/>
          <w:rFonts w:ascii="Times New Roman" w:hAnsi="Times New Roman"/>
          <w:lang w:val="en-US"/>
        </w:rPr>
        <w:t xml:space="preserve"> that the</w:t>
      </w:r>
      <w:r w:rsidRPr="00602F08">
        <w:rPr>
          <w:rStyle w:val="normaltextrun"/>
          <w:rFonts w:ascii="Times New Roman" w:hAnsi="Times New Roman"/>
          <w:lang w:val="en-US"/>
        </w:rPr>
        <w:t xml:space="preserve"> claims are “highly fact specific”. </w:t>
      </w:r>
      <w:r w:rsidR="000B4FCB" w:rsidRPr="00602F08">
        <w:rPr>
          <w:rStyle w:val="normaltextrun"/>
          <w:rFonts w:ascii="Times New Roman" w:hAnsi="Times New Roman"/>
          <w:lang w:val="en-US"/>
        </w:rPr>
        <w:t>Even of the further examples provided by AA</w:t>
      </w:r>
      <w:r w:rsidR="004E2A97" w:rsidRPr="00602F08">
        <w:rPr>
          <w:rStyle w:val="normaltextrun"/>
          <w:rFonts w:ascii="Times New Roman" w:hAnsi="Times New Roman"/>
          <w:lang w:val="en-US"/>
        </w:rPr>
        <w:t>, Mr Ta</w:t>
      </w:r>
      <w:r w:rsidR="00645A51" w:rsidRPr="00602F08">
        <w:rPr>
          <w:rStyle w:val="normaltextrun"/>
          <w:rFonts w:ascii="Times New Roman" w:hAnsi="Times New Roman"/>
          <w:lang w:val="en-US"/>
        </w:rPr>
        <w:t>m</w:t>
      </w:r>
      <w:r w:rsidR="004E2A97" w:rsidRPr="00602F08">
        <w:rPr>
          <w:rStyle w:val="normaltextrun"/>
          <w:rFonts w:ascii="Times New Roman" w:hAnsi="Times New Roman"/>
          <w:lang w:val="en-US"/>
        </w:rPr>
        <w:t xml:space="preserve"> QC sa</w:t>
      </w:r>
      <w:r w:rsidR="00CE0973">
        <w:rPr>
          <w:rStyle w:val="normaltextrun"/>
          <w:rFonts w:ascii="Times New Roman" w:hAnsi="Times New Roman"/>
          <w:lang w:val="en-US"/>
        </w:rPr>
        <w:t>id</w:t>
      </w:r>
      <w:r w:rsidR="00313579" w:rsidRPr="00602F08">
        <w:rPr>
          <w:rStyle w:val="normaltextrun"/>
          <w:rFonts w:ascii="Times New Roman" w:hAnsi="Times New Roman"/>
          <w:lang w:val="en-US"/>
        </w:rPr>
        <w:t xml:space="preserve"> from the details provided, </w:t>
      </w:r>
      <w:r w:rsidR="00CE0973">
        <w:rPr>
          <w:rStyle w:val="normaltextrun"/>
          <w:rFonts w:ascii="Times New Roman" w:hAnsi="Times New Roman"/>
          <w:lang w:val="en-US"/>
        </w:rPr>
        <w:t xml:space="preserve">it </w:t>
      </w:r>
      <w:r w:rsidR="00313579" w:rsidRPr="00602F08">
        <w:rPr>
          <w:rStyle w:val="normaltextrun"/>
          <w:rFonts w:ascii="Times New Roman" w:hAnsi="Times New Roman"/>
          <w:lang w:val="en-US"/>
        </w:rPr>
        <w:t xml:space="preserve">is </w:t>
      </w:r>
      <w:r w:rsidR="004E2A97" w:rsidRPr="00602F08">
        <w:rPr>
          <w:rStyle w:val="normaltextrun"/>
          <w:rFonts w:ascii="Times New Roman" w:hAnsi="Times New Roman"/>
          <w:lang w:val="en-US"/>
        </w:rPr>
        <w:t xml:space="preserve">not clear </w:t>
      </w:r>
      <w:r w:rsidR="00313579" w:rsidRPr="00602F08">
        <w:rPr>
          <w:rStyle w:val="normaltextrun"/>
          <w:rFonts w:ascii="Times New Roman" w:hAnsi="Times New Roman"/>
          <w:lang w:val="en-US"/>
        </w:rPr>
        <w:t>that they involve the same issue</w:t>
      </w:r>
      <w:r w:rsidR="004E2A97" w:rsidRPr="00602F08">
        <w:rPr>
          <w:rStyle w:val="normaltextrun"/>
          <w:rFonts w:ascii="Times New Roman" w:hAnsi="Times New Roman"/>
          <w:lang w:val="en-US"/>
        </w:rPr>
        <w:t>s</w:t>
      </w:r>
      <w:r w:rsidR="00313579" w:rsidRPr="00602F08">
        <w:rPr>
          <w:rStyle w:val="normaltextrun"/>
          <w:rFonts w:ascii="Times New Roman" w:hAnsi="Times New Roman"/>
          <w:lang w:val="en-US"/>
        </w:rPr>
        <w:t xml:space="preserve"> raise</w:t>
      </w:r>
      <w:r w:rsidR="004E2A97" w:rsidRPr="00602F08">
        <w:rPr>
          <w:rStyle w:val="normaltextrun"/>
          <w:rFonts w:ascii="Times New Roman" w:hAnsi="Times New Roman"/>
          <w:lang w:val="en-US"/>
        </w:rPr>
        <w:t>d</w:t>
      </w:r>
      <w:r w:rsidR="00313579" w:rsidRPr="00602F08">
        <w:rPr>
          <w:rStyle w:val="normaltextrun"/>
          <w:rFonts w:ascii="Times New Roman" w:hAnsi="Times New Roman"/>
          <w:lang w:val="en-US"/>
        </w:rPr>
        <w:t xml:space="preserve"> by this case.</w:t>
      </w:r>
    </w:p>
    <w:p w14:paraId="61D1652F" w14:textId="77777777" w:rsidR="003857D3" w:rsidRPr="00602F08" w:rsidRDefault="003857D3" w:rsidP="00B6212D">
      <w:pPr>
        <w:pStyle w:val="ListParagraph"/>
        <w:ind w:left="687"/>
        <w:jc w:val="both"/>
        <w:rPr>
          <w:rStyle w:val="normaltextrun"/>
          <w:rFonts w:ascii="Times New Roman" w:hAnsi="Times New Roman"/>
          <w:lang w:val="en-US"/>
        </w:rPr>
      </w:pPr>
    </w:p>
    <w:p w14:paraId="77A927CC" w14:textId="4D372612" w:rsidR="003857D3" w:rsidRPr="00602F08" w:rsidRDefault="0078095E"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As </w:t>
      </w:r>
      <w:r w:rsidR="00313579" w:rsidRPr="00602F08">
        <w:rPr>
          <w:rStyle w:val="normaltextrun"/>
          <w:rFonts w:ascii="Times New Roman" w:hAnsi="Times New Roman"/>
          <w:lang w:val="en-US"/>
        </w:rPr>
        <w:t xml:space="preserve">will be apparent, in my judgment </w:t>
      </w:r>
      <w:r w:rsidR="00D96A61" w:rsidRPr="00602F08">
        <w:rPr>
          <w:rStyle w:val="normaltextrun"/>
          <w:rFonts w:ascii="Times New Roman" w:hAnsi="Times New Roman"/>
          <w:lang w:val="en-US"/>
        </w:rPr>
        <w:t xml:space="preserve">there is sufficient </w:t>
      </w:r>
      <w:r w:rsidR="003A1080" w:rsidRPr="00602F08">
        <w:rPr>
          <w:rStyle w:val="normaltextrun"/>
          <w:rFonts w:ascii="Times New Roman" w:hAnsi="Times New Roman"/>
          <w:lang w:val="en-US"/>
        </w:rPr>
        <w:t xml:space="preserve">evidence </w:t>
      </w:r>
      <w:r w:rsidR="00D96A61" w:rsidRPr="00602F08">
        <w:rPr>
          <w:rStyle w:val="normaltextrun"/>
          <w:rFonts w:ascii="Times New Roman" w:hAnsi="Times New Roman"/>
          <w:lang w:val="en-US"/>
        </w:rPr>
        <w:t>to</w:t>
      </w:r>
      <w:r w:rsidR="006B77BE" w:rsidRPr="00602F08">
        <w:rPr>
          <w:rStyle w:val="normaltextrun"/>
          <w:rFonts w:ascii="Times New Roman" w:hAnsi="Times New Roman"/>
          <w:lang w:val="en-US"/>
        </w:rPr>
        <w:t xml:space="preserve"> show the use of a</w:t>
      </w:r>
      <w:r w:rsidR="000406FB" w:rsidRPr="00602F08">
        <w:rPr>
          <w:rStyle w:val="normaltextrun"/>
          <w:rFonts w:ascii="Times New Roman" w:hAnsi="Times New Roman"/>
          <w:lang w:val="en-US"/>
        </w:rPr>
        <w:t xml:space="preserve"> system </w:t>
      </w:r>
      <w:r w:rsidR="006B77BE" w:rsidRPr="00602F08">
        <w:rPr>
          <w:rStyle w:val="normaltextrun"/>
          <w:rFonts w:ascii="Times New Roman" w:hAnsi="Times New Roman"/>
          <w:lang w:val="en-US"/>
        </w:rPr>
        <w:t xml:space="preserve">that </w:t>
      </w:r>
      <w:r w:rsidR="00784403" w:rsidRPr="00602F08">
        <w:rPr>
          <w:rStyle w:val="normaltextrun"/>
          <w:rFonts w:ascii="Times New Roman" w:hAnsi="Times New Roman"/>
          <w:lang w:val="en-US"/>
        </w:rPr>
        <w:t xml:space="preserve">(a) </w:t>
      </w:r>
      <w:r w:rsidR="006B77BE" w:rsidRPr="00602F08">
        <w:rPr>
          <w:rStyle w:val="normaltextrun"/>
          <w:rFonts w:ascii="Times New Roman" w:hAnsi="Times New Roman"/>
          <w:lang w:val="en-US"/>
        </w:rPr>
        <w:t xml:space="preserve">fails to meet </w:t>
      </w:r>
      <w:r w:rsidR="00412798" w:rsidRPr="00602F08">
        <w:rPr>
          <w:rStyle w:val="normaltextrun"/>
          <w:rFonts w:ascii="Times New Roman" w:hAnsi="Times New Roman"/>
          <w:lang w:val="en-US"/>
        </w:rPr>
        <w:t>the legal requirement of the duty, to provide acc</w:t>
      </w:r>
      <w:r w:rsidR="00D203AA" w:rsidRPr="00602F08">
        <w:rPr>
          <w:rStyle w:val="normaltextrun"/>
          <w:rFonts w:ascii="Times New Roman" w:hAnsi="Times New Roman"/>
          <w:lang w:val="en-US"/>
        </w:rPr>
        <w:t>ommodation</w:t>
      </w:r>
      <w:r w:rsidR="00412798" w:rsidRPr="00602F08">
        <w:rPr>
          <w:rStyle w:val="normaltextrun"/>
          <w:rFonts w:ascii="Times New Roman" w:hAnsi="Times New Roman"/>
          <w:lang w:val="en-US"/>
        </w:rPr>
        <w:t xml:space="preserve"> within </w:t>
      </w:r>
      <w:r w:rsidR="003D2E04" w:rsidRPr="00602F08">
        <w:rPr>
          <w:rStyle w:val="normaltextrun"/>
          <w:rFonts w:ascii="Times New Roman" w:hAnsi="Times New Roman"/>
          <w:lang w:val="en-US"/>
        </w:rPr>
        <w:t>a reasonable time, measuring reasonable in the context of imm</w:t>
      </w:r>
      <w:r w:rsidR="00D203AA" w:rsidRPr="00602F08">
        <w:rPr>
          <w:rStyle w:val="normaltextrun"/>
          <w:rFonts w:ascii="Times New Roman" w:hAnsi="Times New Roman"/>
          <w:lang w:val="en-US"/>
        </w:rPr>
        <w:t>inent</w:t>
      </w:r>
      <w:r w:rsidR="003D2E04" w:rsidRPr="00602F08">
        <w:rPr>
          <w:rStyle w:val="normaltextrun"/>
          <w:rFonts w:ascii="Times New Roman" w:hAnsi="Times New Roman"/>
          <w:lang w:val="en-US"/>
        </w:rPr>
        <w:t xml:space="preserve"> </w:t>
      </w:r>
      <w:r w:rsidR="00D203AA" w:rsidRPr="00602F08">
        <w:rPr>
          <w:rStyle w:val="normaltextrun"/>
          <w:rFonts w:ascii="Times New Roman" w:hAnsi="Times New Roman"/>
          <w:lang w:val="en-US"/>
        </w:rPr>
        <w:t xml:space="preserve">breach of </w:t>
      </w:r>
      <w:r w:rsidR="003D2E04" w:rsidRPr="00602F08">
        <w:rPr>
          <w:rStyle w:val="normaltextrun"/>
          <w:rFonts w:ascii="Times New Roman" w:hAnsi="Times New Roman"/>
          <w:lang w:val="en-US"/>
        </w:rPr>
        <w:t>Art</w:t>
      </w:r>
      <w:r w:rsidR="00D203AA" w:rsidRPr="00602F08">
        <w:rPr>
          <w:rStyle w:val="normaltextrun"/>
          <w:rFonts w:ascii="Times New Roman" w:hAnsi="Times New Roman"/>
          <w:lang w:val="en-US"/>
        </w:rPr>
        <w:t>icle</w:t>
      </w:r>
      <w:r w:rsidR="003D2E04" w:rsidRPr="00602F08">
        <w:rPr>
          <w:rStyle w:val="normaltextrun"/>
          <w:rFonts w:ascii="Times New Roman" w:hAnsi="Times New Roman"/>
          <w:lang w:val="en-US"/>
        </w:rPr>
        <w:t xml:space="preserve"> 3</w:t>
      </w:r>
      <w:r w:rsidR="00A318CC" w:rsidRPr="00602F08">
        <w:rPr>
          <w:rStyle w:val="normaltextrun"/>
          <w:rFonts w:ascii="Times New Roman" w:hAnsi="Times New Roman"/>
          <w:lang w:val="en-US"/>
        </w:rPr>
        <w:t>,</w:t>
      </w:r>
      <w:r w:rsidR="00412798" w:rsidRPr="00602F08">
        <w:rPr>
          <w:rStyle w:val="normaltextrun"/>
          <w:rFonts w:ascii="Times New Roman" w:hAnsi="Times New Roman"/>
          <w:lang w:val="en-US"/>
        </w:rPr>
        <w:t xml:space="preserve"> </w:t>
      </w:r>
      <w:r w:rsidR="00784403" w:rsidRPr="00602F08">
        <w:rPr>
          <w:rStyle w:val="normaltextrun"/>
          <w:rFonts w:ascii="Times New Roman" w:hAnsi="Times New Roman"/>
          <w:lang w:val="en-US"/>
        </w:rPr>
        <w:t xml:space="preserve">which </w:t>
      </w:r>
      <w:r w:rsidR="000406FB" w:rsidRPr="00602F08">
        <w:rPr>
          <w:rStyle w:val="normaltextrun"/>
          <w:rFonts w:ascii="Times New Roman" w:hAnsi="Times New Roman"/>
          <w:lang w:val="en-US"/>
        </w:rPr>
        <w:t xml:space="preserve">(b) apparently </w:t>
      </w:r>
      <w:r w:rsidR="00D51FBD" w:rsidRPr="00602F08">
        <w:rPr>
          <w:rStyle w:val="normaltextrun"/>
          <w:rFonts w:ascii="Times New Roman" w:hAnsi="Times New Roman"/>
          <w:lang w:val="en-US"/>
        </w:rPr>
        <w:t xml:space="preserve">the </w:t>
      </w:r>
      <w:r w:rsidR="009454B0" w:rsidRPr="00602F08">
        <w:rPr>
          <w:rStyle w:val="normaltextrun"/>
          <w:rFonts w:ascii="Times New Roman" w:hAnsi="Times New Roman"/>
          <w:lang w:val="en-US"/>
        </w:rPr>
        <w:t>Secretary of State</w:t>
      </w:r>
      <w:r w:rsidR="000406FB" w:rsidRPr="00602F08">
        <w:rPr>
          <w:rStyle w:val="normaltextrun"/>
          <w:rFonts w:ascii="Times New Roman" w:hAnsi="Times New Roman"/>
          <w:lang w:val="en-US"/>
        </w:rPr>
        <w:t xml:space="preserve"> </w:t>
      </w:r>
      <w:r w:rsidR="00606682">
        <w:rPr>
          <w:rStyle w:val="normaltextrun"/>
          <w:rFonts w:ascii="Times New Roman" w:hAnsi="Times New Roman"/>
          <w:lang w:val="en-US"/>
        </w:rPr>
        <w:t xml:space="preserve">and her officials </w:t>
      </w:r>
      <w:r w:rsidR="000406FB" w:rsidRPr="00602F08">
        <w:rPr>
          <w:rStyle w:val="normaltextrun"/>
          <w:rFonts w:ascii="Times New Roman" w:hAnsi="Times New Roman"/>
          <w:lang w:val="en-US"/>
        </w:rPr>
        <w:t xml:space="preserve">did not know, and </w:t>
      </w:r>
      <w:r w:rsidR="00A318CC" w:rsidRPr="00602F08">
        <w:rPr>
          <w:rStyle w:val="normaltextrun"/>
          <w:rFonts w:ascii="Times New Roman" w:hAnsi="Times New Roman"/>
          <w:lang w:val="en-US"/>
        </w:rPr>
        <w:t xml:space="preserve">where </w:t>
      </w:r>
      <w:r w:rsidR="000406FB" w:rsidRPr="00602F08">
        <w:rPr>
          <w:rStyle w:val="normaltextrun"/>
          <w:rFonts w:ascii="Times New Roman" w:hAnsi="Times New Roman"/>
          <w:lang w:val="en-US"/>
        </w:rPr>
        <w:t xml:space="preserve">(c) </w:t>
      </w:r>
      <w:r w:rsidR="00BC7A6A" w:rsidRPr="00602F08">
        <w:rPr>
          <w:rStyle w:val="normaltextrun"/>
          <w:rFonts w:ascii="Times New Roman" w:hAnsi="Times New Roman"/>
          <w:lang w:val="en-US"/>
        </w:rPr>
        <w:t>there is no proper monitoring.</w:t>
      </w:r>
    </w:p>
    <w:p w14:paraId="7AB08F93" w14:textId="77777777" w:rsidR="009859AE" w:rsidRPr="00602F08" w:rsidRDefault="009859AE" w:rsidP="00B6212D">
      <w:pPr>
        <w:pStyle w:val="ListParagraph"/>
        <w:jc w:val="both"/>
        <w:rPr>
          <w:rStyle w:val="normaltextrun"/>
          <w:rFonts w:ascii="Times New Roman" w:hAnsi="Times New Roman"/>
          <w:lang w:val="en-US"/>
        </w:rPr>
      </w:pPr>
    </w:p>
    <w:p w14:paraId="448D4583" w14:textId="23E164F1" w:rsidR="009859AE" w:rsidRPr="00602F08" w:rsidRDefault="009859AE"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 xml:space="preserve">In </w:t>
      </w:r>
      <w:r w:rsidRPr="00602F08">
        <w:rPr>
          <w:rStyle w:val="normaltextrun"/>
          <w:rFonts w:ascii="Times New Roman" w:hAnsi="Times New Roman"/>
          <w:u w:val="single"/>
          <w:lang w:val="en-US"/>
        </w:rPr>
        <w:t>R (Razai)</w:t>
      </w:r>
      <w:r w:rsidR="00384221" w:rsidRPr="00602F08">
        <w:rPr>
          <w:rStyle w:val="normaltextrun"/>
          <w:rFonts w:ascii="Times New Roman" w:hAnsi="Times New Roman"/>
          <w:lang w:val="en-US"/>
        </w:rPr>
        <w:t xml:space="preserve"> where cases illustrated </w:t>
      </w:r>
      <w:r w:rsidR="00E65D17" w:rsidRPr="00602F08">
        <w:rPr>
          <w:rStyle w:val="normaltextrun"/>
          <w:rFonts w:ascii="Times New Roman" w:hAnsi="Times New Roman"/>
          <w:lang w:val="en-US"/>
        </w:rPr>
        <w:t>“generic issues which, the Claimants say, demonstrate the un</w:t>
      </w:r>
      <w:r w:rsidR="002D062B" w:rsidRPr="00602F08">
        <w:rPr>
          <w:rStyle w:val="normaltextrun"/>
          <w:rFonts w:ascii="Times New Roman" w:hAnsi="Times New Roman"/>
          <w:lang w:val="en-US"/>
        </w:rPr>
        <w:t>lawfulness</w:t>
      </w:r>
      <w:r w:rsidR="008C38E2" w:rsidRPr="00602F08">
        <w:rPr>
          <w:rStyle w:val="normaltextrun"/>
          <w:rFonts w:ascii="Times New Roman" w:hAnsi="Times New Roman"/>
          <w:lang w:val="en-US"/>
        </w:rPr>
        <w:t>” of a policy of the Secretary of State”</w:t>
      </w:r>
      <w:r w:rsidR="00E62906" w:rsidRPr="00602F08">
        <w:rPr>
          <w:rStyle w:val="normaltextrun"/>
          <w:rFonts w:ascii="Times New Roman" w:hAnsi="Times New Roman"/>
          <w:lang w:val="en-US"/>
        </w:rPr>
        <w:t xml:space="preserve"> Nichol J observed</w:t>
      </w:r>
      <w:r w:rsidR="00EC300D" w:rsidRPr="00602F08">
        <w:rPr>
          <w:rStyle w:val="normaltextrun"/>
          <w:rFonts w:ascii="Times New Roman" w:hAnsi="Times New Roman"/>
          <w:lang w:val="en-US"/>
        </w:rPr>
        <w:t xml:space="preserve"> at [68]</w:t>
      </w:r>
      <w:r w:rsidR="00E62906" w:rsidRPr="00602F08">
        <w:rPr>
          <w:rStyle w:val="normaltextrun"/>
          <w:rFonts w:ascii="Times New Roman" w:hAnsi="Times New Roman"/>
          <w:lang w:val="en-US"/>
        </w:rPr>
        <w:t>:</w:t>
      </w:r>
    </w:p>
    <w:p w14:paraId="63DCA12E" w14:textId="77777777" w:rsidR="00E62906" w:rsidRPr="00602F08" w:rsidRDefault="00E62906" w:rsidP="00B6212D">
      <w:pPr>
        <w:pStyle w:val="ListParagraph"/>
        <w:jc w:val="both"/>
        <w:rPr>
          <w:rStyle w:val="normaltextrun"/>
          <w:rFonts w:ascii="Times New Roman" w:hAnsi="Times New Roman"/>
          <w:lang w:val="en-US"/>
        </w:rPr>
      </w:pPr>
    </w:p>
    <w:p w14:paraId="694A5646" w14:textId="139585C7" w:rsidR="00E62906" w:rsidRPr="00602F08" w:rsidRDefault="00E62906" w:rsidP="00B6212D">
      <w:pPr>
        <w:ind w:left="1407" w:firstLine="33"/>
        <w:jc w:val="both"/>
        <w:rPr>
          <w:rStyle w:val="normaltextrun"/>
          <w:lang w:val="en-US"/>
        </w:rPr>
      </w:pPr>
      <w:r w:rsidRPr="00602F08">
        <w:rPr>
          <w:rStyle w:val="normaltextrun"/>
          <w:lang w:val="en-US"/>
        </w:rPr>
        <w:t xml:space="preserve">“If this occasion is not taken to consider them, </w:t>
      </w:r>
      <w:r w:rsidR="00AA1ED4" w:rsidRPr="00602F08">
        <w:rPr>
          <w:rStyle w:val="normaltextrun"/>
          <w:lang w:val="en-US"/>
        </w:rPr>
        <w:t>there is a risk of further delay and potential injustice before another case can reach a final hearing</w:t>
      </w:r>
      <w:r w:rsidR="00ED587D" w:rsidRPr="00602F08">
        <w:rPr>
          <w:rStyle w:val="normaltextrun"/>
          <w:lang w:val="en-US"/>
        </w:rPr>
        <w:t>.”</w:t>
      </w:r>
    </w:p>
    <w:p w14:paraId="6A39ECF2" w14:textId="4B43EEF5" w:rsidR="00ED587D" w:rsidRPr="00602F08" w:rsidRDefault="00ED587D" w:rsidP="00B6212D">
      <w:pPr>
        <w:jc w:val="both"/>
        <w:rPr>
          <w:rStyle w:val="normaltextrun"/>
          <w:lang w:val="en-US"/>
        </w:rPr>
      </w:pPr>
    </w:p>
    <w:p w14:paraId="25AEA5B6" w14:textId="77777777" w:rsidR="002779B1" w:rsidRPr="00602F08" w:rsidRDefault="00ED587D" w:rsidP="00B6212D">
      <w:pPr>
        <w:ind w:left="720" w:hanging="720"/>
        <w:jc w:val="both"/>
        <w:rPr>
          <w:rStyle w:val="normaltextrun"/>
          <w:lang w:val="en-US"/>
        </w:rPr>
      </w:pPr>
      <w:r w:rsidRPr="00602F08">
        <w:rPr>
          <w:rStyle w:val="normaltextrun"/>
          <w:lang w:val="en-US"/>
        </w:rPr>
        <w:tab/>
        <w:t>Similarly,</w:t>
      </w:r>
      <w:r w:rsidR="00C35364" w:rsidRPr="00602F08">
        <w:rPr>
          <w:rStyle w:val="normaltextrun"/>
          <w:lang w:val="en-US"/>
        </w:rPr>
        <w:t xml:space="preserve"> </w:t>
      </w:r>
      <w:r w:rsidR="00456269" w:rsidRPr="00602F08">
        <w:rPr>
          <w:rStyle w:val="normaltextrun"/>
          <w:lang w:val="en-US"/>
        </w:rPr>
        <w:t xml:space="preserve">Johnson J </w:t>
      </w:r>
      <w:r w:rsidR="00D27826" w:rsidRPr="00602F08">
        <w:rPr>
          <w:rStyle w:val="normaltextrun"/>
          <w:lang w:val="en-US"/>
        </w:rPr>
        <w:t xml:space="preserve">faced with evidence </w:t>
      </w:r>
      <w:r w:rsidR="00752223" w:rsidRPr="00602F08">
        <w:rPr>
          <w:rStyle w:val="normaltextrun"/>
          <w:lang w:val="en-US"/>
        </w:rPr>
        <w:t>that the issues</w:t>
      </w:r>
      <w:r w:rsidR="006A6B32" w:rsidRPr="00602F08">
        <w:rPr>
          <w:rStyle w:val="normaltextrun"/>
          <w:lang w:val="en-US"/>
        </w:rPr>
        <w:t xml:space="preserve"> </w:t>
      </w:r>
      <w:r w:rsidR="00456269" w:rsidRPr="00602F08">
        <w:rPr>
          <w:rStyle w:val="normaltextrun"/>
          <w:lang w:val="en-US"/>
        </w:rPr>
        <w:t xml:space="preserve">in a challenge to </w:t>
      </w:r>
      <w:r w:rsidR="00876CD1" w:rsidRPr="00602F08">
        <w:rPr>
          <w:rStyle w:val="normaltextrun"/>
          <w:lang w:val="en-US"/>
        </w:rPr>
        <w:t xml:space="preserve">the lawfulness of </w:t>
      </w:r>
      <w:r w:rsidR="00456269" w:rsidRPr="00602F08">
        <w:rPr>
          <w:rStyle w:val="normaltextrun"/>
          <w:lang w:val="en-US"/>
        </w:rPr>
        <w:t xml:space="preserve">policy </w:t>
      </w:r>
      <w:r w:rsidR="00752223" w:rsidRPr="00602F08">
        <w:rPr>
          <w:rStyle w:val="normaltextrun"/>
          <w:lang w:val="en-US"/>
        </w:rPr>
        <w:t xml:space="preserve">were recurring, </w:t>
      </w:r>
      <w:r w:rsidR="002779B1" w:rsidRPr="00602F08">
        <w:rPr>
          <w:rStyle w:val="normaltextrun"/>
          <w:lang w:val="en-US"/>
        </w:rPr>
        <w:t xml:space="preserve">said </w:t>
      </w:r>
      <w:r w:rsidR="00DE7081" w:rsidRPr="00602F08">
        <w:rPr>
          <w:rStyle w:val="normaltextrun"/>
          <w:lang w:val="en-US"/>
        </w:rPr>
        <w:t xml:space="preserve">in </w:t>
      </w:r>
      <w:r w:rsidR="003F0E6D" w:rsidRPr="00602F08">
        <w:rPr>
          <w:bCs/>
          <w:u w:val="single"/>
        </w:rPr>
        <w:t>R (Oleh Humnyntskyi and Others)</w:t>
      </w:r>
      <w:r w:rsidRPr="00602F08">
        <w:rPr>
          <w:rStyle w:val="normaltextrun"/>
          <w:lang w:val="en-US"/>
        </w:rPr>
        <w:t xml:space="preserve"> </w:t>
      </w:r>
      <w:r w:rsidR="00EC300D" w:rsidRPr="00602F08">
        <w:rPr>
          <w:rStyle w:val="normaltextrun"/>
          <w:lang w:val="en-US"/>
        </w:rPr>
        <w:t>at [198]</w:t>
      </w:r>
      <w:r w:rsidR="002779B1" w:rsidRPr="00602F08">
        <w:rPr>
          <w:rStyle w:val="normaltextrun"/>
          <w:lang w:val="en-US"/>
        </w:rPr>
        <w:t>:</w:t>
      </w:r>
    </w:p>
    <w:p w14:paraId="0E4C78CF" w14:textId="77777777" w:rsidR="002779B1" w:rsidRPr="00602F08" w:rsidRDefault="002779B1" w:rsidP="00B6212D">
      <w:pPr>
        <w:jc w:val="both"/>
        <w:rPr>
          <w:rStyle w:val="normaltextrun"/>
          <w:lang w:val="en-US"/>
        </w:rPr>
      </w:pPr>
    </w:p>
    <w:p w14:paraId="3E7230D1" w14:textId="6C612DEB" w:rsidR="00EC300D" w:rsidRPr="00602F08" w:rsidRDefault="002779B1" w:rsidP="00B6212D">
      <w:pPr>
        <w:ind w:left="1440" w:hanging="1440"/>
        <w:jc w:val="both"/>
        <w:rPr>
          <w:rStyle w:val="normaltextrun"/>
          <w:lang w:val="en-US"/>
        </w:rPr>
      </w:pPr>
      <w:r w:rsidRPr="00602F08">
        <w:rPr>
          <w:rStyle w:val="normaltextrun"/>
          <w:lang w:val="en-US"/>
        </w:rPr>
        <w:tab/>
        <w:t>“If they are not addressed in this case it is likely that other similar claims will be brought</w:t>
      </w:r>
      <w:r w:rsidR="005C27CF" w:rsidRPr="00602F08">
        <w:rPr>
          <w:rStyle w:val="normaltextrun"/>
          <w:lang w:val="en-US"/>
        </w:rPr>
        <w:t xml:space="preserve"> … and the issues would soon need to be addressed in another case.”</w:t>
      </w:r>
      <w:r w:rsidR="00EC300D" w:rsidRPr="00602F08">
        <w:rPr>
          <w:rStyle w:val="normaltextrun"/>
          <w:lang w:val="en-US"/>
        </w:rPr>
        <w:t xml:space="preserve"> </w:t>
      </w:r>
    </w:p>
    <w:p w14:paraId="5302DCAB" w14:textId="6B93A8FB" w:rsidR="002A6453" w:rsidRPr="00602F08" w:rsidRDefault="00F16C4A" w:rsidP="00B6212D">
      <w:pPr>
        <w:jc w:val="both"/>
        <w:rPr>
          <w:rStyle w:val="normaltextrun"/>
          <w:lang w:val="en-US"/>
        </w:rPr>
      </w:pPr>
      <w:r w:rsidRPr="00602F08">
        <w:rPr>
          <w:rStyle w:val="normaltextrun"/>
          <w:lang w:val="en-US"/>
        </w:rPr>
        <w:t xml:space="preserve"> </w:t>
      </w:r>
      <w:r w:rsidR="00167CD4" w:rsidRPr="00602F08">
        <w:rPr>
          <w:rStyle w:val="normaltextrun"/>
          <w:lang w:val="en-US"/>
        </w:rPr>
        <w:t xml:space="preserve"> </w:t>
      </w:r>
    </w:p>
    <w:p w14:paraId="56F75103" w14:textId="31205210" w:rsidR="002F327E" w:rsidRPr="00602F08" w:rsidRDefault="00655E24" w:rsidP="00B6212D">
      <w:pPr>
        <w:pStyle w:val="ListParagraph"/>
        <w:numPr>
          <w:ilvl w:val="0"/>
          <w:numId w:val="10"/>
        </w:numPr>
        <w:jc w:val="both"/>
        <w:rPr>
          <w:rStyle w:val="normaltextrun"/>
          <w:rFonts w:ascii="Times New Roman" w:hAnsi="Times New Roman"/>
          <w:lang w:val="en-US"/>
        </w:rPr>
      </w:pPr>
      <w:r w:rsidRPr="00602F08">
        <w:rPr>
          <w:rStyle w:val="normaltextrun"/>
          <w:rFonts w:ascii="Times New Roman" w:hAnsi="Times New Roman"/>
          <w:lang w:val="en-US"/>
        </w:rPr>
        <w:t>The present case</w:t>
      </w:r>
      <w:r w:rsidR="00BB3986" w:rsidRPr="00602F08">
        <w:rPr>
          <w:rStyle w:val="normaltextrun"/>
          <w:rFonts w:ascii="Times New Roman" w:hAnsi="Times New Roman"/>
          <w:lang w:val="en-US"/>
        </w:rPr>
        <w:t>s</w:t>
      </w:r>
      <w:r w:rsidRPr="00602F08">
        <w:rPr>
          <w:rStyle w:val="normaltextrun"/>
          <w:rFonts w:ascii="Times New Roman" w:hAnsi="Times New Roman"/>
          <w:lang w:val="en-US"/>
        </w:rPr>
        <w:t xml:space="preserve"> </w:t>
      </w:r>
      <w:r w:rsidR="00BB3986" w:rsidRPr="00602F08">
        <w:rPr>
          <w:rStyle w:val="normaltextrun"/>
          <w:rFonts w:ascii="Times New Roman" w:hAnsi="Times New Roman"/>
          <w:lang w:val="en-US"/>
        </w:rPr>
        <w:t>concern</w:t>
      </w:r>
      <w:r w:rsidRPr="00602F08">
        <w:rPr>
          <w:rStyle w:val="normaltextrun"/>
          <w:rFonts w:ascii="Times New Roman" w:hAnsi="Times New Roman"/>
          <w:lang w:val="en-US"/>
        </w:rPr>
        <w:t xml:space="preserve"> process </w:t>
      </w:r>
      <w:r w:rsidR="00A70C11" w:rsidRPr="00602F08">
        <w:rPr>
          <w:rStyle w:val="normaltextrun"/>
          <w:rFonts w:ascii="Times New Roman" w:hAnsi="Times New Roman"/>
          <w:lang w:val="en-US"/>
        </w:rPr>
        <w:t>rather</w:t>
      </w:r>
      <w:r w:rsidRPr="00602F08">
        <w:rPr>
          <w:rStyle w:val="normaltextrun"/>
          <w:rFonts w:ascii="Times New Roman" w:hAnsi="Times New Roman"/>
          <w:lang w:val="en-US"/>
        </w:rPr>
        <w:t xml:space="preserve"> than policy. </w:t>
      </w:r>
      <w:r w:rsidR="00BC4FB9">
        <w:rPr>
          <w:rStyle w:val="normaltextrun"/>
          <w:rFonts w:ascii="Times New Roman" w:hAnsi="Times New Roman"/>
          <w:lang w:val="en-US"/>
        </w:rPr>
        <w:t xml:space="preserve">However, </w:t>
      </w:r>
      <w:r w:rsidR="002C39E7" w:rsidRPr="00602F08">
        <w:rPr>
          <w:rStyle w:val="normaltextrun"/>
          <w:rFonts w:ascii="Times New Roman" w:hAnsi="Times New Roman"/>
          <w:lang w:val="en-US"/>
        </w:rPr>
        <w:t xml:space="preserve">I have no doubt that it </w:t>
      </w:r>
      <w:r w:rsidR="005E4406" w:rsidRPr="00602F08">
        <w:rPr>
          <w:rStyle w:val="normaltextrun"/>
          <w:rFonts w:ascii="Times New Roman" w:hAnsi="Times New Roman"/>
          <w:lang w:val="en-US"/>
        </w:rPr>
        <w:t>would be wrong to decline to reach any conclusions</w:t>
      </w:r>
      <w:r w:rsidR="00E1709D" w:rsidRPr="00602F08">
        <w:rPr>
          <w:rStyle w:val="normaltextrun"/>
          <w:rFonts w:ascii="Times New Roman" w:hAnsi="Times New Roman"/>
          <w:lang w:val="en-US"/>
        </w:rPr>
        <w:t xml:space="preserve"> where the material allows me to do so, as it does</w:t>
      </w:r>
      <w:r w:rsidR="00CD06C9" w:rsidRPr="00602F08">
        <w:rPr>
          <w:rStyle w:val="normaltextrun"/>
          <w:rFonts w:ascii="Times New Roman" w:hAnsi="Times New Roman"/>
          <w:lang w:val="en-US"/>
        </w:rPr>
        <w:t>. Of course,</w:t>
      </w:r>
      <w:r w:rsidR="005E4406" w:rsidRPr="00602F08">
        <w:rPr>
          <w:rStyle w:val="normaltextrun"/>
          <w:rFonts w:ascii="Times New Roman" w:hAnsi="Times New Roman"/>
          <w:lang w:val="en-US"/>
        </w:rPr>
        <w:t xml:space="preserve"> </w:t>
      </w:r>
      <w:r w:rsidR="00A94B3B" w:rsidRPr="00602F08">
        <w:rPr>
          <w:rStyle w:val="normaltextrun"/>
          <w:rFonts w:ascii="Times New Roman" w:hAnsi="Times New Roman"/>
          <w:lang w:val="en-US"/>
        </w:rPr>
        <w:t>in</w:t>
      </w:r>
      <w:r w:rsidR="005C27CF" w:rsidRPr="00602F08">
        <w:rPr>
          <w:rStyle w:val="normaltextrun"/>
          <w:rFonts w:ascii="Times New Roman" w:hAnsi="Times New Roman"/>
          <w:lang w:val="en-US"/>
        </w:rPr>
        <w:t xml:space="preserve"> </w:t>
      </w:r>
      <w:r w:rsidR="00A94B3B" w:rsidRPr="00602F08">
        <w:rPr>
          <w:rStyle w:val="normaltextrun"/>
          <w:rFonts w:ascii="Times New Roman" w:hAnsi="Times New Roman"/>
          <w:lang w:val="en-US"/>
        </w:rPr>
        <w:t>case</w:t>
      </w:r>
      <w:r w:rsidR="005C27CF" w:rsidRPr="00602F08">
        <w:rPr>
          <w:rStyle w:val="normaltextrun"/>
          <w:rFonts w:ascii="Times New Roman" w:hAnsi="Times New Roman"/>
          <w:lang w:val="en-US"/>
        </w:rPr>
        <w:t>s</w:t>
      </w:r>
      <w:r w:rsidR="00A94B3B" w:rsidRPr="00602F08">
        <w:rPr>
          <w:rStyle w:val="normaltextrun"/>
          <w:rFonts w:ascii="Times New Roman" w:hAnsi="Times New Roman"/>
          <w:lang w:val="en-US"/>
        </w:rPr>
        <w:t xml:space="preserve"> such as </w:t>
      </w:r>
      <w:r w:rsidR="00336A63" w:rsidRPr="00602F08">
        <w:rPr>
          <w:rStyle w:val="normaltextrun"/>
          <w:rFonts w:ascii="Times New Roman" w:hAnsi="Times New Roman"/>
          <w:lang w:val="en-US"/>
        </w:rPr>
        <w:t>t</w:t>
      </w:r>
      <w:r w:rsidR="00A94B3B" w:rsidRPr="00602F08">
        <w:rPr>
          <w:rStyle w:val="normaltextrun"/>
          <w:rFonts w:ascii="Times New Roman" w:hAnsi="Times New Roman"/>
          <w:lang w:val="en-US"/>
        </w:rPr>
        <w:t>h</w:t>
      </w:r>
      <w:r w:rsidR="005C27CF" w:rsidRPr="00602F08">
        <w:rPr>
          <w:rStyle w:val="normaltextrun"/>
          <w:rFonts w:ascii="Times New Roman" w:hAnsi="Times New Roman"/>
          <w:lang w:val="en-US"/>
        </w:rPr>
        <w:t>ese</w:t>
      </w:r>
      <w:r w:rsidR="00A94B3B" w:rsidRPr="00602F08">
        <w:rPr>
          <w:rStyle w:val="normaltextrun"/>
          <w:rFonts w:ascii="Times New Roman" w:hAnsi="Times New Roman"/>
          <w:lang w:val="en-US"/>
        </w:rPr>
        <w:t xml:space="preserve"> where</w:t>
      </w:r>
      <w:r w:rsidR="005E4406" w:rsidRPr="00602F08">
        <w:rPr>
          <w:rStyle w:val="normaltextrun"/>
          <w:rFonts w:ascii="Times New Roman" w:hAnsi="Times New Roman"/>
          <w:lang w:val="en-US"/>
        </w:rPr>
        <w:t xml:space="preserve"> </w:t>
      </w:r>
      <w:r w:rsidR="00A94B3B" w:rsidRPr="00602F08">
        <w:rPr>
          <w:rStyle w:val="normaltextrun"/>
          <w:rFonts w:ascii="Times New Roman" w:hAnsi="Times New Roman"/>
          <w:lang w:val="en-US"/>
        </w:rPr>
        <w:t xml:space="preserve">matters have moved </w:t>
      </w:r>
      <w:r w:rsidR="00624275">
        <w:rPr>
          <w:rStyle w:val="normaltextrun"/>
          <w:rFonts w:ascii="Times New Roman" w:hAnsi="Times New Roman"/>
          <w:lang w:val="en-US"/>
        </w:rPr>
        <w:t xml:space="preserve">on for the individual claimants </w:t>
      </w:r>
      <w:r w:rsidR="00A94B3B" w:rsidRPr="00602F08">
        <w:rPr>
          <w:rStyle w:val="normaltextrun"/>
          <w:rFonts w:ascii="Times New Roman" w:hAnsi="Times New Roman"/>
          <w:lang w:val="en-US"/>
        </w:rPr>
        <w:t xml:space="preserve">it is important to </w:t>
      </w:r>
      <w:r w:rsidR="002A70FA" w:rsidRPr="00602F08">
        <w:rPr>
          <w:rStyle w:val="normaltextrun"/>
          <w:rFonts w:ascii="Times New Roman" w:hAnsi="Times New Roman"/>
          <w:lang w:val="en-US"/>
        </w:rPr>
        <w:t>proceed cautiously and to</w:t>
      </w:r>
      <w:r w:rsidR="00A94B3B" w:rsidRPr="00602F08">
        <w:rPr>
          <w:rStyle w:val="normaltextrun"/>
          <w:rFonts w:ascii="Times New Roman" w:hAnsi="Times New Roman"/>
          <w:lang w:val="en-US"/>
        </w:rPr>
        <w:t xml:space="preserve"> decide only what is appropriate and what is possible.</w:t>
      </w:r>
      <w:r w:rsidR="00290E2D" w:rsidRPr="00602F08">
        <w:rPr>
          <w:rStyle w:val="normaltextrun"/>
          <w:rFonts w:ascii="Times New Roman" w:hAnsi="Times New Roman"/>
          <w:lang w:val="en-US"/>
        </w:rPr>
        <w:t xml:space="preserve"> </w:t>
      </w:r>
      <w:r w:rsidR="00CD06C9" w:rsidRPr="00602F08">
        <w:rPr>
          <w:rStyle w:val="normaltextrun"/>
          <w:rFonts w:ascii="Times New Roman" w:hAnsi="Times New Roman"/>
          <w:lang w:val="en-US"/>
        </w:rPr>
        <w:t>But ultimately it</w:t>
      </w:r>
      <w:r w:rsidR="00943805" w:rsidRPr="00602F08">
        <w:rPr>
          <w:rStyle w:val="normaltextrun"/>
          <w:rFonts w:ascii="Times New Roman" w:hAnsi="Times New Roman"/>
          <w:lang w:val="en-US"/>
        </w:rPr>
        <w:t xml:space="preserve"> </w:t>
      </w:r>
      <w:r w:rsidR="00CE2FD6" w:rsidRPr="00602F08">
        <w:rPr>
          <w:rStyle w:val="normaltextrun"/>
          <w:rFonts w:ascii="Times New Roman" w:hAnsi="Times New Roman"/>
          <w:lang w:val="en-US"/>
        </w:rPr>
        <w:t xml:space="preserve">has to be useful to </w:t>
      </w:r>
      <w:r w:rsidR="00CD06C9" w:rsidRPr="00602F08">
        <w:rPr>
          <w:rStyle w:val="normaltextrun"/>
          <w:rFonts w:ascii="Times New Roman" w:hAnsi="Times New Roman"/>
          <w:lang w:val="en-US"/>
        </w:rPr>
        <w:t xml:space="preserve">all concerned, including </w:t>
      </w:r>
      <w:r w:rsidR="00987A3E">
        <w:rPr>
          <w:rStyle w:val="normaltextrun"/>
          <w:rFonts w:ascii="Times New Roman" w:hAnsi="Times New Roman"/>
          <w:lang w:val="en-US"/>
        </w:rPr>
        <w:t xml:space="preserve">to </w:t>
      </w:r>
      <w:r w:rsidR="00CD06C9" w:rsidRPr="00602F08">
        <w:rPr>
          <w:rStyle w:val="normaltextrun"/>
          <w:rFonts w:ascii="Times New Roman" w:hAnsi="Times New Roman"/>
          <w:lang w:val="en-US"/>
        </w:rPr>
        <w:t xml:space="preserve">the Secretary of State and her officials, to know </w:t>
      </w:r>
      <w:r w:rsidR="00256E91" w:rsidRPr="00602F08">
        <w:rPr>
          <w:rStyle w:val="normaltextrun"/>
          <w:rFonts w:ascii="Times New Roman" w:hAnsi="Times New Roman"/>
          <w:lang w:val="en-US"/>
        </w:rPr>
        <w:t>whe</w:t>
      </w:r>
      <w:r w:rsidR="00114608" w:rsidRPr="00602F08">
        <w:rPr>
          <w:rStyle w:val="normaltextrun"/>
          <w:rFonts w:ascii="Times New Roman" w:hAnsi="Times New Roman"/>
          <w:lang w:val="en-US"/>
        </w:rPr>
        <w:t>ther and where they are acting unlawfully.</w:t>
      </w:r>
      <w:r w:rsidR="00256E91" w:rsidRPr="00602F08">
        <w:rPr>
          <w:rStyle w:val="normaltextrun"/>
          <w:rFonts w:ascii="Times New Roman" w:hAnsi="Times New Roman"/>
          <w:lang w:val="en-US"/>
        </w:rPr>
        <w:t xml:space="preserve"> </w:t>
      </w:r>
      <w:r w:rsidR="001B50D6" w:rsidRPr="00602F08">
        <w:rPr>
          <w:rStyle w:val="normaltextrun"/>
          <w:rFonts w:ascii="Times New Roman" w:hAnsi="Times New Roman"/>
          <w:lang w:val="en-US"/>
        </w:rPr>
        <w:t xml:space="preserve">To take </w:t>
      </w:r>
      <w:r w:rsidR="0011361D" w:rsidRPr="00602F08">
        <w:rPr>
          <w:rStyle w:val="normaltextrun"/>
          <w:rFonts w:ascii="Times New Roman" w:hAnsi="Times New Roman"/>
          <w:lang w:val="en-US"/>
        </w:rPr>
        <w:t>again the</w:t>
      </w:r>
      <w:r w:rsidR="001B50D6" w:rsidRPr="00602F08">
        <w:rPr>
          <w:rStyle w:val="normaltextrun"/>
          <w:rFonts w:ascii="Times New Roman" w:hAnsi="Times New Roman"/>
          <w:lang w:val="en-US"/>
        </w:rPr>
        <w:t xml:space="preserve"> example</w:t>
      </w:r>
      <w:r w:rsidR="0011361D" w:rsidRPr="00602F08">
        <w:rPr>
          <w:rStyle w:val="normaltextrun"/>
          <w:rFonts w:ascii="Times New Roman" w:hAnsi="Times New Roman"/>
          <w:lang w:val="en-US"/>
        </w:rPr>
        <w:t xml:space="preserve"> in the case of AA</w:t>
      </w:r>
      <w:r w:rsidR="001B50D6" w:rsidRPr="00602F08">
        <w:rPr>
          <w:rStyle w:val="normaltextrun"/>
          <w:rFonts w:ascii="Times New Roman" w:hAnsi="Times New Roman"/>
          <w:lang w:val="en-US"/>
        </w:rPr>
        <w:t xml:space="preserve">, the Secretary of State </w:t>
      </w:r>
      <w:r w:rsidR="00600F4F" w:rsidRPr="00602F08">
        <w:rPr>
          <w:rStyle w:val="normaltextrun"/>
          <w:rFonts w:ascii="Times New Roman" w:hAnsi="Times New Roman"/>
          <w:lang w:val="en-US"/>
        </w:rPr>
        <w:t>accepts that there is no</w:t>
      </w:r>
      <w:r w:rsidR="00443CB5" w:rsidRPr="00602F08">
        <w:rPr>
          <w:rStyle w:val="normaltextrun"/>
          <w:rFonts w:ascii="Times New Roman" w:hAnsi="Times New Roman"/>
          <w:lang w:val="en-US"/>
        </w:rPr>
        <w:t xml:space="preserve"> monitoring of the numbers of disabled applicants</w:t>
      </w:r>
      <w:r w:rsidR="00600F4F" w:rsidRPr="00602F08">
        <w:rPr>
          <w:rStyle w:val="normaltextrun"/>
          <w:rFonts w:ascii="Times New Roman" w:hAnsi="Times New Roman"/>
          <w:lang w:val="en-US"/>
        </w:rPr>
        <w:t xml:space="preserve"> but does not accept that there needs to be. Th</w:t>
      </w:r>
      <w:r w:rsidR="009A0785" w:rsidRPr="00602F08">
        <w:rPr>
          <w:rStyle w:val="normaltextrun"/>
          <w:rFonts w:ascii="Times New Roman" w:hAnsi="Times New Roman"/>
          <w:lang w:val="en-US"/>
        </w:rPr>
        <w:t>e Court cannot simply leave things there.</w:t>
      </w:r>
      <w:r w:rsidR="00164674" w:rsidRPr="00602F08">
        <w:rPr>
          <w:rStyle w:val="normaltextrun"/>
          <w:rFonts w:ascii="Times New Roman" w:hAnsi="Times New Roman"/>
          <w:lang w:val="en-US"/>
        </w:rPr>
        <w:t xml:space="preserve"> </w:t>
      </w:r>
    </w:p>
    <w:p w14:paraId="6DCF7852" w14:textId="77777777" w:rsidR="003113C3" w:rsidRPr="00602F08" w:rsidRDefault="003113C3" w:rsidP="00B6212D">
      <w:pPr>
        <w:jc w:val="both"/>
        <w:rPr>
          <w:rStyle w:val="normaltextrun"/>
          <w:lang w:val="en-US"/>
        </w:rPr>
      </w:pPr>
    </w:p>
    <w:p w14:paraId="78B382F8" w14:textId="5BE04FBD" w:rsidR="008B7D42" w:rsidRPr="00602F08" w:rsidRDefault="003113C3" w:rsidP="00B6212D">
      <w:pPr>
        <w:pStyle w:val="ListParagraph"/>
        <w:numPr>
          <w:ilvl w:val="0"/>
          <w:numId w:val="10"/>
        </w:numPr>
        <w:jc w:val="both"/>
        <w:rPr>
          <w:rFonts w:ascii="Times New Roman" w:hAnsi="Times New Roman"/>
          <w:lang w:val="en-US"/>
        </w:rPr>
      </w:pPr>
      <w:r w:rsidRPr="00602F08">
        <w:rPr>
          <w:rStyle w:val="normaltextrun"/>
          <w:rFonts w:ascii="Times New Roman" w:hAnsi="Times New Roman"/>
          <w:lang w:val="en-US"/>
        </w:rPr>
        <w:t>Mr Ta</w:t>
      </w:r>
      <w:r w:rsidR="00645A51" w:rsidRPr="00602F08">
        <w:rPr>
          <w:rStyle w:val="normaltextrun"/>
          <w:rFonts w:ascii="Times New Roman" w:hAnsi="Times New Roman"/>
          <w:lang w:val="en-US"/>
        </w:rPr>
        <w:t>m</w:t>
      </w:r>
      <w:r w:rsidRPr="00602F08">
        <w:rPr>
          <w:rStyle w:val="normaltextrun"/>
          <w:rFonts w:ascii="Times New Roman" w:hAnsi="Times New Roman"/>
          <w:lang w:val="en-US"/>
        </w:rPr>
        <w:t xml:space="preserve"> QC’s observation that</w:t>
      </w:r>
      <w:r w:rsidR="00530B42" w:rsidRPr="00602F08">
        <w:rPr>
          <w:rStyle w:val="normaltextrun"/>
          <w:rFonts w:ascii="Times New Roman" w:hAnsi="Times New Roman"/>
          <w:lang w:val="en-US"/>
        </w:rPr>
        <w:t xml:space="preserve"> the</w:t>
      </w:r>
      <w:r w:rsidRPr="00602F08">
        <w:rPr>
          <w:rStyle w:val="normaltextrun"/>
          <w:rFonts w:ascii="Times New Roman" w:hAnsi="Times New Roman"/>
          <w:lang w:val="en-US"/>
        </w:rPr>
        <w:t xml:space="preserve"> evidence </w:t>
      </w:r>
      <w:r w:rsidR="00530B42" w:rsidRPr="00602F08">
        <w:rPr>
          <w:rStyle w:val="normaltextrun"/>
          <w:rFonts w:ascii="Times New Roman" w:hAnsi="Times New Roman"/>
          <w:lang w:val="en-US"/>
        </w:rPr>
        <w:t xml:space="preserve">from the claimants </w:t>
      </w:r>
      <w:r w:rsidRPr="00602F08">
        <w:rPr>
          <w:rStyle w:val="normaltextrun"/>
          <w:rFonts w:ascii="Times New Roman" w:hAnsi="Times New Roman"/>
          <w:lang w:val="en-US"/>
        </w:rPr>
        <w:t xml:space="preserve">does not include “a comprehensive record of the total number of these types of cases” is </w:t>
      </w:r>
      <w:r w:rsidR="00012BF3" w:rsidRPr="00602F08">
        <w:rPr>
          <w:rStyle w:val="normaltextrun"/>
          <w:rFonts w:ascii="Times New Roman" w:hAnsi="Times New Roman"/>
          <w:lang w:val="en-US"/>
        </w:rPr>
        <w:t>unpersua</w:t>
      </w:r>
      <w:r w:rsidR="00893BAC" w:rsidRPr="00602F08">
        <w:rPr>
          <w:rStyle w:val="normaltextrun"/>
          <w:rFonts w:ascii="Times New Roman" w:hAnsi="Times New Roman"/>
          <w:lang w:val="en-US"/>
        </w:rPr>
        <w:t>s</w:t>
      </w:r>
      <w:r w:rsidR="00012BF3" w:rsidRPr="00602F08">
        <w:rPr>
          <w:rStyle w:val="normaltextrun"/>
          <w:rFonts w:ascii="Times New Roman" w:hAnsi="Times New Roman"/>
          <w:lang w:val="en-US"/>
        </w:rPr>
        <w:t>ive</w:t>
      </w:r>
      <w:r w:rsidR="00893BAC" w:rsidRPr="00602F08">
        <w:rPr>
          <w:rStyle w:val="normaltextrun"/>
          <w:rFonts w:ascii="Times New Roman" w:hAnsi="Times New Roman"/>
          <w:lang w:val="en-US"/>
        </w:rPr>
        <w:t xml:space="preserve">. </w:t>
      </w:r>
      <w:r w:rsidR="00530B42" w:rsidRPr="00602F08">
        <w:rPr>
          <w:rStyle w:val="normaltextrun"/>
          <w:rFonts w:ascii="Times New Roman" w:hAnsi="Times New Roman"/>
          <w:lang w:val="en-US"/>
        </w:rPr>
        <w:t>E</w:t>
      </w:r>
      <w:r w:rsidR="00893BAC" w:rsidRPr="00602F08">
        <w:rPr>
          <w:rStyle w:val="normaltextrun"/>
          <w:rFonts w:ascii="Times New Roman" w:hAnsi="Times New Roman"/>
          <w:lang w:val="en-US"/>
        </w:rPr>
        <w:t xml:space="preserve">ven with the support of </w:t>
      </w:r>
      <w:r w:rsidR="00F26112">
        <w:rPr>
          <w:rStyle w:val="normaltextrun"/>
          <w:rFonts w:ascii="Times New Roman" w:hAnsi="Times New Roman"/>
          <w:lang w:val="en-US"/>
        </w:rPr>
        <w:t>the</w:t>
      </w:r>
      <w:r w:rsidR="003A1080" w:rsidRPr="00602F08">
        <w:rPr>
          <w:rStyle w:val="normaltextrun"/>
          <w:rFonts w:ascii="Times New Roman" w:hAnsi="Times New Roman"/>
          <w:lang w:val="en-US"/>
        </w:rPr>
        <w:t xml:space="preserve"> </w:t>
      </w:r>
      <w:r w:rsidR="00893BAC" w:rsidRPr="00602F08">
        <w:rPr>
          <w:rStyle w:val="normaltextrun"/>
          <w:rFonts w:ascii="Times New Roman" w:hAnsi="Times New Roman"/>
          <w:lang w:val="en-US"/>
        </w:rPr>
        <w:t xml:space="preserve">experienced legal team </w:t>
      </w:r>
      <w:r w:rsidR="00F26112">
        <w:rPr>
          <w:rStyle w:val="normaltextrun"/>
          <w:rFonts w:ascii="Times New Roman" w:hAnsi="Times New Roman"/>
          <w:lang w:val="en-US"/>
        </w:rPr>
        <w:t xml:space="preserve">they have </w:t>
      </w:r>
      <w:r w:rsidR="00893BAC" w:rsidRPr="00602F08">
        <w:rPr>
          <w:rStyle w:val="normaltextrun"/>
          <w:rFonts w:ascii="Times New Roman" w:hAnsi="Times New Roman"/>
          <w:lang w:val="en-US"/>
        </w:rPr>
        <w:t xml:space="preserve">and of the witnesses approached and research undertaken, </w:t>
      </w:r>
      <w:r w:rsidR="00530B42" w:rsidRPr="00602F08">
        <w:rPr>
          <w:rStyle w:val="normaltextrun"/>
          <w:rFonts w:ascii="Times New Roman" w:hAnsi="Times New Roman"/>
          <w:lang w:val="en-US"/>
        </w:rPr>
        <w:t xml:space="preserve">they </w:t>
      </w:r>
      <w:r w:rsidR="00893BAC" w:rsidRPr="00602F08">
        <w:rPr>
          <w:rStyle w:val="normaltextrun"/>
          <w:rFonts w:ascii="Times New Roman" w:hAnsi="Times New Roman"/>
          <w:lang w:val="en-US"/>
        </w:rPr>
        <w:t>could not do this</w:t>
      </w:r>
      <w:r w:rsidR="003A054C" w:rsidRPr="00602F08">
        <w:rPr>
          <w:rStyle w:val="normaltextrun"/>
          <w:rFonts w:ascii="Times New Roman" w:hAnsi="Times New Roman"/>
          <w:lang w:val="en-US"/>
        </w:rPr>
        <w:t>. But the Secretary of State could, or if she could not then one of</w:t>
      </w:r>
      <w:r w:rsidR="00530B42" w:rsidRPr="00602F08">
        <w:rPr>
          <w:rStyle w:val="normaltextrun"/>
          <w:rFonts w:ascii="Times New Roman" w:hAnsi="Times New Roman"/>
          <w:lang w:val="en-US"/>
        </w:rPr>
        <w:t xml:space="preserve"> the</w:t>
      </w:r>
      <w:r w:rsidR="003A054C" w:rsidRPr="00602F08">
        <w:rPr>
          <w:rStyle w:val="normaltextrun"/>
          <w:rFonts w:ascii="Times New Roman" w:hAnsi="Times New Roman"/>
          <w:lang w:val="en-US"/>
        </w:rPr>
        <w:t xml:space="preserve"> fundamental points </w:t>
      </w:r>
      <w:r w:rsidR="00A8469D" w:rsidRPr="00602F08">
        <w:rPr>
          <w:rStyle w:val="normaltextrun"/>
          <w:rFonts w:ascii="Times New Roman" w:hAnsi="Times New Roman"/>
          <w:lang w:val="en-US"/>
        </w:rPr>
        <w:t xml:space="preserve">- that of monitoring - </w:t>
      </w:r>
      <w:r w:rsidR="003A054C" w:rsidRPr="00602F08">
        <w:rPr>
          <w:rStyle w:val="normaltextrun"/>
          <w:rFonts w:ascii="Times New Roman" w:hAnsi="Times New Roman"/>
          <w:lang w:val="en-US"/>
        </w:rPr>
        <w:t>finds additional support from that very fact</w:t>
      </w:r>
      <w:r w:rsidR="000D5BD1" w:rsidRPr="00602F08">
        <w:rPr>
          <w:rStyle w:val="normaltextrun"/>
          <w:rFonts w:ascii="Times New Roman" w:hAnsi="Times New Roman"/>
          <w:lang w:val="en-US"/>
        </w:rPr>
        <w:t>.</w:t>
      </w:r>
    </w:p>
    <w:p w14:paraId="47E7B694" w14:textId="3646A052" w:rsidR="00354C0D" w:rsidRPr="00602F08" w:rsidRDefault="00354C0D" w:rsidP="00B6212D">
      <w:pPr>
        <w:pStyle w:val="BodyText"/>
        <w:jc w:val="both"/>
        <w:rPr>
          <w:rStyle w:val="normaltextrun"/>
          <w:u w:val="single"/>
        </w:rPr>
      </w:pPr>
    </w:p>
    <w:p w14:paraId="4E8139D0" w14:textId="5823FA08" w:rsidR="00AF7E1B" w:rsidRPr="00602F08" w:rsidRDefault="00AF7E1B" w:rsidP="00B6212D">
      <w:pPr>
        <w:pStyle w:val="BodyText"/>
        <w:jc w:val="both"/>
        <w:rPr>
          <w:rStyle w:val="normaltextrun"/>
          <w:u w:val="single"/>
        </w:rPr>
      </w:pPr>
    </w:p>
    <w:p w14:paraId="773BED81" w14:textId="77777777" w:rsidR="000D5BD1" w:rsidRPr="00602F08" w:rsidRDefault="000D5BD1" w:rsidP="00B6212D">
      <w:pPr>
        <w:pStyle w:val="BodyText"/>
        <w:jc w:val="both"/>
        <w:rPr>
          <w:rStyle w:val="normaltextrun"/>
          <w:u w:val="single"/>
        </w:rPr>
      </w:pPr>
    </w:p>
    <w:p w14:paraId="14C64AFF" w14:textId="6134F6AA" w:rsidR="00354C0D" w:rsidRPr="00602F08" w:rsidRDefault="00354C0D" w:rsidP="00B6212D">
      <w:pPr>
        <w:pStyle w:val="BodyText"/>
        <w:jc w:val="both"/>
        <w:rPr>
          <w:rStyle w:val="normaltextrun"/>
          <w:b/>
          <w:bCs/>
          <w:u w:val="single"/>
        </w:rPr>
      </w:pPr>
      <w:r w:rsidRPr="00602F08">
        <w:rPr>
          <w:rStyle w:val="normaltextrun"/>
          <w:b/>
          <w:bCs/>
          <w:u w:val="single"/>
        </w:rPr>
        <w:t>Remedies</w:t>
      </w:r>
    </w:p>
    <w:p w14:paraId="5BB2A58B" w14:textId="77777777" w:rsidR="00354C0D" w:rsidRPr="00602F08" w:rsidRDefault="00354C0D" w:rsidP="00B6212D">
      <w:pPr>
        <w:pStyle w:val="BodyText"/>
        <w:jc w:val="both"/>
        <w:rPr>
          <w:rStyle w:val="normaltextrun"/>
          <w:lang w:val="en-US"/>
        </w:rPr>
      </w:pPr>
    </w:p>
    <w:p w14:paraId="677CD8EF" w14:textId="176CE612" w:rsidR="00B952D8" w:rsidRPr="00602F08" w:rsidRDefault="00CE5CD7" w:rsidP="00B6212D">
      <w:pPr>
        <w:pStyle w:val="BodyText"/>
        <w:ind w:left="687"/>
        <w:jc w:val="both"/>
        <w:rPr>
          <w:rStyle w:val="normaltextrun"/>
          <w:u w:val="single"/>
          <w:lang w:val="en-US"/>
        </w:rPr>
      </w:pPr>
      <w:r w:rsidRPr="00602F08">
        <w:rPr>
          <w:rStyle w:val="normaltextrun"/>
          <w:u w:val="single"/>
          <w:lang w:val="en-US"/>
        </w:rPr>
        <w:t>Declarations</w:t>
      </w:r>
    </w:p>
    <w:p w14:paraId="47C3089F" w14:textId="202E8B90" w:rsidR="00B952D8" w:rsidRPr="00602F08" w:rsidRDefault="00B952D8" w:rsidP="00B6212D">
      <w:pPr>
        <w:pStyle w:val="BodyText"/>
        <w:ind w:left="687"/>
        <w:jc w:val="both"/>
        <w:rPr>
          <w:rStyle w:val="normaltextrun"/>
          <w:lang w:val="en-US"/>
        </w:rPr>
      </w:pPr>
    </w:p>
    <w:p w14:paraId="512B9073" w14:textId="77777777" w:rsidR="00E10ADD" w:rsidRPr="00602F08" w:rsidRDefault="00B952D8" w:rsidP="00B6212D">
      <w:pPr>
        <w:pStyle w:val="BodyText"/>
        <w:numPr>
          <w:ilvl w:val="0"/>
          <w:numId w:val="10"/>
        </w:numPr>
        <w:jc w:val="both"/>
      </w:pPr>
      <w:r w:rsidRPr="00602F08">
        <w:rPr>
          <w:rStyle w:val="normaltextrun"/>
          <w:lang w:val="en-US"/>
        </w:rPr>
        <w:t xml:space="preserve">Suitably worded declarations will be made </w:t>
      </w:r>
      <w:r w:rsidR="003C15A7" w:rsidRPr="00602F08">
        <w:rPr>
          <w:rStyle w:val="normaltextrun"/>
          <w:lang w:val="en-US"/>
        </w:rPr>
        <w:t xml:space="preserve">to the effect </w:t>
      </w:r>
      <w:r w:rsidRPr="00602F08">
        <w:rPr>
          <w:lang w:val="en-US"/>
        </w:rPr>
        <w:t xml:space="preserve">that </w:t>
      </w:r>
      <w:r w:rsidR="00E10ADD" w:rsidRPr="00602F08">
        <w:rPr>
          <w:lang w:val="en-US"/>
        </w:rPr>
        <w:t>t</w:t>
      </w:r>
      <w:r w:rsidRPr="00602F08">
        <w:rPr>
          <w:lang w:val="en-US"/>
        </w:rPr>
        <w:t>he Secretary of State</w:t>
      </w:r>
      <w:r w:rsidR="00E10ADD" w:rsidRPr="00602F08">
        <w:rPr>
          <w:lang w:val="en-US"/>
        </w:rPr>
        <w:t>:</w:t>
      </w:r>
    </w:p>
    <w:p w14:paraId="2748E3A1" w14:textId="77777777" w:rsidR="00E10ADD" w:rsidRPr="00602F08" w:rsidRDefault="00E10ADD" w:rsidP="00B6212D">
      <w:pPr>
        <w:pStyle w:val="BodyText"/>
        <w:jc w:val="both"/>
      </w:pPr>
    </w:p>
    <w:p w14:paraId="13FC7775" w14:textId="50224E2B" w:rsidR="00A907DD" w:rsidRPr="00602F08" w:rsidRDefault="00C762A9" w:rsidP="00B6212D">
      <w:pPr>
        <w:pStyle w:val="BodyText"/>
        <w:numPr>
          <w:ilvl w:val="0"/>
          <w:numId w:val="24"/>
        </w:numPr>
        <w:jc w:val="both"/>
        <w:rPr>
          <w:rStyle w:val="normaltextrun"/>
        </w:rPr>
      </w:pPr>
      <w:r w:rsidRPr="00602F08">
        <w:rPr>
          <w:rStyle w:val="normaltextrun"/>
          <w:lang w:val="en-US"/>
        </w:rPr>
        <w:t>was in breach of her duty under section 4</w:t>
      </w:r>
      <w:r w:rsidR="00945F2E" w:rsidRPr="00602F08">
        <w:rPr>
          <w:rStyle w:val="normaltextrun"/>
          <w:lang w:val="en-US"/>
        </w:rPr>
        <w:t>(2)</w:t>
      </w:r>
      <w:r w:rsidRPr="00602F08">
        <w:rPr>
          <w:rStyle w:val="normaltextrun"/>
          <w:lang w:val="en-US"/>
        </w:rPr>
        <w:t xml:space="preserve"> of the 1999 Act </w:t>
      </w:r>
      <w:r w:rsidR="001C4926" w:rsidRPr="00602F08">
        <w:rPr>
          <w:rStyle w:val="normaltextrun"/>
          <w:lang w:val="en-US"/>
        </w:rPr>
        <w:t>as regards</w:t>
      </w:r>
      <w:r w:rsidR="00E10ADD" w:rsidRPr="00602F08">
        <w:rPr>
          <w:rStyle w:val="normaltextrun"/>
          <w:lang w:val="en-US"/>
        </w:rPr>
        <w:t xml:space="preserve"> the cla</w:t>
      </w:r>
      <w:r w:rsidR="00B81134" w:rsidRPr="00602F08">
        <w:rPr>
          <w:rStyle w:val="normaltextrun"/>
          <w:lang w:val="en-US"/>
        </w:rPr>
        <w:t>i</w:t>
      </w:r>
      <w:r w:rsidR="00E10ADD" w:rsidRPr="00602F08">
        <w:rPr>
          <w:rStyle w:val="normaltextrun"/>
          <w:lang w:val="en-US"/>
        </w:rPr>
        <w:t>mants</w:t>
      </w:r>
      <w:r w:rsidR="001C4926" w:rsidRPr="00602F08">
        <w:rPr>
          <w:rStyle w:val="normaltextrun"/>
          <w:lang w:val="en-US"/>
        </w:rPr>
        <w:t>,</w:t>
      </w:r>
      <w:r w:rsidR="00E10ADD" w:rsidRPr="00602F08">
        <w:rPr>
          <w:rStyle w:val="normaltextrun"/>
          <w:lang w:val="en-US"/>
        </w:rPr>
        <w:t xml:space="preserve"> </w:t>
      </w:r>
      <w:r w:rsidRPr="00602F08">
        <w:rPr>
          <w:rStyle w:val="normaltextrun"/>
          <w:lang w:val="en-US"/>
        </w:rPr>
        <w:t xml:space="preserve">in </w:t>
      </w:r>
      <w:r w:rsidR="00D07F85" w:rsidRPr="00602F08">
        <w:rPr>
          <w:rStyle w:val="normaltextrun"/>
          <w:lang w:val="en-US"/>
        </w:rPr>
        <w:t xml:space="preserve">failing to provide accommodation </w:t>
      </w:r>
      <w:r w:rsidR="00402392" w:rsidRPr="00602F08">
        <w:rPr>
          <w:rStyle w:val="normaltextrun"/>
          <w:lang w:val="en-US"/>
        </w:rPr>
        <w:t xml:space="preserve">to the claimants </w:t>
      </w:r>
      <w:r w:rsidR="00BF234A" w:rsidRPr="00602F08">
        <w:rPr>
          <w:rStyle w:val="normaltextrun"/>
          <w:lang w:val="en-US"/>
        </w:rPr>
        <w:t>within a reasonable period of time</w:t>
      </w:r>
      <w:r w:rsidR="003A1080" w:rsidRPr="00602F08">
        <w:rPr>
          <w:rStyle w:val="normaltextrun"/>
          <w:lang w:val="en-US"/>
        </w:rPr>
        <w:t>;</w:t>
      </w:r>
    </w:p>
    <w:p w14:paraId="516E7C8F" w14:textId="77777777" w:rsidR="00A907DD" w:rsidRPr="00602F08" w:rsidRDefault="00A907DD" w:rsidP="00B6212D">
      <w:pPr>
        <w:pStyle w:val="BodyText"/>
        <w:ind w:left="1047"/>
        <w:jc w:val="both"/>
        <w:rPr>
          <w:rStyle w:val="normaltextrun"/>
        </w:rPr>
      </w:pPr>
    </w:p>
    <w:p w14:paraId="6E812CFC" w14:textId="60F2775B" w:rsidR="008B166F" w:rsidRPr="00602F08" w:rsidRDefault="00E10ADD" w:rsidP="00B6212D">
      <w:pPr>
        <w:pStyle w:val="BodyText"/>
        <w:numPr>
          <w:ilvl w:val="0"/>
          <w:numId w:val="24"/>
        </w:numPr>
        <w:jc w:val="both"/>
        <w:rPr>
          <w:rStyle w:val="normaltextrun"/>
        </w:rPr>
      </w:pPr>
      <w:r w:rsidRPr="00602F08">
        <w:rPr>
          <w:rStyle w:val="normaltextrun"/>
          <w:lang w:val="en-US"/>
        </w:rPr>
        <w:t>was and is in breac</w:t>
      </w:r>
      <w:r w:rsidR="00A907DD" w:rsidRPr="00602F08">
        <w:rPr>
          <w:rStyle w:val="normaltextrun"/>
          <w:lang w:val="en-US"/>
        </w:rPr>
        <w:t>h</w:t>
      </w:r>
      <w:r w:rsidRPr="00602F08">
        <w:rPr>
          <w:rStyle w:val="normaltextrun"/>
          <w:lang w:val="en-US"/>
        </w:rPr>
        <w:t xml:space="preserve"> of her dut</w:t>
      </w:r>
      <w:r w:rsidR="00BE4405" w:rsidRPr="00602F08">
        <w:rPr>
          <w:rStyle w:val="normaltextrun"/>
          <w:lang w:val="en-US"/>
        </w:rPr>
        <w:t>ies</w:t>
      </w:r>
      <w:r w:rsidRPr="00602F08">
        <w:rPr>
          <w:rStyle w:val="normaltextrun"/>
          <w:lang w:val="en-US"/>
        </w:rPr>
        <w:t xml:space="preserve"> under s</w:t>
      </w:r>
      <w:r w:rsidR="00A907DD" w:rsidRPr="00602F08">
        <w:rPr>
          <w:rStyle w:val="normaltextrun"/>
          <w:lang w:val="en-US"/>
        </w:rPr>
        <w:t>e</w:t>
      </w:r>
      <w:r w:rsidRPr="00602F08">
        <w:rPr>
          <w:rStyle w:val="normaltextrun"/>
          <w:lang w:val="en-US"/>
        </w:rPr>
        <w:t>ction 4</w:t>
      </w:r>
      <w:r w:rsidR="00945F2E" w:rsidRPr="00602F08">
        <w:rPr>
          <w:rStyle w:val="normaltextrun"/>
          <w:lang w:val="en-US"/>
        </w:rPr>
        <w:t xml:space="preserve">(2) </w:t>
      </w:r>
      <w:r w:rsidR="00BE4405" w:rsidRPr="00602F08">
        <w:rPr>
          <w:rStyle w:val="normaltextrun"/>
          <w:lang w:val="en-US"/>
        </w:rPr>
        <w:t>of the 1999 Act and section 6 of the 1998 Act</w:t>
      </w:r>
      <w:r w:rsidR="001C4926" w:rsidRPr="00602F08">
        <w:rPr>
          <w:rStyle w:val="normaltextrun"/>
          <w:lang w:val="en-US"/>
        </w:rPr>
        <w:t xml:space="preserve">, </w:t>
      </w:r>
      <w:r w:rsidR="00EF4B37" w:rsidRPr="00602F08">
        <w:rPr>
          <w:rStyle w:val="normaltextrun"/>
          <w:lang w:val="en-US"/>
        </w:rPr>
        <w:t xml:space="preserve">in failing </w:t>
      </w:r>
      <w:r w:rsidR="00456C9C" w:rsidRPr="00602F08">
        <w:rPr>
          <w:rStyle w:val="normaltextrun"/>
          <w:lang w:val="en-US"/>
        </w:rPr>
        <w:t>properly to</w:t>
      </w:r>
      <w:r w:rsidR="00001812" w:rsidRPr="00602F08">
        <w:rPr>
          <w:rStyle w:val="normaltextrun"/>
          <w:lang w:val="en-US"/>
        </w:rPr>
        <w:t xml:space="preserve"> monitor</w:t>
      </w:r>
      <w:r w:rsidR="00B81134" w:rsidRPr="00602F08">
        <w:rPr>
          <w:rStyle w:val="normaltextrun"/>
          <w:lang w:val="en-US"/>
        </w:rPr>
        <w:t xml:space="preserve"> </w:t>
      </w:r>
      <w:r w:rsidR="00730FF3" w:rsidRPr="00602F08">
        <w:rPr>
          <w:rStyle w:val="normaltextrun"/>
          <w:lang w:val="en-US"/>
        </w:rPr>
        <w:t>the provision of accommodation</w:t>
      </w:r>
      <w:r w:rsidR="001C4926" w:rsidRPr="00602F08">
        <w:rPr>
          <w:rStyle w:val="normaltextrun"/>
          <w:lang w:val="en-US"/>
        </w:rPr>
        <w:t xml:space="preserve"> under section 4</w:t>
      </w:r>
      <w:r w:rsidR="00945F2E" w:rsidRPr="00602F08">
        <w:rPr>
          <w:rStyle w:val="normaltextrun"/>
          <w:lang w:val="en-US"/>
        </w:rPr>
        <w:t>(2)</w:t>
      </w:r>
      <w:r w:rsidR="00B81134" w:rsidRPr="00602F08">
        <w:rPr>
          <w:rStyle w:val="normaltextrun"/>
          <w:lang w:val="en-US"/>
        </w:rPr>
        <w:t xml:space="preserve"> of the 1999 Act</w:t>
      </w:r>
      <w:r w:rsidR="003A1080" w:rsidRPr="00602F08">
        <w:rPr>
          <w:rStyle w:val="normaltextrun"/>
          <w:lang w:val="en-US"/>
        </w:rPr>
        <w:t>;</w:t>
      </w:r>
    </w:p>
    <w:p w14:paraId="6CA7AFC9" w14:textId="77777777" w:rsidR="008B166F" w:rsidRPr="00602F08" w:rsidRDefault="008B166F" w:rsidP="00B6212D">
      <w:pPr>
        <w:pStyle w:val="ListParagraph"/>
        <w:jc w:val="both"/>
        <w:rPr>
          <w:rFonts w:ascii="Times New Roman" w:hAnsi="Times New Roman"/>
          <w:lang w:val="en-US"/>
        </w:rPr>
      </w:pPr>
    </w:p>
    <w:p w14:paraId="34ACD7F3" w14:textId="24E42632" w:rsidR="00B952D8" w:rsidRPr="00602F08" w:rsidRDefault="0070041C" w:rsidP="00B6212D">
      <w:pPr>
        <w:pStyle w:val="BodyText"/>
        <w:numPr>
          <w:ilvl w:val="0"/>
          <w:numId w:val="24"/>
        </w:numPr>
        <w:jc w:val="both"/>
        <w:rPr>
          <w:rStyle w:val="normaltextrun"/>
        </w:rPr>
      </w:pPr>
      <w:r w:rsidRPr="00602F08">
        <w:rPr>
          <w:lang w:val="en-US"/>
        </w:rPr>
        <w:t>was and</w:t>
      </w:r>
      <w:r w:rsidR="00B952D8" w:rsidRPr="00602F08">
        <w:rPr>
          <w:lang w:val="en-US"/>
        </w:rPr>
        <w:t xml:space="preserve"> is in breach of the public sector equality duty in failing, </w:t>
      </w:r>
      <w:r w:rsidR="00B952D8" w:rsidRPr="00602F08">
        <w:rPr>
          <w:rStyle w:val="normaltextrun"/>
          <w:lang w:val="en-US"/>
        </w:rPr>
        <w:t>once she has reached a decision that she has a duty to accommodate under section 4</w:t>
      </w:r>
      <w:r w:rsidR="00945F2E" w:rsidRPr="00602F08">
        <w:rPr>
          <w:rStyle w:val="normaltextrun"/>
          <w:lang w:val="en-US"/>
        </w:rPr>
        <w:t>(2)</w:t>
      </w:r>
      <w:r w:rsidR="00B952D8" w:rsidRPr="00602F08">
        <w:rPr>
          <w:rStyle w:val="normaltextrun"/>
          <w:lang w:val="en-US"/>
        </w:rPr>
        <w:t xml:space="preserve"> of the 1999 Act,</w:t>
      </w:r>
      <w:r w:rsidR="00B952D8" w:rsidRPr="00602F08">
        <w:rPr>
          <w:lang w:val="en-US"/>
        </w:rPr>
        <w:t xml:space="preserve"> to </w:t>
      </w:r>
      <w:r w:rsidR="00B952D8" w:rsidRPr="00602F08">
        <w:rPr>
          <w:rStyle w:val="normaltextrun"/>
          <w:lang w:val="en-US"/>
        </w:rPr>
        <w:t>monitor the provision of that section 4</w:t>
      </w:r>
      <w:r w:rsidR="00945F2E" w:rsidRPr="00602F08">
        <w:rPr>
          <w:rStyle w:val="normaltextrun"/>
          <w:lang w:val="en-US"/>
        </w:rPr>
        <w:t>(2)</w:t>
      </w:r>
      <w:r w:rsidR="00B952D8" w:rsidRPr="00602F08">
        <w:rPr>
          <w:rStyle w:val="normaltextrun"/>
          <w:lang w:val="en-US"/>
        </w:rPr>
        <w:t xml:space="preserve"> accommodation to individuals who have a disability.</w:t>
      </w:r>
    </w:p>
    <w:p w14:paraId="5F87B34E" w14:textId="73F6AB19" w:rsidR="00846119" w:rsidRPr="00602F08" w:rsidRDefault="00846119" w:rsidP="00B6212D">
      <w:pPr>
        <w:pStyle w:val="BodyText"/>
        <w:ind w:left="687"/>
        <w:jc w:val="both"/>
        <w:rPr>
          <w:rStyle w:val="normaltextrun"/>
          <w:lang w:val="en-US"/>
        </w:rPr>
      </w:pPr>
    </w:p>
    <w:p w14:paraId="64C25DFA" w14:textId="4461FA53" w:rsidR="00846119" w:rsidRPr="00602F08" w:rsidRDefault="003A72A8" w:rsidP="00B6212D">
      <w:pPr>
        <w:pStyle w:val="BodyText"/>
        <w:numPr>
          <w:ilvl w:val="0"/>
          <w:numId w:val="10"/>
        </w:numPr>
        <w:jc w:val="both"/>
        <w:rPr>
          <w:rStyle w:val="normaltextrun"/>
        </w:rPr>
      </w:pPr>
      <w:r w:rsidRPr="00602F08">
        <w:rPr>
          <w:rStyle w:val="normaltextrun"/>
        </w:rPr>
        <w:t>Subject to any further argument</w:t>
      </w:r>
      <w:r w:rsidR="00231294">
        <w:rPr>
          <w:rStyle w:val="normaltextrun"/>
        </w:rPr>
        <w:t>,</w:t>
      </w:r>
      <w:r w:rsidRPr="00602F08">
        <w:rPr>
          <w:rStyle w:val="normaltextrun"/>
        </w:rPr>
        <w:t xml:space="preserve"> which I will he</w:t>
      </w:r>
      <w:r w:rsidR="00456C9C" w:rsidRPr="00602F08">
        <w:rPr>
          <w:rStyle w:val="normaltextrun"/>
        </w:rPr>
        <w:t>ar</w:t>
      </w:r>
      <w:r w:rsidRPr="00602F08">
        <w:rPr>
          <w:rStyle w:val="normaltextrun"/>
        </w:rPr>
        <w:t xml:space="preserve"> when the parties have considered this judgment</w:t>
      </w:r>
      <w:r w:rsidR="00456C9C" w:rsidRPr="00602F08">
        <w:rPr>
          <w:rStyle w:val="normaltextrun"/>
        </w:rPr>
        <w:t xml:space="preserve"> </w:t>
      </w:r>
      <w:r w:rsidR="003A0A79" w:rsidRPr="00602F08">
        <w:rPr>
          <w:rStyle w:val="normaltextrun"/>
        </w:rPr>
        <w:t xml:space="preserve">on a day to be arranged </w:t>
      </w:r>
      <w:r w:rsidR="00456C9C" w:rsidRPr="00602F08">
        <w:rPr>
          <w:rStyle w:val="normaltextrun"/>
        </w:rPr>
        <w:t>after it is handed down</w:t>
      </w:r>
      <w:r w:rsidRPr="00602F08">
        <w:rPr>
          <w:rStyle w:val="normaltextrun"/>
        </w:rPr>
        <w:t>, i</w:t>
      </w:r>
      <w:r w:rsidR="00846119" w:rsidRPr="00602F08">
        <w:rPr>
          <w:rStyle w:val="normaltextrun"/>
        </w:rPr>
        <w:t>t is unnecessary, in my view, to make other case specific declarations. The findings and conclusions expressed in this judgment will suffice.</w:t>
      </w:r>
    </w:p>
    <w:p w14:paraId="27C0578C" w14:textId="7C2DE6FF" w:rsidR="00C30950" w:rsidRPr="00602F08" w:rsidRDefault="00C30950" w:rsidP="00B6212D">
      <w:pPr>
        <w:pStyle w:val="BodyText"/>
        <w:jc w:val="both"/>
        <w:rPr>
          <w:rStyle w:val="normaltextrun"/>
        </w:rPr>
      </w:pPr>
    </w:p>
    <w:p w14:paraId="0803B987" w14:textId="77777777" w:rsidR="00C30950" w:rsidRPr="00602F08" w:rsidRDefault="00C30950" w:rsidP="00B6212D">
      <w:pPr>
        <w:pStyle w:val="BodyText"/>
        <w:jc w:val="both"/>
        <w:rPr>
          <w:rStyle w:val="normaltextrun"/>
        </w:rPr>
      </w:pPr>
    </w:p>
    <w:p w14:paraId="1671AE05" w14:textId="14257609" w:rsidR="00C30950" w:rsidRPr="00602F08" w:rsidRDefault="00C30950" w:rsidP="00B6212D">
      <w:pPr>
        <w:pStyle w:val="BodyText"/>
        <w:ind w:left="687"/>
        <w:jc w:val="both"/>
        <w:rPr>
          <w:rStyle w:val="normaltextrun"/>
          <w:u w:val="single"/>
        </w:rPr>
      </w:pPr>
      <w:r w:rsidRPr="00602F08">
        <w:rPr>
          <w:rStyle w:val="normaltextrun"/>
          <w:u w:val="single"/>
        </w:rPr>
        <w:t>Mandatory orders</w:t>
      </w:r>
    </w:p>
    <w:p w14:paraId="759ECCDA" w14:textId="77777777" w:rsidR="00FC03D2" w:rsidRPr="00602F08" w:rsidRDefault="00FC03D2" w:rsidP="00B6212D">
      <w:pPr>
        <w:pStyle w:val="BodyText"/>
        <w:ind w:left="687"/>
        <w:jc w:val="both"/>
        <w:rPr>
          <w:rStyle w:val="normaltextrun"/>
        </w:rPr>
      </w:pPr>
    </w:p>
    <w:p w14:paraId="16AC56CE" w14:textId="0311E613" w:rsidR="00FC03D2" w:rsidRPr="00602F08" w:rsidRDefault="00FC03D2" w:rsidP="00B6212D">
      <w:pPr>
        <w:pStyle w:val="BodyText"/>
        <w:numPr>
          <w:ilvl w:val="0"/>
          <w:numId w:val="10"/>
        </w:numPr>
        <w:jc w:val="both"/>
        <w:rPr>
          <w:rStyle w:val="normaltextrun"/>
        </w:rPr>
      </w:pPr>
      <w:r w:rsidRPr="00602F08">
        <w:rPr>
          <w:rStyle w:val="normaltextrun"/>
        </w:rPr>
        <w:t>Mandatory orders are no longer required.</w:t>
      </w:r>
    </w:p>
    <w:p w14:paraId="6CFD5F31" w14:textId="77777777" w:rsidR="00C30950" w:rsidRPr="00602F08" w:rsidRDefault="00C30950" w:rsidP="00B6212D">
      <w:pPr>
        <w:pStyle w:val="BodyText"/>
        <w:ind w:left="687"/>
        <w:jc w:val="both"/>
        <w:rPr>
          <w:rStyle w:val="normaltextrun"/>
        </w:rPr>
      </w:pPr>
    </w:p>
    <w:p w14:paraId="751B7A94" w14:textId="77777777" w:rsidR="00C30950" w:rsidRPr="00602F08" w:rsidRDefault="00C30950" w:rsidP="00B6212D">
      <w:pPr>
        <w:pStyle w:val="BodyText"/>
        <w:ind w:left="687"/>
        <w:jc w:val="both"/>
        <w:rPr>
          <w:rStyle w:val="normaltextrun"/>
        </w:rPr>
      </w:pPr>
    </w:p>
    <w:p w14:paraId="0DDC60F8" w14:textId="77777777" w:rsidR="00C30950" w:rsidRPr="00602F08" w:rsidRDefault="00C30950" w:rsidP="00B6212D">
      <w:pPr>
        <w:pStyle w:val="BodyText"/>
        <w:ind w:left="720"/>
        <w:jc w:val="both"/>
        <w:rPr>
          <w:rStyle w:val="normaltextrun"/>
          <w:u w:val="single"/>
        </w:rPr>
      </w:pPr>
      <w:r w:rsidRPr="00602F08">
        <w:rPr>
          <w:rStyle w:val="normaltextrun"/>
          <w:u w:val="single"/>
        </w:rPr>
        <w:t>Damages</w:t>
      </w:r>
    </w:p>
    <w:p w14:paraId="2E8A568F" w14:textId="2DEA3ABE" w:rsidR="00354C0D" w:rsidRPr="00602F08" w:rsidRDefault="00846119" w:rsidP="00B6212D">
      <w:pPr>
        <w:pStyle w:val="BodyText"/>
        <w:ind w:left="720"/>
        <w:jc w:val="both"/>
        <w:rPr>
          <w:rStyle w:val="normaltextrun"/>
        </w:rPr>
      </w:pPr>
      <w:r w:rsidRPr="00602F08">
        <w:rPr>
          <w:rStyle w:val="normaltextrun"/>
        </w:rPr>
        <w:t xml:space="preserve">  </w:t>
      </w:r>
    </w:p>
    <w:p w14:paraId="5805F6B8" w14:textId="77D6DDDD" w:rsidR="006F66B1" w:rsidRPr="00602F08" w:rsidRDefault="00354C0D" w:rsidP="00B6212D">
      <w:pPr>
        <w:pStyle w:val="BodyText"/>
        <w:numPr>
          <w:ilvl w:val="0"/>
          <w:numId w:val="10"/>
        </w:numPr>
        <w:jc w:val="both"/>
      </w:pPr>
      <w:r w:rsidRPr="00602F08">
        <w:rPr>
          <w:rStyle w:val="normaltextrun"/>
          <w:lang w:val="en-US"/>
        </w:rPr>
        <w:t xml:space="preserve">Damages </w:t>
      </w:r>
      <w:r w:rsidR="003C15A7" w:rsidRPr="00602F08">
        <w:rPr>
          <w:rStyle w:val="normaltextrun"/>
          <w:lang w:val="en-US"/>
        </w:rPr>
        <w:t>are not claimed by</w:t>
      </w:r>
      <w:r w:rsidRPr="00602F08">
        <w:rPr>
          <w:rStyle w:val="normaltextrun"/>
          <w:lang w:val="en-US"/>
        </w:rPr>
        <w:t xml:space="preserve"> AA.</w:t>
      </w:r>
      <w:r w:rsidR="00D15687" w:rsidRPr="00602F08">
        <w:rPr>
          <w:rStyle w:val="normaltextrun"/>
          <w:lang w:val="en-US"/>
        </w:rPr>
        <w:t xml:space="preserve"> </w:t>
      </w:r>
      <w:r w:rsidR="00822AB9" w:rsidRPr="00602F08">
        <w:rPr>
          <w:shd w:val="clear" w:color="auto" w:fill="FFFFFF"/>
        </w:rPr>
        <w:t>Under section 8(1) of the</w:t>
      </w:r>
      <w:r w:rsidR="008D28D3" w:rsidRPr="00602F08">
        <w:rPr>
          <w:shd w:val="clear" w:color="auto" w:fill="FFFFFF"/>
        </w:rPr>
        <w:t xml:space="preserve"> </w:t>
      </w:r>
      <w:r w:rsidR="00822AB9" w:rsidRPr="00602F08">
        <w:rPr>
          <w:shd w:val="clear" w:color="auto" w:fill="FFFFFF"/>
        </w:rPr>
        <w:t xml:space="preserve">1998 </w:t>
      </w:r>
      <w:r w:rsidR="008D28D3" w:rsidRPr="00602F08">
        <w:rPr>
          <w:shd w:val="clear" w:color="auto" w:fill="FFFFFF"/>
        </w:rPr>
        <w:t xml:space="preserve">Act </w:t>
      </w:r>
      <w:r w:rsidR="00822AB9" w:rsidRPr="00602F08">
        <w:rPr>
          <w:shd w:val="clear" w:color="auto" w:fill="FFFFFF"/>
        </w:rPr>
        <w:t>the Court “may grant such relief or remedy or make such order within its powers as it considers just and appropriate.” </w:t>
      </w:r>
    </w:p>
    <w:p w14:paraId="090A4C24" w14:textId="77777777" w:rsidR="006F66B1" w:rsidRPr="00602F08" w:rsidRDefault="006F66B1" w:rsidP="00B6212D">
      <w:pPr>
        <w:pStyle w:val="BodyText"/>
        <w:ind w:left="687"/>
        <w:jc w:val="both"/>
      </w:pPr>
    </w:p>
    <w:p w14:paraId="00F47B72" w14:textId="344CFA55" w:rsidR="008B38B8" w:rsidRPr="00602F08" w:rsidRDefault="00822AB9" w:rsidP="00B6212D">
      <w:pPr>
        <w:pStyle w:val="BodyText"/>
        <w:numPr>
          <w:ilvl w:val="0"/>
          <w:numId w:val="10"/>
        </w:numPr>
        <w:jc w:val="both"/>
      </w:pPr>
      <w:r w:rsidRPr="00602F08">
        <w:rPr>
          <w:shd w:val="clear" w:color="auto" w:fill="FFFFFF"/>
        </w:rPr>
        <w:t>Section 8(3) go</w:t>
      </w:r>
      <w:r w:rsidR="00F54896" w:rsidRPr="00602F08">
        <w:rPr>
          <w:shd w:val="clear" w:color="auto" w:fill="FFFFFF"/>
        </w:rPr>
        <w:t>es</w:t>
      </w:r>
      <w:r w:rsidRPr="00602F08">
        <w:rPr>
          <w:shd w:val="clear" w:color="auto" w:fill="FFFFFF"/>
        </w:rPr>
        <w:t xml:space="preserve"> on to provide that:</w:t>
      </w:r>
      <w:r w:rsidR="00D15687" w:rsidRPr="00602F08">
        <w:t xml:space="preserve"> </w:t>
      </w:r>
      <w:r w:rsidRPr="00602F08">
        <w:t>“No award of damages is to be made unless, taking account of all the circumstances of the case</w:t>
      </w:r>
      <w:r w:rsidR="00D15687" w:rsidRPr="00602F08">
        <w:t xml:space="preserve"> … </w:t>
      </w:r>
      <w:r w:rsidRPr="00602F08">
        <w:t>the court is satisfied that the award is necessary to afford just satisfaction to the person in whose favour it is made.</w:t>
      </w:r>
      <w:r w:rsidR="008D28D3" w:rsidRPr="00602F08">
        <w:t>”</w:t>
      </w:r>
      <w:r w:rsidRPr="00602F08">
        <w:t xml:space="preserve"> In </w:t>
      </w:r>
      <w:r w:rsidRPr="00602F08">
        <w:rPr>
          <w:u w:val="single"/>
        </w:rPr>
        <w:t>Greenfield v the Secretary of State for the Home Department</w:t>
      </w:r>
      <w:r w:rsidRPr="00602F08">
        <w:t xml:space="preserve"> [2005] UK HL 14, the House of Lords </w:t>
      </w:r>
      <w:r w:rsidR="00C32FA2" w:rsidRPr="00602F08">
        <w:t>emphasised</w:t>
      </w:r>
      <w:r w:rsidRPr="00602F08">
        <w:t xml:space="preserve"> that a domestic court could not award damages under s.8 of the </w:t>
      </w:r>
      <w:r w:rsidR="00322DEB" w:rsidRPr="00602F08">
        <w:t>1998 Act</w:t>
      </w:r>
      <w:r w:rsidRPr="00602F08">
        <w:t xml:space="preserve"> unless satisfied that it was </w:t>
      </w:r>
      <w:r w:rsidR="005E0447">
        <w:t>“</w:t>
      </w:r>
      <w:r w:rsidRPr="00602F08">
        <w:t>necessary</w:t>
      </w:r>
      <w:r w:rsidR="005E0447">
        <w:t>”</w:t>
      </w:r>
      <w:r w:rsidRPr="00602F08">
        <w:t xml:space="preserve"> to do so. </w:t>
      </w:r>
    </w:p>
    <w:p w14:paraId="66A1DE69" w14:textId="77777777" w:rsidR="008B38B8" w:rsidRPr="00602F08" w:rsidRDefault="008B38B8" w:rsidP="00B6212D">
      <w:pPr>
        <w:pStyle w:val="BodyText"/>
        <w:ind w:left="687"/>
        <w:jc w:val="both"/>
      </w:pPr>
    </w:p>
    <w:p w14:paraId="7242F018" w14:textId="27BAAF0C" w:rsidR="00FB22E0" w:rsidRPr="00602F08" w:rsidRDefault="00822AB9" w:rsidP="00B6212D">
      <w:pPr>
        <w:pStyle w:val="BodyText"/>
        <w:numPr>
          <w:ilvl w:val="0"/>
          <w:numId w:val="10"/>
        </w:numPr>
        <w:jc w:val="both"/>
      </w:pPr>
      <w:r w:rsidRPr="00602F08">
        <w:t xml:space="preserve">In </w:t>
      </w:r>
      <w:r w:rsidRPr="00602F08">
        <w:rPr>
          <w:u w:val="single"/>
        </w:rPr>
        <w:t>DSD v Commissioner of Police for the Metropolis</w:t>
      </w:r>
      <w:r w:rsidRPr="00602F08">
        <w:t xml:space="preserve"> [2015] 1 WLR 1833 the Court</w:t>
      </w:r>
      <w:r w:rsidR="00FB22E0" w:rsidRPr="00602F08">
        <w:t xml:space="preserve"> (Green J)</w:t>
      </w:r>
      <w:r w:rsidRPr="00602F08">
        <w:t xml:space="preserve"> said the starting point is to ask whether a non-financial remedy is sufficient ‘just satisfaction’. To determine this the </w:t>
      </w:r>
      <w:r w:rsidR="005E0447">
        <w:t>C</w:t>
      </w:r>
      <w:r w:rsidRPr="00602F08">
        <w:t xml:space="preserve">ourt will ask firstly, whether there is a causal link between the breach and the harm which should be appropriately reflected in an award of compensation in addition to other remedies; and secondly, whether the violation is of a type which should be reflected in a monetary award. </w:t>
      </w:r>
    </w:p>
    <w:p w14:paraId="0D01BFB5" w14:textId="77777777" w:rsidR="00FB22E0" w:rsidRPr="00602F08" w:rsidRDefault="00FB22E0" w:rsidP="00B6212D">
      <w:pPr>
        <w:pStyle w:val="ListParagraph"/>
        <w:jc w:val="both"/>
        <w:rPr>
          <w:rFonts w:ascii="Times New Roman" w:hAnsi="Times New Roman"/>
        </w:rPr>
      </w:pPr>
    </w:p>
    <w:p w14:paraId="0FB70273" w14:textId="31B11A19" w:rsidR="00822AB9" w:rsidRPr="00602F08" w:rsidRDefault="00822AB9" w:rsidP="00B6212D">
      <w:pPr>
        <w:pStyle w:val="BodyText"/>
        <w:numPr>
          <w:ilvl w:val="0"/>
          <w:numId w:val="10"/>
        </w:numPr>
        <w:jc w:val="both"/>
      </w:pPr>
      <w:r w:rsidRPr="00602F08">
        <w:t>Green J identified the range of factors that the Court would need to consider:</w:t>
      </w:r>
    </w:p>
    <w:p w14:paraId="574A77E8" w14:textId="35969CD4" w:rsidR="00822AB9" w:rsidRPr="00602F08" w:rsidRDefault="00822AB9" w:rsidP="00B6212D">
      <w:pPr>
        <w:spacing w:before="100" w:beforeAutospacing="1" w:after="100" w:afterAutospacing="1"/>
        <w:ind w:left="1440"/>
        <w:jc w:val="both"/>
        <w:textAlignment w:val="baseline"/>
        <w:rPr>
          <w:lang w:eastAsia="en-GB"/>
        </w:rPr>
      </w:pPr>
      <w:r w:rsidRPr="00602F08">
        <w:rPr>
          <w:lang w:eastAsia="en-GB"/>
        </w:rPr>
        <w:t>“118… the nature of the harm suffered and treatment costs; the duration of the breach by the defendant; the nature of the failings and whether they were operational and/or systemic; the overall context to the violations; whether there was bad faith on the part of the defendant or whether there is any other reason why an enhanced award should be made; where the award sits on the range of awards made by Strasbourg and in similar domestic cases; other payments; totality and ‘modesty’.” </w:t>
      </w:r>
    </w:p>
    <w:p w14:paraId="10A140DA" w14:textId="3DA4E868" w:rsidR="00676BCD" w:rsidRPr="00602F08" w:rsidRDefault="00822AB9" w:rsidP="00B6212D">
      <w:pPr>
        <w:shd w:val="clear" w:color="auto" w:fill="FFFFFF"/>
        <w:spacing w:before="100" w:beforeAutospacing="1" w:after="100" w:afterAutospacing="1"/>
        <w:ind w:left="720"/>
        <w:jc w:val="both"/>
        <w:textAlignment w:val="baseline"/>
        <w:rPr>
          <w:lang w:eastAsia="en-GB"/>
        </w:rPr>
      </w:pPr>
      <w:r w:rsidRPr="00602F08">
        <w:rPr>
          <w:lang w:eastAsia="en-GB"/>
        </w:rPr>
        <w:t xml:space="preserve">Green J also noted that damages are not likely to be substantial and will generally be modest.  In </w:t>
      </w:r>
      <w:r w:rsidRPr="00602F08">
        <w:rPr>
          <w:u w:val="single"/>
          <w:lang w:eastAsia="en-GB"/>
        </w:rPr>
        <w:t>Lee Hirons v Secretary of State for Justice</w:t>
      </w:r>
      <w:r w:rsidRPr="00602F08">
        <w:rPr>
          <w:lang w:eastAsia="en-GB"/>
        </w:rPr>
        <w:t xml:space="preserve"> [2016] UKSC 46, the Supreme Court held that the victim</w:t>
      </w:r>
      <w:r w:rsidR="00FF12DB" w:rsidRPr="00602F08">
        <w:rPr>
          <w:lang w:eastAsia="en-GB"/>
        </w:rPr>
        <w:t xml:space="preserve"> </w:t>
      </w:r>
      <w:r w:rsidR="0064253E" w:rsidRPr="00602F08">
        <w:rPr>
          <w:lang w:eastAsia="en-GB"/>
        </w:rPr>
        <w:t>must</w:t>
      </w:r>
      <w:r w:rsidRPr="00602F08">
        <w:rPr>
          <w:lang w:eastAsia="en-GB"/>
        </w:rPr>
        <w:t xml:space="preserve"> establish that the effects of the breach were sufficiently grave to merit compensation.</w:t>
      </w:r>
    </w:p>
    <w:p w14:paraId="0606C298" w14:textId="559C2D1E" w:rsidR="00676BCD" w:rsidRPr="00602F08" w:rsidRDefault="00D656ED" w:rsidP="00B6212D">
      <w:pPr>
        <w:pStyle w:val="ListParagraph"/>
        <w:numPr>
          <w:ilvl w:val="0"/>
          <w:numId w:val="10"/>
        </w:numPr>
        <w:shd w:val="clear" w:color="auto" w:fill="FFFFFF"/>
        <w:spacing w:before="100" w:beforeAutospacing="1" w:after="100" w:afterAutospacing="1"/>
        <w:jc w:val="both"/>
        <w:textAlignment w:val="baseline"/>
        <w:rPr>
          <w:rFonts w:ascii="Times New Roman" w:hAnsi="Times New Roman"/>
          <w:lang w:eastAsia="en-GB"/>
        </w:rPr>
      </w:pPr>
      <w:r w:rsidRPr="00602F08">
        <w:rPr>
          <w:rFonts w:ascii="Times New Roman" w:hAnsi="Times New Roman"/>
          <w:lang w:eastAsia="en-GB"/>
        </w:rPr>
        <w:t xml:space="preserve">It </w:t>
      </w:r>
      <w:r w:rsidR="00237472">
        <w:rPr>
          <w:rFonts w:ascii="Times New Roman" w:hAnsi="Times New Roman"/>
          <w:lang w:eastAsia="en-GB"/>
        </w:rPr>
        <w:t>was</w:t>
      </w:r>
      <w:r w:rsidR="00913CB9" w:rsidRPr="00602F08">
        <w:rPr>
          <w:rFonts w:ascii="Times New Roman" w:hAnsi="Times New Roman"/>
          <w:lang w:eastAsia="en-GB"/>
        </w:rPr>
        <w:t xml:space="preserve"> argue</w:t>
      </w:r>
      <w:r w:rsidRPr="00602F08">
        <w:rPr>
          <w:rFonts w:ascii="Times New Roman" w:hAnsi="Times New Roman"/>
          <w:lang w:eastAsia="en-GB"/>
        </w:rPr>
        <w:t>d on behalf of the Secretary of State</w:t>
      </w:r>
      <w:r w:rsidR="00913CB9" w:rsidRPr="00602F08">
        <w:rPr>
          <w:rFonts w:ascii="Times New Roman" w:hAnsi="Times New Roman"/>
          <w:lang w:eastAsia="en-GB"/>
        </w:rPr>
        <w:t xml:space="preserve"> </w:t>
      </w:r>
      <w:r w:rsidR="0064253E" w:rsidRPr="00602F08">
        <w:rPr>
          <w:rFonts w:ascii="Times New Roman" w:hAnsi="Times New Roman"/>
          <w:lang w:eastAsia="en-GB"/>
        </w:rPr>
        <w:t xml:space="preserve">that </w:t>
      </w:r>
      <w:r w:rsidR="00822AB9" w:rsidRPr="00602F08">
        <w:rPr>
          <w:rFonts w:ascii="Times New Roman" w:hAnsi="Times New Roman"/>
          <w:lang w:eastAsia="en-GB"/>
        </w:rPr>
        <w:t xml:space="preserve">even taking each </w:t>
      </w:r>
      <w:r w:rsidR="000A373B" w:rsidRPr="00602F08">
        <w:rPr>
          <w:rFonts w:ascii="Times New Roman" w:hAnsi="Times New Roman"/>
          <w:lang w:eastAsia="en-GB"/>
        </w:rPr>
        <w:t>c</w:t>
      </w:r>
      <w:r w:rsidR="00822AB9" w:rsidRPr="00602F08">
        <w:rPr>
          <w:rFonts w:ascii="Times New Roman" w:hAnsi="Times New Roman"/>
          <w:lang w:eastAsia="en-GB"/>
        </w:rPr>
        <w:t>laimant’s individual circumstances at its absolute highest</w:t>
      </w:r>
      <w:r w:rsidR="0068251A" w:rsidRPr="00602F08">
        <w:rPr>
          <w:rFonts w:ascii="Times New Roman" w:hAnsi="Times New Roman"/>
          <w:lang w:eastAsia="en-GB"/>
        </w:rPr>
        <w:t>,</w:t>
      </w:r>
      <w:r w:rsidR="00822AB9" w:rsidRPr="00602F08">
        <w:rPr>
          <w:rFonts w:ascii="Times New Roman" w:hAnsi="Times New Roman"/>
          <w:lang w:eastAsia="en-GB"/>
        </w:rPr>
        <w:t xml:space="preserve"> when considered against the factors set out by Green J in </w:t>
      </w:r>
      <w:r w:rsidR="00822AB9" w:rsidRPr="00602F08">
        <w:rPr>
          <w:rFonts w:ascii="Times New Roman" w:hAnsi="Times New Roman"/>
          <w:u w:val="single"/>
          <w:lang w:eastAsia="en-GB"/>
        </w:rPr>
        <w:t>DSD</w:t>
      </w:r>
      <w:r w:rsidR="00822AB9" w:rsidRPr="00602F08">
        <w:rPr>
          <w:rFonts w:ascii="Times New Roman" w:hAnsi="Times New Roman"/>
          <w:lang w:eastAsia="en-GB"/>
        </w:rPr>
        <w:t xml:space="preserve"> no award of damages is necessary to afford </w:t>
      </w:r>
      <w:r w:rsidR="00F81CCF">
        <w:rPr>
          <w:rFonts w:ascii="Times New Roman" w:hAnsi="Times New Roman"/>
          <w:lang w:eastAsia="en-GB"/>
        </w:rPr>
        <w:t>“</w:t>
      </w:r>
      <w:r w:rsidR="00822AB9" w:rsidRPr="00602F08">
        <w:rPr>
          <w:rFonts w:ascii="Times New Roman" w:hAnsi="Times New Roman"/>
          <w:lang w:eastAsia="en-GB"/>
        </w:rPr>
        <w:t>just satisfaction</w:t>
      </w:r>
      <w:r w:rsidR="00F81CCF">
        <w:rPr>
          <w:rFonts w:ascii="Times New Roman" w:hAnsi="Times New Roman"/>
          <w:lang w:eastAsia="en-GB"/>
        </w:rPr>
        <w:t>”</w:t>
      </w:r>
      <w:r w:rsidR="00822AB9" w:rsidRPr="00602F08">
        <w:rPr>
          <w:rFonts w:ascii="Times New Roman" w:hAnsi="Times New Roman"/>
          <w:lang w:eastAsia="en-GB"/>
        </w:rPr>
        <w:t xml:space="preserve">. </w:t>
      </w:r>
      <w:r w:rsidR="00930C7C" w:rsidRPr="00602F08">
        <w:rPr>
          <w:rFonts w:ascii="Times New Roman" w:hAnsi="Times New Roman"/>
          <w:lang w:eastAsia="en-GB"/>
        </w:rPr>
        <w:t xml:space="preserve">It </w:t>
      </w:r>
      <w:r w:rsidR="00237472">
        <w:rPr>
          <w:rFonts w:ascii="Times New Roman" w:hAnsi="Times New Roman"/>
          <w:lang w:eastAsia="en-GB"/>
        </w:rPr>
        <w:t>wa</w:t>
      </w:r>
      <w:r w:rsidR="00930C7C" w:rsidRPr="00602F08">
        <w:rPr>
          <w:rFonts w:ascii="Times New Roman" w:hAnsi="Times New Roman"/>
          <w:lang w:eastAsia="en-GB"/>
        </w:rPr>
        <w:t xml:space="preserve">s argued </w:t>
      </w:r>
      <w:r w:rsidR="000A373B" w:rsidRPr="00602F08">
        <w:rPr>
          <w:rFonts w:ascii="Times New Roman" w:hAnsi="Times New Roman"/>
          <w:lang w:eastAsia="en-GB"/>
        </w:rPr>
        <w:t xml:space="preserve">that </w:t>
      </w:r>
      <w:r w:rsidR="00930C7C" w:rsidRPr="00602F08">
        <w:rPr>
          <w:rFonts w:ascii="Times New Roman" w:hAnsi="Times New Roman"/>
          <w:lang w:eastAsia="en-GB"/>
        </w:rPr>
        <w:t>“</w:t>
      </w:r>
      <w:r w:rsidR="000A373B" w:rsidRPr="00602F08">
        <w:rPr>
          <w:rFonts w:ascii="Times New Roman" w:hAnsi="Times New Roman"/>
          <w:lang w:eastAsia="en-GB"/>
        </w:rPr>
        <w:t>t</w:t>
      </w:r>
      <w:r w:rsidR="00822AB9" w:rsidRPr="00602F08">
        <w:rPr>
          <w:rFonts w:ascii="Times New Roman" w:hAnsi="Times New Roman"/>
          <w:lang w:eastAsia="en-GB"/>
        </w:rPr>
        <w:t xml:space="preserve">he nature of the harm suffered by each </w:t>
      </w:r>
      <w:r w:rsidR="000A373B" w:rsidRPr="00602F08">
        <w:rPr>
          <w:rFonts w:ascii="Times New Roman" w:hAnsi="Times New Roman"/>
          <w:lang w:eastAsia="en-GB"/>
        </w:rPr>
        <w:t>C</w:t>
      </w:r>
      <w:r w:rsidR="00822AB9" w:rsidRPr="00602F08">
        <w:rPr>
          <w:rFonts w:ascii="Times New Roman" w:hAnsi="Times New Roman"/>
          <w:lang w:eastAsia="en-GB"/>
        </w:rPr>
        <w:t>laimant was nominal at best, the duration of any delay was minimal, there was no bad faith, the delay was not deliberate and there was no lasting breach of consequence</w:t>
      </w:r>
      <w:r w:rsidR="00D209E9">
        <w:rPr>
          <w:rFonts w:ascii="Times New Roman" w:hAnsi="Times New Roman"/>
          <w:lang w:eastAsia="en-GB"/>
        </w:rPr>
        <w:t xml:space="preserve"> [and</w:t>
      </w:r>
      <w:r w:rsidR="00822AB9" w:rsidRPr="00602F08">
        <w:rPr>
          <w:rFonts w:ascii="Times New Roman" w:hAnsi="Times New Roman"/>
          <w:lang w:eastAsia="en-GB"/>
        </w:rPr>
        <w:t xml:space="preserve"> </w:t>
      </w:r>
      <w:r w:rsidR="00D209E9">
        <w:rPr>
          <w:rFonts w:ascii="Times New Roman" w:hAnsi="Times New Roman"/>
          <w:lang w:eastAsia="en-GB"/>
        </w:rPr>
        <w:t>as]</w:t>
      </w:r>
      <w:r w:rsidR="00822AB9" w:rsidRPr="00602F08">
        <w:rPr>
          <w:rFonts w:ascii="Times New Roman" w:hAnsi="Times New Roman"/>
          <w:lang w:eastAsia="en-GB"/>
        </w:rPr>
        <w:t xml:space="preserve"> such, a declaration in each Claimant’s case is sufficient to afford ‘just satisfaction’</w:t>
      </w:r>
      <w:r w:rsidR="0085008D" w:rsidRPr="00602F08">
        <w:rPr>
          <w:rFonts w:ascii="Times New Roman" w:hAnsi="Times New Roman"/>
          <w:lang w:eastAsia="en-GB"/>
        </w:rPr>
        <w:t>”</w:t>
      </w:r>
      <w:r w:rsidR="00822AB9" w:rsidRPr="00602F08">
        <w:rPr>
          <w:rFonts w:ascii="Times New Roman" w:hAnsi="Times New Roman"/>
          <w:lang w:eastAsia="en-GB"/>
        </w:rPr>
        <w:t>.</w:t>
      </w:r>
      <w:r w:rsidR="00C65E55" w:rsidRPr="00602F08">
        <w:rPr>
          <w:rFonts w:ascii="Times New Roman" w:hAnsi="Times New Roman"/>
          <w:lang w:eastAsia="en-GB"/>
        </w:rPr>
        <w:t xml:space="preserve"> Mr Tam QC </w:t>
      </w:r>
      <w:r w:rsidR="00C96D49" w:rsidRPr="00602F08">
        <w:rPr>
          <w:rFonts w:ascii="Times New Roman" w:hAnsi="Times New Roman"/>
          <w:lang w:eastAsia="en-GB"/>
        </w:rPr>
        <w:t xml:space="preserve">urged in oral argument that </w:t>
      </w:r>
      <w:r w:rsidR="007C1A03" w:rsidRPr="00602F08">
        <w:rPr>
          <w:rFonts w:ascii="Times New Roman" w:hAnsi="Times New Roman"/>
          <w:lang w:eastAsia="en-GB"/>
        </w:rPr>
        <w:t>the present cas</w:t>
      </w:r>
      <w:r w:rsidR="009E53EF" w:rsidRPr="00602F08">
        <w:rPr>
          <w:rFonts w:ascii="Times New Roman" w:hAnsi="Times New Roman"/>
          <w:lang w:eastAsia="en-GB"/>
        </w:rPr>
        <w:t>es were</w:t>
      </w:r>
      <w:r w:rsidR="007C1A03" w:rsidRPr="00602F08">
        <w:rPr>
          <w:rFonts w:ascii="Times New Roman" w:hAnsi="Times New Roman"/>
          <w:lang w:eastAsia="en-GB"/>
        </w:rPr>
        <w:t xml:space="preserve"> not </w:t>
      </w:r>
      <w:r w:rsidR="009E53EF" w:rsidRPr="00602F08">
        <w:rPr>
          <w:rFonts w:ascii="Times New Roman" w:hAnsi="Times New Roman"/>
          <w:lang w:eastAsia="en-GB"/>
        </w:rPr>
        <w:t>equivalent to the St</w:t>
      </w:r>
      <w:r w:rsidR="00326B1A" w:rsidRPr="00602F08">
        <w:rPr>
          <w:rFonts w:ascii="Times New Roman" w:hAnsi="Times New Roman"/>
          <w:lang w:eastAsia="en-GB"/>
        </w:rPr>
        <w:t>at</w:t>
      </w:r>
      <w:r w:rsidR="009E53EF" w:rsidRPr="00602F08">
        <w:rPr>
          <w:rFonts w:ascii="Times New Roman" w:hAnsi="Times New Roman"/>
          <w:lang w:eastAsia="en-GB"/>
        </w:rPr>
        <w:t>e withdrawing support to someone who was suffering.</w:t>
      </w:r>
    </w:p>
    <w:p w14:paraId="70C9CDD4" w14:textId="77777777" w:rsidR="003F3C84" w:rsidRPr="00602F08" w:rsidRDefault="003F3C84" w:rsidP="00B6212D">
      <w:pPr>
        <w:pStyle w:val="ListParagraph"/>
        <w:shd w:val="clear" w:color="auto" w:fill="FFFFFF"/>
        <w:spacing w:before="100" w:beforeAutospacing="1" w:after="100" w:afterAutospacing="1"/>
        <w:ind w:left="687"/>
        <w:jc w:val="both"/>
        <w:textAlignment w:val="baseline"/>
        <w:rPr>
          <w:rFonts w:ascii="Times New Roman" w:hAnsi="Times New Roman"/>
          <w:lang w:eastAsia="en-GB"/>
        </w:rPr>
      </w:pPr>
    </w:p>
    <w:p w14:paraId="01E54C26" w14:textId="2CADEF2E" w:rsidR="00822AB9" w:rsidRPr="00602F08" w:rsidRDefault="00930C7C" w:rsidP="00B6212D">
      <w:pPr>
        <w:pStyle w:val="ListParagraph"/>
        <w:numPr>
          <w:ilvl w:val="0"/>
          <w:numId w:val="10"/>
        </w:numPr>
        <w:shd w:val="clear" w:color="auto" w:fill="FFFFFF"/>
        <w:spacing w:before="100" w:beforeAutospacing="1" w:after="100" w:afterAutospacing="1"/>
        <w:jc w:val="both"/>
        <w:textAlignment w:val="baseline"/>
        <w:rPr>
          <w:rFonts w:ascii="Times New Roman" w:hAnsi="Times New Roman"/>
          <w:lang w:eastAsia="en-GB"/>
        </w:rPr>
      </w:pPr>
      <w:r w:rsidRPr="00602F08">
        <w:rPr>
          <w:rFonts w:ascii="Times New Roman" w:hAnsi="Times New Roman"/>
          <w:lang w:eastAsia="en-GB"/>
        </w:rPr>
        <w:t>In my judgment</w:t>
      </w:r>
      <w:r w:rsidR="00EB05D9" w:rsidRPr="00602F08">
        <w:rPr>
          <w:rFonts w:ascii="Times New Roman" w:hAnsi="Times New Roman"/>
          <w:lang w:eastAsia="en-GB"/>
        </w:rPr>
        <w:t xml:space="preserve"> harm was suffered b</w:t>
      </w:r>
      <w:r w:rsidR="00D30643" w:rsidRPr="00602F08">
        <w:rPr>
          <w:rFonts w:ascii="Times New Roman" w:hAnsi="Times New Roman"/>
          <w:lang w:eastAsia="en-GB"/>
        </w:rPr>
        <w:t>y reason of</w:t>
      </w:r>
      <w:r w:rsidR="00EB05D9" w:rsidRPr="00602F08">
        <w:rPr>
          <w:rFonts w:ascii="Times New Roman" w:hAnsi="Times New Roman"/>
          <w:lang w:eastAsia="en-GB"/>
        </w:rPr>
        <w:t xml:space="preserve"> delay</w:t>
      </w:r>
      <w:r w:rsidR="00191C80">
        <w:rPr>
          <w:rFonts w:ascii="Times New Roman" w:hAnsi="Times New Roman"/>
          <w:lang w:eastAsia="en-GB"/>
        </w:rPr>
        <w:t>, and to vulnerable people</w:t>
      </w:r>
      <w:r w:rsidR="00C96D49" w:rsidRPr="00602F08">
        <w:rPr>
          <w:rFonts w:ascii="Times New Roman" w:hAnsi="Times New Roman"/>
          <w:lang w:eastAsia="en-GB"/>
        </w:rPr>
        <w:t>. T</w:t>
      </w:r>
      <w:r w:rsidRPr="00602F08">
        <w:rPr>
          <w:rFonts w:ascii="Times New Roman" w:hAnsi="Times New Roman"/>
          <w:lang w:eastAsia="en-GB"/>
        </w:rPr>
        <w:t>h</w:t>
      </w:r>
      <w:r w:rsidR="00704ECB" w:rsidRPr="00602F08">
        <w:rPr>
          <w:rFonts w:ascii="Times New Roman" w:hAnsi="Times New Roman"/>
          <w:lang w:eastAsia="en-GB"/>
        </w:rPr>
        <w:t>e harm suffered was not nominal and the delay was far from mini</w:t>
      </w:r>
      <w:r w:rsidR="007B52C9" w:rsidRPr="00602F08">
        <w:rPr>
          <w:rFonts w:ascii="Times New Roman" w:hAnsi="Times New Roman"/>
          <w:lang w:eastAsia="en-GB"/>
        </w:rPr>
        <w:t>m</w:t>
      </w:r>
      <w:r w:rsidR="00704ECB" w:rsidRPr="00602F08">
        <w:rPr>
          <w:rFonts w:ascii="Times New Roman" w:hAnsi="Times New Roman"/>
          <w:lang w:eastAsia="en-GB"/>
        </w:rPr>
        <w:t>al</w:t>
      </w:r>
      <w:r w:rsidR="007B52C9" w:rsidRPr="00602F08">
        <w:rPr>
          <w:rFonts w:ascii="Times New Roman" w:hAnsi="Times New Roman"/>
          <w:lang w:eastAsia="en-GB"/>
        </w:rPr>
        <w:t>. I accept that there was no bad faith. The delay was not deliberate</w:t>
      </w:r>
      <w:r w:rsidR="00903A75" w:rsidRPr="00602F08">
        <w:rPr>
          <w:rFonts w:ascii="Times New Roman" w:hAnsi="Times New Roman"/>
          <w:lang w:eastAsia="en-GB"/>
        </w:rPr>
        <w:t>,</w:t>
      </w:r>
      <w:r w:rsidR="007B52C9" w:rsidRPr="00602F08">
        <w:rPr>
          <w:rFonts w:ascii="Times New Roman" w:hAnsi="Times New Roman"/>
          <w:lang w:eastAsia="en-GB"/>
        </w:rPr>
        <w:t xml:space="preserve"> but it </w:t>
      </w:r>
      <w:r w:rsidR="005A6FCE" w:rsidRPr="00602F08">
        <w:rPr>
          <w:rFonts w:ascii="Times New Roman" w:hAnsi="Times New Roman"/>
          <w:lang w:eastAsia="en-GB"/>
        </w:rPr>
        <w:t>persisted and there was a choice not to do more about it.</w:t>
      </w:r>
      <w:r w:rsidR="00822AB9" w:rsidRPr="00602F08">
        <w:rPr>
          <w:rFonts w:ascii="Times New Roman" w:hAnsi="Times New Roman"/>
          <w:lang w:eastAsia="en-GB"/>
        </w:rPr>
        <w:t xml:space="preserve"> </w:t>
      </w:r>
      <w:r w:rsidR="00C32FA2" w:rsidRPr="00602F08">
        <w:rPr>
          <w:rFonts w:ascii="Times New Roman" w:hAnsi="Times New Roman"/>
          <w:lang w:eastAsia="en-GB"/>
        </w:rPr>
        <w:t>An award of damages is necessary but t</w:t>
      </w:r>
      <w:r w:rsidR="00560EA0" w:rsidRPr="00602F08">
        <w:rPr>
          <w:rFonts w:ascii="Times New Roman" w:hAnsi="Times New Roman"/>
          <w:lang w:eastAsia="en-GB"/>
        </w:rPr>
        <w:t>aken with the declarations, a</w:t>
      </w:r>
      <w:r w:rsidR="00822AB9" w:rsidRPr="00602F08">
        <w:rPr>
          <w:rFonts w:ascii="Times New Roman" w:hAnsi="Times New Roman"/>
          <w:lang w:eastAsia="en-GB"/>
        </w:rPr>
        <w:t xml:space="preserve"> </w:t>
      </w:r>
      <w:r w:rsidR="003A1080" w:rsidRPr="00602F08">
        <w:rPr>
          <w:rFonts w:ascii="Times New Roman" w:hAnsi="Times New Roman"/>
          <w:lang w:eastAsia="en-GB"/>
        </w:rPr>
        <w:t>non-</w:t>
      </w:r>
      <w:r w:rsidR="00822AB9" w:rsidRPr="00602F08">
        <w:rPr>
          <w:rFonts w:ascii="Times New Roman" w:hAnsi="Times New Roman"/>
          <w:lang w:eastAsia="en-GB"/>
        </w:rPr>
        <w:t xml:space="preserve">nominal award of £1,000 </w:t>
      </w:r>
      <w:r w:rsidR="00AE0E15" w:rsidRPr="00602F08">
        <w:rPr>
          <w:rFonts w:ascii="Times New Roman" w:hAnsi="Times New Roman"/>
          <w:lang w:eastAsia="en-GB"/>
        </w:rPr>
        <w:t xml:space="preserve">to each </w:t>
      </w:r>
      <w:r w:rsidR="00560EA0" w:rsidRPr="00602F08">
        <w:rPr>
          <w:rFonts w:ascii="Times New Roman" w:hAnsi="Times New Roman"/>
          <w:lang w:eastAsia="en-GB"/>
        </w:rPr>
        <w:t>claimant</w:t>
      </w:r>
      <w:r w:rsidR="008551D6" w:rsidRPr="00602F08">
        <w:rPr>
          <w:rFonts w:ascii="Times New Roman" w:hAnsi="Times New Roman"/>
          <w:lang w:eastAsia="en-GB"/>
        </w:rPr>
        <w:t xml:space="preserve"> who claims damages</w:t>
      </w:r>
      <w:r w:rsidR="00AE0E15" w:rsidRPr="00602F08">
        <w:rPr>
          <w:rFonts w:ascii="Times New Roman" w:hAnsi="Times New Roman"/>
          <w:lang w:eastAsia="en-GB"/>
        </w:rPr>
        <w:t xml:space="preserve"> </w:t>
      </w:r>
      <w:r w:rsidR="005A6FCE" w:rsidRPr="00602F08">
        <w:rPr>
          <w:rFonts w:ascii="Times New Roman" w:hAnsi="Times New Roman"/>
          <w:lang w:eastAsia="en-GB"/>
        </w:rPr>
        <w:t>is</w:t>
      </w:r>
      <w:r w:rsidR="00822AB9" w:rsidRPr="00602F08">
        <w:rPr>
          <w:rFonts w:ascii="Times New Roman" w:hAnsi="Times New Roman"/>
          <w:lang w:eastAsia="en-GB"/>
        </w:rPr>
        <w:t xml:space="preserve"> sufficient </w:t>
      </w:r>
      <w:r w:rsidR="00560EA0" w:rsidRPr="00602F08">
        <w:rPr>
          <w:rFonts w:ascii="Times New Roman" w:hAnsi="Times New Roman"/>
          <w:lang w:eastAsia="en-GB"/>
        </w:rPr>
        <w:t>for</w:t>
      </w:r>
      <w:r w:rsidR="00822AB9" w:rsidRPr="00602F08">
        <w:rPr>
          <w:rFonts w:ascii="Times New Roman" w:hAnsi="Times New Roman"/>
          <w:lang w:eastAsia="en-GB"/>
        </w:rPr>
        <w:t xml:space="preserve"> ‘just satisfaction’. </w:t>
      </w:r>
      <w:r w:rsidR="00903A75" w:rsidRPr="00602F08">
        <w:rPr>
          <w:rFonts w:ascii="Times New Roman" w:hAnsi="Times New Roman"/>
          <w:lang w:eastAsia="en-GB"/>
        </w:rPr>
        <w:t>The case is not about money. It is the declarations that matter</w:t>
      </w:r>
      <w:r w:rsidR="0085008D" w:rsidRPr="00602F08">
        <w:rPr>
          <w:rFonts w:ascii="Times New Roman" w:hAnsi="Times New Roman"/>
          <w:lang w:eastAsia="en-GB"/>
        </w:rPr>
        <w:t>.</w:t>
      </w:r>
    </w:p>
    <w:p w14:paraId="6EF9F05F" w14:textId="0F110C55" w:rsidR="000D5BD1" w:rsidRPr="00602F08" w:rsidRDefault="000D5BD1" w:rsidP="00B6212D">
      <w:pPr>
        <w:shd w:val="clear" w:color="auto" w:fill="FFFFFF"/>
        <w:spacing w:before="100" w:beforeAutospacing="1" w:after="100" w:afterAutospacing="1"/>
        <w:jc w:val="both"/>
        <w:textAlignment w:val="baseline"/>
        <w:rPr>
          <w:lang w:eastAsia="en-GB"/>
        </w:rPr>
      </w:pPr>
    </w:p>
    <w:p w14:paraId="1A083BC8" w14:textId="0E564786" w:rsidR="000D5BD1" w:rsidRPr="00602F08" w:rsidRDefault="008551D6" w:rsidP="00B6212D">
      <w:pPr>
        <w:pStyle w:val="BodyText"/>
        <w:jc w:val="both"/>
        <w:rPr>
          <w:rStyle w:val="normaltextrun"/>
          <w:b/>
          <w:bCs/>
          <w:u w:val="single"/>
        </w:rPr>
      </w:pPr>
      <w:r w:rsidRPr="00602F08">
        <w:rPr>
          <w:rStyle w:val="normaltextrun"/>
          <w:b/>
          <w:bCs/>
          <w:u w:val="single"/>
        </w:rPr>
        <w:t>R</w:t>
      </w:r>
      <w:r w:rsidR="000D5BD1" w:rsidRPr="00602F08">
        <w:rPr>
          <w:rStyle w:val="normaltextrun"/>
          <w:b/>
          <w:bCs/>
          <w:u w:val="single"/>
        </w:rPr>
        <w:t>eflections</w:t>
      </w:r>
    </w:p>
    <w:p w14:paraId="48EA319C" w14:textId="77777777" w:rsidR="000D5BD1" w:rsidRPr="00602F08" w:rsidRDefault="000D5BD1" w:rsidP="00B6212D">
      <w:pPr>
        <w:jc w:val="both"/>
      </w:pPr>
    </w:p>
    <w:p w14:paraId="3EFFF60E" w14:textId="64BA5D10" w:rsidR="008F23EE" w:rsidRPr="008F23EE" w:rsidRDefault="001E2C5A" w:rsidP="00B6212D">
      <w:pPr>
        <w:pStyle w:val="ListParagraph"/>
        <w:numPr>
          <w:ilvl w:val="0"/>
          <w:numId w:val="10"/>
        </w:numPr>
        <w:jc w:val="both"/>
        <w:rPr>
          <w:rStyle w:val="normaltextrun"/>
          <w:rFonts w:ascii="Times New Roman" w:hAnsi="Times New Roman"/>
        </w:rPr>
      </w:pPr>
      <w:r>
        <w:rPr>
          <w:rStyle w:val="normaltextrun"/>
          <w:rFonts w:ascii="Times New Roman" w:hAnsi="Times New Roman"/>
        </w:rPr>
        <w:t>In the result</w:t>
      </w:r>
      <w:r w:rsidR="00A8781F">
        <w:rPr>
          <w:rStyle w:val="normaltextrun"/>
          <w:rFonts w:ascii="Times New Roman" w:hAnsi="Times New Roman"/>
        </w:rPr>
        <w:t>,</w:t>
      </w:r>
      <w:r w:rsidR="00AF7028">
        <w:rPr>
          <w:rStyle w:val="normaltextrun"/>
          <w:rFonts w:ascii="Times New Roman" w:hAnsi="Times New Roman"/>
        </w:rPr>
        <w:t xml:space="preserve"> </w:t>
      </w:r>
      <w:r w:rsidR="00A8781F">
        <w:rPr>
          <w:rStyle w:val="normaltextrun"/>
          <w:rFonts w:ascii="Times New Roman" w:hAnsi="Times New Roman"/>
        </w:rPr>
        <w:t>th</w:t>
      </w:r>
      <w:r w:rsidR="009C399D">
        <w:rPr>
          <w:rStyle w:val="normaltextrun"/>
          <w:rFonts w:ascii="Times New Roman" w:hAnsi="Times New Roman"/>
        </w:rPr>
        <w:t>is litigation</w:t>
      </w:r>
      <w:r w:rsidR="00A8781F">
        <w:rPr>
          <w:rStyle w:val="normaltextrun"/>
          <w:rFonts w:ascii="Times New Roman" w:hAnsi="Times New Roman"/>
        </w:rPr>
        <w:t xml:space="preserve"> shows </w:t>
      </w:r>
      <w:r w:rsidR="00AF7028">
        <w:rPr>
          <w:rStyle w:val="normaltextrun"/>
          <w:rFonts w:ascii="Times New Roman" w:hAnsi="Times New Roman"/>
        </w:rPr>
        <w:t xml:space="preserve">monitoring </w:t>
      </w:r>
      <w:r w:rsidR="00792CE1">
        <w:rPr>
          <w:rStyle w:val="normaltextrun"/>
          <w:rFonts w:ascii="Times New Roman" w:hAnsi="Times New Roman"/>
        </w:rPr>
        <w:t>(here</w:t>
      </w:r>
      <w:r w:rsidR="00D262D9">
        <w:rPr>
          <w:rStyle w:val="normaltextrun"/>
          <w:rFonts w:ascii="Times New Roman" w:hAnsi="Times New Roman"/>
        </w:rPr>
        <w:t>,</w:t>
      </w:r>
      <w:r w:rsidR="00792CE1">
        <w:rPr>
          <w:rStyle w:val="normaltextrun"/>
          <w:rFonts w:ascii="Times New Roman" w:hAnsi="Times New Roman"/>
        </w:rPr>
        <w:t xml:space="preserve"> of </w:t>
      </w:r>
      <w:r w:rsidR="00920C71">
        <w:rPr>
          <w:rStyle w:val="normaltextrun"/>
          <w:rFonts w:ascii="Times New Roman" w:hAnsi="Times New Roman"/>
        </w:rPr>
        <w:t xml:space="preserve">provision) </w:t>
      </w:r>
      <w:r w:rsidR="00A8781F">
        <w:rPr>
          <w:rStyle w:val="normaltextrun"/>
          <w:rFonts w:ascii="Times New Roman" w:hAnsi="Times New Roman"/>
        </w:rPr>
        <w:t xml:space="preserve">that </w:t>
      </w:r>
      <w:r w:rsidR="00992F1A">
        <w:rPr>
          <w:rStyle w:val="normaltextrun"/>
          <w:rFonts w:ascii="Times New Roman" w:hAnsi="Times New Roman"/>
        </w:rPr>
        <w:t xml:space="preserve">could </w:t>
      </w:r>
      <w:r w:rsidR="000139F4">
        <w:rPr>
          <w:rStyle w:val="normaltextrun"/>
          <w:rFonts w:ascii="Times New Roman" w:hAnsi="Times New Roman"/>
        </w:rPr>
        <w:t xml:space="preserve">not </w:t>
      </w:r>
      <w:r w:rsidR="00992F1A">
        <w:rPr>
          <w:rStyle w:val="normaltextrun"/>
          <w:rFonts w:ascii="Times New Roman" w:hAnsi="Times New Roman"/>
        </w:rPr>
        <w:t>be readily accessed</w:t>
      </w:r>
      <w:r w:rsidR="001B2707">
        <w:rPr>
          <w:rStyle w:val="normaltextrun"/>
          <w:rFonts w:ascii="Times New Roman" w:hAnsi="Times New Roman"/>
        </w:rPr>
        <w:t xml:space="preserve">, and </w:t>
      </w:r>
      <w:r w:rsidR="0036182D">
        <w:rPr>
          <w:rStyle w:val="normaltextrun"/>
          <w:rFonts w:ascii="Times New Roman" w:hAnsi="Times New Roman"/>
        </w:rPr>
        <w:t>then where</w:t>
      </w:r>
      <w:r w:rsidR="001B2707">
        <w:rPr>
          <w:rStyle w:val="normaltextrun"/>
          <w:rFonts w:ascii="Times New Roman" w:hAnsi="Times New Roman"/>
        </w:rPr>
        <w:t xml:space="preserve"> accessed </w:t>
      </w:r>
      <w:r w:rsidR="0036182D">
        <w:rPr>
          <w:rStyle w:val="normaltextrun"/>
          <w:rFonts w:ascii="Times New Roman" w:hAnsi="Times New Roman"/>
        </w:rPr>
        <w:t xml:space="preserve">was thought to show that things were </w:t>
      </w:r>
      <w:r w:rsidR="000139F4">
        <w:rPr>
          <w:rStyle w:val="normaltextrun"/>
          <w:rFonts w:ascii="Times New Roman" w:hAnsi="Times New Roman"/>
        </w:rPr>
        <w:t>working when they were not</w:t>
      </w:r>
      <w:r w:rsidR="007A3507">
        <w:rPr>
          <w:rStyle w:val="normaltextrun"/>
          <w:rFonts w:ascii="Times New Roman" w:hAnsi="Times New Roman"/>
        </w:rPr>
        <w:t xml:space="preserve"> working</w:t>
      </w:r>
      <w:r w:rsidR="000139F4">
        <w:rPr>
          <w:rStyle w:val="normaltextrun"/>
          <w:rFonts w:ascii="Times New Roman" w:hAnsi="Times New Roman"/>
        </w:rPr>
        <w:t xml:space="preserve">. It also shows </w:t>
      </w:r>
      <w:r w:rsidR="007A3507">
        <w:rPr>
          <w:rStyle w:val="normaltextrun"/>
          <w:rFonts w:ascii="Times New Roman" w:hAnsi="Times New Roman"/>
        </w:rPr>
        <w:t xml:space="preserve">an absence of monitoring </w:t>
      </w:r>
      <w:r w:rsidR="00792CE1">
        <w:rPr>
          <w:rStyle w:val="normaltextrun"/>
          <w:rFonts w:ascii="Times New Roman" w:hAnsi="Times New Roman"/>
        </w:rPr>
        <w:t xml:space="preserve">(here, of disability) </w:t>
      </w:r>
      <w:r w:rsidR="00932555">
        <w:rPr>
          <w:rStyle w:val="normaltextrun"/>
          <w:rFonts w:ascii="Times New Roman" w:hAnsi="Times New Roman"/>
        </w:rPr>
        <w:t xml:space="preserve">with the result that </w:t>
      </w:r>
      <w:r w:rsidR="00C8080C">
        <w:rPr>
          <w:rStyle w:val="normaltextrun"/>
          <w:rFonts w:ascii="Times New Roman" w:hAnsi="Times New Roman"/>
        </w:rPr>
        <w:t xml:space="preserve">things were not known at all. </w:t>
      </w:r>
      <w:r w:rsidR="009C399D">
        <w:rPr>
          <w:rStyle w:val="normaltextrun"/>
          <w:rFonts w:ascii="Times New Roman" w:hAnsi="Times New Roman"/>
        </w:rPr>
        <w:t>This all highlights the impo</w:t>
      </w:r>
      <w:r w:rsidR="00D70B45">
        <w:rPr>
          <w:rStyle w:val="normaltextrun"/>
          <w:rFonts w:ascii="Times New Roman" w:hAnsi="Times New Roman"/>
        </w:rPr>
        <w:t xml:space="preserve">rtance of taking monitoring </w:t>
      </w:r>
      <w:r w:rsidR="001713DC">
        <w:rPr>
          <w:rFonts w:ascii="Times New Roman" w:hAnsi="Times New Roman"/>
        </w:rPr>
        <w:t xml:space="preserve">(including collection and capture of data, and evaluation) </w:t>
      </w:r>
      <w:r w:rsidR="00726FE0">
        <w:rPr>
          <w:rStyle w:val="normaltextrun"/>
          <w:rFonts w:ascii="Times New Roman" w:hAnsi="Times New Roman"/>
        </w:rPr>
        <w:t xml:space="preserve">very </w:t>
      </w:r>
      <w:r w:rsidR="00D70B45">
        <w:rPr>
          <w:rStyle w:val="normaltextrun"/>
          <w:rFonts w:ascii="Times New Roman" w:hAnsi="Times New Roman"/>
        </w:rPr>
        <w:t>seriously</w:t>
      </w:r>
      <w:r w:rsidR="00962154">
        <w:rPr>
          <w:rStyle w:val="normaltextrun"/>
          <w:rFonts w:ascii="Times New Roman" w:hAnsi="Times New Roman"/>
        </w:rPr>
        <w:t xml:space="preserve"> and doing it well</w:t>
      </w:r>
      <w:r w:rsidR="00D70B45">
        <w:rPr>
          <w:rStyle w:val="normaltextrun"/>
          <w:rFonts w:ascii="Times New Roman" w:hAnsi="Times New Roman"/>
        </w:rPr>
        <w:t>.</w:t>
      </w:r>
    </w:p>
    <w:p w14:paraId="1DCAAC2F" w14:textId="77777777" w:rsidR="008F23EE" w:rsidRPr="008F23EE" w:rsidRDefault="008F23EE" w:rsidP="008F23EE">
      <w:pPr>
        <w:pStyle w:val="ListParagraph"/>
        <w:ind w:left="687"/>
        <w:jc w:val="both"/>
        <w:rPr>
          <w:rStyle w:val="normaltextrun"/>
          <w:rFonts w:ascii="Times New Roman" w:hAnsi="Times New Roman"/>
        </w:rPr>
      </w:pPr>
    </w:p>
    <w:p w14:paraId="51A89E02" w14:textId="429A67B7" w:rsidR="00A23CBC" w:rsidRPr="00602F08" w:rsidRDefault="00A23CBC"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lang w:val="en-US"/>
        </w:rPr>
        <w:t>It will be clear</w:t>
      </w:r>
      <w:r w:rsidR="00D75C44">
        <w:rPr>
          <w:rStyle w:val="normaltextrun"/>
          <w:rFonts w:ascii="Times New Roman" w:hAnsi="Times New Roman"/>
          <w:lang w:val="en-US"/>
        </w:rPr>
        <w:t xml:space="preserve">, </w:t>
      </w:r>
      <w:r w:rsidR="00873B2B">
        <w:rPr>
          <w:rStyle w:val="normaltextrun"/>
          <w:rFonts w:ascii="Times New Roman" w:hAnsi="Times New Roman"/>
          <w:lang w:val="en-US"/>
        </w:rPr>
        <w:t xml:space="preserve">as noted and here </w:t>
      </w:r>
      <w:r w:rsidR="00163BCD" w:rsidRPr="00602F08">
        <w:rPr>
          <w:rStyle w:val="normaltextrun"/>
          <w:rFonts w:ascii="Times New Roman" w:hAnsi="Times New Roman"/>
          <w:lang w:val="en-US"/>
        </w:rPr>
        <w:t>as a</w:t>
      </w:r>
      <w:r w:rsidR="00856BB7">
        <w:rPr>
          <w:rStyle w:val="normaltextrun"/>
          <w:rFonts w:ascii="Times New Roman" w:hAnsi="Times New Roman"/>
          <w:lang w:val="en-US"/>
        </w:rPr>
        <w:t>n intensely</w:t>
      </w:r>
      <w:r w:rsidR="00163BCD" w:rsidRPr="00602F08">
        <w:rPr>
          <w:rStyle w:val="normaltextrun"/>
          <w:rFonts w:ascii="Times New Roman" w:hAnsi="Times New Roman"/>
          <w:lang w:val="en-US"/>
        </w:rPr>
        <w:t xml:space="preserve"> practical point</w:t>
      </w:r>
      <w:r w:rsidR="00856BB7">
        <w:rPr>
          <w:rStyle w:val="normaltextrun"/>
          <w:rFonts w:ascii="Times New Roman" w:hAnsi="Times New Roman"/>
          <w:lang w:val="en-US"/>
        </w:rPr>
        <w:t>,</w:t>
      </w:r>
      <w:r w:rsidR="00163BCD" w:rsidRPr="00602F08">
        <w:rPr>
          <w:rStyle w:val="normaltextrun"/>
          <w:rFonts w:ascii="Times New Roman" w:hAnsi="Times New Roman"/>
          <w:lang w:val="en-US"/>
        </w:rPr>
        <w:t xml:space="preserve"> </w:t>
      </w:r>
      <w:r w:rsidRPr="00602F08">
        <w:rPr>
          <w:rStyle w:val="normaltextrun"/>
          <w:rFonts w:ascii="Times New Roman" w:hAnsi="Times New Roman"/>
          <w:lang w:val="en-US"/>
        </w:rPr>
        <w:t xml:space="preserve">that the challenges </w:t>
      </w:r>
      <w:r w:rsidR="00633CED" w:rsidRPr="00602F08">
        <w:rPr>
          <w:rStyle w:val="normaltextrun"/>
          <w:rFonts w:ascii="Times New Roman" w:hAnsi="Times New Roman"/>
          <w:lang w:val="en-US"/>
        </w:rPr>
        <w:t xml:space="preserve">facing the Secretary of State </w:t>
      </w:r>
      <w:r w:rsidR="006B68BB">
        <w:rPr>
          <w:rStyle w:val="normaltextrun"/>
          <w:rFonts w:ascii="Times New Roman" w:hAnsi="Times New Roman"/>
          <w:lang w:val="en-US"/>
        </w:rPr>
        <w:t>and</w:t>
      </w:r>
      <w:r w:rsidR="00D656ED" w:rsidRPr="00602F08">
        <w:rPr>
          <w:rStyle w:val="normaltextrun"/>
          <w:rFonts w:ascii="Times New Roman" w:hAnsi="Times New Roman"/>
          <w:lang w:val="en-US"/>
        </w:rPr>
        <w:t xml:space="preserve"> her officials </w:t>
      </w:r>
      <w:r w:rsidR="00633CED" w:rsidRPr="00602F08">
        <w:rPr>
          <w:rStyle w:val="normaltextrun"/>
          <w:rFonts w:ascii="Times New Roman" w:hAnsi="Times New Roman"/>
          <w:lang w:val="en-US"/>
        </w:rPr>
        <w:t>in</w:t>
      </w:r>
      <w:r w:rsidR="00402C39" w:rsidRPr="00602F08">
        <w:rPr>
          <w:rStyle w:val="normaltextrun"/>
          <w:rFonts w:ascii="Times New Roman" w:hAnsi="Times New Roman"/>
          <w:lang w:val="en-US"/>
        </w:rPr>
        <w:t xml:space="preserve"> providing section 4</w:t>
      </w:r>
      <w:r w:rsidR="00945F2E" w:rsidRPr="00602F08">
        <w:rPr>
          <w:rStyle w:val="normaltextrun"/>
          <w:rFonts w:ascii="Times New Roman" w:hAnsi="Times New Roman"/>
          <w:lang w:val="en-US"/>
        </w:rPr>
        <w:t>(2)</w:t>
      </w:r>
      <w:r w:rsidR="00402C39" w:rsidRPr="00602F08">
        <w:rPr>
          <w:rStyle w:val="normaltextrun"/>
          <w:rFonts w:ascii="Times New Roman" w:hAnsi="Times New Roman"/>
          <w:lang w:val="en-US"/>
        </w:rPr>
        <w:t xml:space="preserve"> accommodation </w:t>
      </w:r>
      <w:r w:rsidR="00633CED" w:rsidRPr="00602F08">
        <w:rPr>
          <w:rStyle w:val="normaltextrun"/>
          <w:rFonts w:ascii="Times New Roman" w:hAnsi="Times New Roman"/>
          <w:lang w:val="en-US"/>
        </w:rPr>
        <w:t>are made more difficult</w:t>
      </w:r>
      <w:r w:rsidRPr="00602F08">
        <w:rPr>
          <w:rStyle w:val="normaltextrun"/>
          <w:rFonts w:ascii="Times New Roman" w:hAnsi="Times New Roman"/>
          <w:lang w:val="en-US"/>
        </w:rPr>
        <w:t xml:space="preserve"> where</w:t>
      </w:r>
      <w:r w:rsidR="00873B2B">
        <w:rPr>
          <w:rStyle w:val="normaltextrun"/>
          <w:rFonts w:ascii="Times New Roman" w:hAnsi="Times New Roman"/>
          <w:lang w:val="en-US"/>
        </w:rPr>
        <w:t xml:space="preserve"> </w:t>
      </w:r>
      <w:r w:rsidRPr="00602F08">
        <w:rPr>
          <w:rStyle w:val="normaltextrun"/>
          <w:rFonts w:ascii="Times New Roman" w:hAnsi="Times New Roman"/>
          <w:lang w:val="en-US"/>
        </w:rPr>
        <w:t>the system</w:t>
      </w:r>
      <w:r w:rsidR="00310F6B" w:rsidRPr="00602F08">
        <w:rPr>
          <w:rStyle w:val="normaltextrun"/>
          <w:rFonts w:ascii="Times New Roman" w:hAnsi="Times New Roman"/>
          <w:lang w:val="en-US"/>
        </w:rPr>
        <w:t xml:space="preserve"> is designed</w:t>
      </w:r>
      <w:r w:rsidRPr="00602F08">
        <w:rPr>
          <w:rStyle w:val="normaltextrun"/>
          <w:rFonts w:ascii="Times New Roman" w:hAnsi="Times New Roman"/>
          <w:lang w:val="en-US"/>
        </w:rPr>
        <w:t xml:space="preserve"> </w:t>
      </w:r>
      <w:r w:rsidR="00310F6B" w:rsidRPr="00602F08">
        <w:rPr>
          <w:rStyle w:val="normaltextrun"/>
          <w:rFonts w:ascii="Times New Roman" w:hAnsi="Times New Roman"/>
          <w:lang w:val="en-US"/>
        </w:rPr>
        <w:t xml:space="preserve">to </w:t>
      </w:r>
      <w:r w:rsidRPr="00602F08">
        <w:rPr>
          <w:rStyle w:val="normaltextrun"/>
          <w:rFonts w:ascii="Times New Roman" w:hAnsi="Times New Roman"/>
          <w:lang w:val="en-US"/>
        </w:rPr>
        <w:t xml:space="preserve">act only </w:t>
      </w:r>
      <w:r w:rsidR="00402C39" w:rsidRPr="00602F08">
        <w:rPr>
          <w:rStyle w:val="normaltextrun"/>
          <w:rFonts w:ascii="Times New Roman" w:hAnsi="Times New Roman"/>
          <w:lang w:val="en-US"/>
        </w:rPr>
        <w:t xml:space="preserve">at the point </w:t>
      </w:r>
      <w:r w:rsidRPr="00602F08">
        <w:rPr>
          <w:rStyle w:val="normaltextrun"/>
          <w:rFonts w:ascii="Times New Roman" w:hAnsi="Times New Roman"/>
          <w:lang w:val="en-US"/>
        </w:rPr>
        <w:t>where the circumstances have become critical</w:t>
      </w:r>
      <w:r w:rsidR="00310F6B" w:rsidRPr="00602F08">
        <w:rPr>
          <w:rStyle w:val="normaltextrun"/>
          <w:rFonts w:ascii="Times New Roman" w:hAnsi="Times New Roman"/>
          <w:lang w:val="en-US"/>
        </w:rPr>
        <w:t>; where</w:t>
      </w:r>
      <w:r w:rsidRPr="00602F08">
        <w:rPr>
          <w:rStyle w:val="normaltextrun"/>
          <w:rFonts w:ascii="Times New Roman" w:hAnsi="Times New Roman"/>
          <w:lang w:val="en-US"/>
        </w:rPr>
        <w:t xml:space="preserve"> a breach of Article 3 is imminent and </w:t>
      </w:r>
      <w:r w:rsidR="00160920" w:rsidRPr="00602F08">
        <w:rPr>
          <w:rStyle w:val="normaltextrun"/>
          <w:rFonts w:ascii="Times New Roman" w:hAnsi="Times New Roman"/>
          <w:lang w:val="en-US"/>
        </w:rPr>
        <w:t>an individual</w:t>
      </w:r>
      <w:r w:rsidRPr="00602F08">
        <w:rPr>
          <w:rStyle w:val="normaltextrun"/>
          <w:rFonts w:ascii="Times New Roman" w:hAnsi="Times New Roman"/>
          <w:lang w:val="en-US"/>
        </w:rPr>
        <w:t xml:space="preserve"> is not permitted</w:t>
      </w:r>
      <w:r w:rsidR="00477232" w:rsidRPr="00602F08">
        <w:rPr>
          <w:rStyle w:val="normaltextrun"/>
          <w:rFonts w:ascii="Times New Roman" w:hAnsi="Times New Roman"/>
          <w:lang w:val="en-US"/>
        </w:rPr>
        <w:t xml:space="preserve"> </w:t>
      </w:r>
      <w:r w:rsidRPr="00602F08">
        <w:rPr>
          <w:rStyle w:val="normaltextrun"/>
          <w:rFonts w:ascii="Times New Roman" w:hAnsi="Times New Roman"/>
          <w:lang w:val="en-US"/>
        </w:rPr>
        <w:t xml:space="preserve">to </w:t>
      </w:r>
      <w:r w:rsidR="00914A23" w:rsidRPr="00602F08">
        <w:rPr>
          <w:rStyle w:val="normaltextrun"/>
          <w:rFonts w:ascii="Times New Roman" w:hAnsi="Times New Roman"/>
          <w:lang w:val="en-US"/>
        </w:rPr>
        <w:t xml:space="preserve">try to </w:t>
      </w:r>
      <w:r w:rsidRPr="00602F08">
        <w:rPr>
          <w:rStyle w:val="normaltextrun"/>
          <w:rFonts w:ascii="Times New Roman" w:hAnsi="Times New Roman"/>
          <w:lang w:val="en-US"/>
        </w:rPr>
        <w:t>resolve things by earning (where possible) or by recourse to public funds</w:t>
      </w:r>
      <w:r w:rsidR="003A1080" w:rsidRPr="00602F08">
        <w:rPr>
          <w:rStyle w:val="normaltextrun"/>
          <w:rFonts w:ascii="Times New Roman" w:hAnsi="Times New Roman"/>
          <w:lang w:val="en-US"/>
        </w:rPr>
        <w:t xml:space="preserve">. </w:t>
      </w:r>
    </w:p>
    <w:p w14:paraId="096956E3" w14:textId="77777777" w:rsidR="009E492B" w:rsidRPr="00602F08" w:rsidRDefault="009E492B" w:rsidP="00B6212D">
      <w:pPr>
        <w:jc w:val="both"/>
      </w:pPr>
    </w:p>
    <w:p w14:paraId="3CAD5D19" w14:textId="0E604429" w:rsidR="00A57B6C" w:rsidRPr="00602F08" w:rsidRDefault="00C3742A"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lang w:val="en-US"/>
        </w:rPr>
        <w:t>The</w:t>
      </w:r>
      <w:r w:rsidR="006B68BB">
        <w:rPr>
          <w:rStyle w:val="normaltextrun"/>
          <w:rFonts w:ascii="Times New Roman" w:hAnsi="Times New Roman"/>
          <w:lang w:val="en-US"/>
        </w:rPr>
        <w:t xml:space="preserve"> present</w:t>
      </w:r>
      <w:r w:rsidR="00630ADF" w:rsidRPr="00602F08">
        <w:rPr>
          <w:rStyle w:val="normaltextrun"/>
          <w:rFonts w:ascii="Times New Roman" w:hAnsi="Times New Roman"/>
          <w:lang w:val="en-US"/>
        </w:rPr>
        <w:t xml:space="preserve"> </w:t>
      </w:r>
      <w:r w:rsidR="00C02E63" w:rsidRPr="00602F08">
        <w:rPr>
          <w:rStyle w:val="normaltextrun"/>
          <w:rFonts w:ascii="Times New Roman" w:hAnsi="Times New Roman"/>
          <w:lang w:val="en-US"/>
        </w:rPr>
        <w:t>cases</w:t>
      </w:r>
      <w:r w:rsidR="008B5ED3" w:rsidRPr="00602F08">
        <w:rPr>
          <w:rStyle w:val="normaltextrun"/>
          <w:rFonts w:ascii="Times New Roman" w:hAnsi="Times New Roman"/>
          <w:lang w:val="en-US"/>
        </w:rPr>
        <w:t xml:space="preserve"> </w:t>
      </w:r>
      <w:r w:rsidR="00987C33" w:rsidRPr="00602F08">
        <w:rPr>
          <w:rStyle w:val="normaltextrun"/>
          <w:rFonts w:ascii="Times New Roman" w:hAnsi="Times New Roman"/>
          <w:lang w:val="en-US"/>
        </w:rPr>
        <w:t>d</w:t>
      </w:r>
      <w:r w:rsidR="00194A58">
        <w:rPr>
          <w:rStyle w:val="normaltextrun"/>
          <w:rFonts w:ascii="Times New Roman" w:hAnsi="Times New Roman"/>
          <w:lang w:val="en-US"/>
        </w:rPr>
        <w:t>id</w:t>
      </w:r>
      <w:r w:rsidR="00987C33" w:rsidRPr="00602F08">
        <w:rPr>
          <w:rStyle w:val="normaltextrun"/>
          <w:rFonts w:ascii="Times New Roman" w:hAnsi="Times New Roman"/>
          <w:lang w:val="en-US"/>
        </w:rPr>
        <w:t xml:space="preserve"> not involve the pandemic</w:t>
      </w:r>
      <w:r w:rsidR="00F04AEB" w:rsidRPr="00602F08">
        <w:rPr>
          <w:rStyle w:val="normaltextrun"/>
          <w:rFonts w:ascii="Times New Roman" w:hAnsi="Times New Roman"/>
          <w:lang w:val="en-US"/>
        </w:rPr>
        <w:t>. The pandemic</w:t>
      </w:r>
      <w:r w:rsidR="00987C33" w:rsidRPr="00602F08">
        <w:rPr>
          <w:rStyle w:val="normaltextrun"/>
          <w:rFonts w:ascii="Times New Roman" w:hAnsi="Times New Roman"/>
          <w:lang w:val="en-US"/>
        </w:rPr>
        <w:t xml:space="preserve"> will obviously have added to the practical challenges facing the Secretary of State</w:t>
      </w:r>
      <w:r w:rsidR="004529A8" w:rsidRPr="00602F08">
        <w:rPr>
          <w:rStyle w:val="normaltextrun"/>
          <w:rFonts w:ascii="Times New Roman" w:hAnsi="Times New Roman"/>
          <w:lang w:val="en-US"/>
        </w:rPr>
        <w:t xml:space="preserve"> and her officials</w:t>
      </w:r>
      <w:r w:rsidR="000860A3" w:rsidRPr="00602F08">
        <w:rPr>
          <w:rStyle w:val="normaltextrun"/>
          <w:rFonts w:ascii="Times New Roman" w:hAnsi="Times New Roman"/>
          <w:lang w:val="en-US"/>
        </w:rPr>
        <w:t xml:space="preserve">, and also </w:t>
      </w:r>
      <w:r w:rsidR="00746F02" w:rsidRPr="00602F08">
        <w:rPr>
          <w:rStyle w:val="normaltextrun"/>
          <w:rFonts w:ascii="Times New Roman" w:hAnsi="Times New Roman"/>
          <w:lang w:val="en-US"/>
        </w:rPr>
        <w:t>(as Ms Glynn discusse</w:t>
      </w:r>
      <w:r w:rsidR="001B0B1E">
        <w:rPr>
          <w:rStyle w:val="normaltextrun"/>
          <w:rFonts w:ascii="Times New Roman" w:hAnsi="Times New Roman"/>
          <w:lang w:val="en-US"/>
        </w:rPr>
        <w:t>d</w:t>
      </w:r>
      <w:r w:rsidR="00746F02" w:rsidRPr="00602F08">
        <w:rPr>
          <w:rStyle w:val="normaltextrun"/>
          <w:rFonts w:ascii="Times New Roman" w:hAnsi="Times New Roman"/>
          <w:lang w:val="en-US"/>
        </w:rPr>
        <w:t xml:space="preserve"> in her second witness statement </w:t>
      </w:r>
      <w:r w:rsidR="00630175" w:rsidRPr="00602F08">
        <w:rPr>
          <w:rStyle w:val="normaltextrun"/>
          <w:rFonts w:ascii="Times New Roman" w:hAnsi="Times New Roman"/>
          <w:lang w:val="en-US"/>
        </w:rPr>
        <w:t xml:space="preserve">made on 6 May 2020) </w:t>
      </w:r>
      <w:r w:rsidR="00D704AC">
        <w:rPr>
          <w:rStyle w:val="normaltextrun"/>
          <w:rFonts w:ascii="Times New Roman" w:hAnsi="Times New Roman"/>
          <w:lang w:val="en-US"/>
        </w:rPr>
        <w:t>for</w:t>
      </w:r>
      <w:r w:rsidR="00630175" w:rsidRPr="00602F08">
        <w:rPr>
          <w:rStyle w:val="normaltextrun"/>
          <w:rFonts w:ascii="Times New Roman" w:hAnsi="Times New Roman"/>
          <w:lang w:val="en-US"/>
        </w:rPr>
        <w:t xml:space="preserve"> </w:t>
      </w:r>
      <w:r w:rsidR="00D704AC">
        <w:rPr>
          <w:rStyle w:val="normaltextrun"/>
          <w:rFonts w:ascii="Times New Roman" w:hAnsi="Times New Roman"/>
          <w:lang w:val="en-US"/>
        </w:rPr>
        <w:t>those in need of</w:t>
      </w:r>
      <w:r w:rsidR="00630175" w:rsidRPr="00602F08">
        <w:rPr>
          <w:rStyle w:val="normaltextrun"/>
          <w:rFonts w:ascii="Times New Roman" w:hAnsi="Times New Roman"/>
          <w:lang w:val="en-US"/>
        </w:rPr>
        <w:t xml:space="preserve"> section 4 accommodation</w:t>
      </w:r>
      <w:r w:rsidR="00987C33" w:rsidRPr="00602F08">
        <w:rPr>
          <w:rStyle w:val="normaltextrun"/>
          <w:rFonts w:ascii="Times New Roman" w:hAnsi="Times New Roman"/>
          <w:lang w:val="en-US"/>
        </w:rPr>
        <w:t xml:space="preserve">. </w:t>
      </w:r>
      <w:r w:rsidR="00A043D4" w:rsidRPr="00602F08">
        <w:rPr>
          <w:rStyle w:val="normaltextrun"/>
          <w:rFonts w:ascii="Times New Roman" w:hAnsi="Times New Roman"/>
          <w:lang w:val="en-US"/>
        </w:rPr>
        <w:t>It</w:t>
      </w:r>
      <w:r w:rsidR="00B8358D" w:rsidRPr="00602F08">
        <w:rPr>
          <w:rStyle w:val="normaltextrun"/>
          <w:rFonts w:ascii="Times New Roman" w:hAnsi="Times New Roman"/>
          <w:lang w:val="en-US"/>
        </w:rPr>
        <w:t xml:space="preserve"> highlights</w:t>
      </w:r>
      <w:r w:rsidR="00CF32E9" w:rsidRPr="00602F08">
        <w:rPr>
          <w:rStyle w:val="normaltextrun"/>
          <w:rFonts w:ascii="Times New Roman" w:hAnsi="Times New Roman"/>
          <w:lang w:val="en-US"/>
        </w:rPr>
        <w:t xml:space="preserve"> </w:t>
      </w:r>
      <w:r w:rsidR="00EB6299" w:rsidRPr="00602F08">
        <w:rPr>
          <w:rStyle w:val="normaltextrun"/>
          <w:rFonts w:ascii="Times New Roman" w:hAnsi="Times New Roman"/>
          <w:lang w:val="en-US"/>
        </w:rPr>
        <w:t xml:space="preserve">further </w:t>
      </w:r>
      <w:r w:rsidR="00A215EC">
        <w:rPr>
          <w:rStyle w:val="normaltextrun"/>
          <w:rFonts w:ascii="Times New Roman" w:hAnsi="Times New Roman"/>
          <w:lang w:val="en-US"/>
        </w:rPr>
        <w:t xml:space="preserve">still </w:t>
      </w:r>
      <w:r w:rsidR="00CF32E9" w:rsidRPr="00602F08">
        <w:rPr>
          <w:rStyle w:val="normaltextrun"/>
          <w:rFonts w:ascii="Times New Roman" w:hAnsi="Times New Roman"/>
          <w:lang w:val="en-US"/>
        </w:rPr>
        <w:t>the</w:t>
      </w:r>
      <w:r w:rsidR="00B8358D" w:rsidRPr="00602F08">
        <w:rPr>
          <w:rStyle w:val="normaltextrun"/>
          <w:rFonts w:ascii="Times New Roman" w:hAnsi="Times New Roman"/>
          <w:lang w:val="en-US"/>
        </w:rPr>
        <w:t xml:space="preserve"> importance of monitoring, </w:t>
      </w:r>
      <w:r w:rsidR="00A043D4" w:rsidRPr="00602F08">
        <w:rPr>
          <w:rStyle w:val="normaltextrun"/>
          <w:rFonts w:ascii="Times New Roman" w:hAnsi="Times New Roman"/>
          <w:lang w:val="en-US"/>
        </w:rPr>
        <w:t>and</w:t>
      </w:r>
      <w:r w:rsidR="00B8358D" w:rsidRPr="00602F08">
        <w:rPr>
          <w:rStyle w:val="normaltextrun"/>
          <w:rFonts w:ascii="Times New Roman" w:hAnsi="Times New Roman"/>
          <w:lang w:val="en-US"/>
        </w:rPr>
        <w:t xml:space="preserve"> the necessary and positive contribution that </w:t>
      </w:r>
      <w:r w:rsidR="00A043D4" w:rsidRPr="00602F08">
        <w:rPr>
          <w:rStyle w:val="normaltextrun"/>
          <w:rFonts w:ascii="Times New Roman" w:hAnsi="Times New Roman"/>
          <w:lang w:val="en-US"/>
        </w:rPr>
        <w:t>monitoring</w:t>
      </w:r>
      <w:r w:rsidR="00B8358D" w:rsidRPr="00602F08">
        <w:rPr>
          <w:rStyle w:val="normaltextrun"/>
          <w:rFonts w:ascii="Times New Roman" w:hAnsi="Times New Roman"/>
          <w:lang w:val="en-US"/>
        </w:rPr>
        <w:t xml:space="preserve"> can make.</w:t>
      </w:r>
    </w:p>
    <w:p w14:paraId="61D9642B" w14:textId="77777777" w:rsidR="00A57B6C" w:rsidRPr="00602F08" w:rsidRDefault="00A57B6C" w:rsidP="00B6212D">
      <w:pPr>
        <w:pStyle w:val="ListParagraph"/>
        <w:jc w:val="both"/>
        <w:rPr>
          <w:rStyle w:val="normaltextrun"/>
          <w:rFonts w:ascii="Times New Roman" w:hAnsi="Times New Roman"/>
          <w:lang w:val="en-US"/>
        </w:rPr>
      </w:pPr>
    </w:p>
    <w:p w14:paraId="7F427DC1" w14:textId="6E771B35" w:rsidR="0038402B" w:rsidRPr="0038402B" w:rsidRDefault="0006693C" w:rsidP="0038402B">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lang w:val="en-US"/>
        </w:rPr>
        <w:t xml:space="preserve">Finally, </w:t>
      </w:r>
      <w:r w:rsidR="001B6ED3">
        <w:rPr>
          <w:rStyle w:val="normaltextrun"/>
          <w:rFonts w:ascii="Times New Roman" w:hAnsi="Times New Roman"/>
          <w:lang w:val="en-US"/>
        </w:rPr>
        <w:t xml:space="preserve">I add that </w:t>
      </w:r>
      <w:r w:rsidR="00CB5B7E" w:rsidRPr="00602F08">
        <w:rPr>
          <w:rStyle w:val="normaltextrun"/>
          <w:rFonts w:ascii="Times New Roman" w:hAnsi="Times New Roman"/>
          <w:lang w:val="en-US"/>
        </w:rPr>
        <w:t xml:space="preserve">I have been struck by how </w:t>
      </w:r>
      <w:r w:rsidR="006D3FF5" w:rsidRPr="00602F08">
        <w:rPr>
          <w:rStyle w:val="normaltextrun"/>
          <w:rFonts w:ascii="Times New Roman" w:hAnsi="Times New Roman"/>
          <w:lang w:val="en-US"/>
        </w:rPr>
        <w:t>confronta</w:t>
      </w:r>
      <w:r w:rsidR="00630ADF" w:rsidRPr="00602F08">
        <w:rPr>
          <w:rStyle w:val="normaltextrun"/>
          <w:rFonts w:ascii="Times New Roman" w:hAnsi="Times New Roman"/>
          <w:lang w:val="en-US"/>
        </w:rPr>
        <w:t>tional</w:t>
      </w:r>
      <w:r w:rsidR="00CB5B7E" w:rsidRPr="00602F08">
        <w:rPr>
          <w:rStyle w:val="normaltextrun"/>
          <w:rFonts w:ascii="Times New Roman" w:hAnsi="Times New Roman"/>
          <w:lang w:val="en-US"/>
        </w:rPr>
        <w:t xml:space="preserve"> th</w:t>
      </w:r>
      <w:r w:rsidR="00630ADF" w:rsidRPr="00602F08">
        <w:rPr>
          <w:rStyle w:val="normaltextrun"/>
          <w:rFonts w:ascii="Times New Roman" w:hAnsi="Times New Roman"/>
          <w:lang w:val="en-US"/>
        </w:rPr>
        <w:t>ese cases</w:t>
      </w:r>
      <w:r w:rsidR="00CB5B7E" w:rsidRPr="00602F08">
        <w:rPr>
          <w:rStyle w:val="normaltextrun"/>
          <w:rFonts w:ascii="Times New Roman" w:hAnsi="Times New Roman"/>
          <w:lang w:val="en-US"/>
        </w:rPr>
        <w:t xml:space="preserve"> ha</w:t>
      </w:r>
      <w:r w:rsidR="00630ADF" w:rsidRPr="00602F08">
        <w:rPr>
          <w:rStyle w:val="normaltextrun"/>
          <w:rFonts w:ascii="Times New Roman" w:hAnsi="Times New Roman"/>
          <w:lang w:val="en-US"/>
        </w:rPr>
        <w:t>ve</w:t>
      </w:r>
      <w:r w:rsidR="00CB5B7E" w:rsidRPr="00602F08">
        <w:rPr>
          <w:rStyle w:val="normaltextrun"/>
          <w:rFonts w:ascii="Times New Roman" w:hAnsi="Times New Roman"/>
          <w:lang w:val="en-US"/>
        </w:rPr>
        <w:t xml:space="preserve"> been</w:t>
      </w:r>
      <w:r w:rsidR="0038402B">
        <w:rPr>
          <w:rStyle w:val="normaltextrun"/>
          <w:rFonts w:ascii="Times New Roman" w:hAnsi="Times New Roman"/>
          <w:lang w:val="en-US"/>
        </w:rPr>
        <w:t xml:space="preserve">. </w:t>
      </w:r>
      <w:r w:rsidR="000D0BAA" w:rsidRPr="0038402B">
        <w:rPr>
          <w:rStyle w:val="normaltextrun"/>
          <w:rFonts w:ascii="Times New Roman" w:hAnsi="Times New Roman"/>
          <w:lang w:val="en-US"/>
        </w:rPr>
        <w:t>I have seen the same</w:t>
      </w:r>
      <w:r w:rsidR="0038402B">
        <w:rPr>
          <w:rStyle w:val="normaltextrun"/>
          <w:rFonts w:ascii="Times New Roman" w:hAnsi="Times New Roman"/>
          <w:lang w:val="en-US"/>
        </w:rPr>
        <w:t xml:space="preserve"> </w:t>
      </w:r>
      <w:r w:rsidR="004E0A3C" w:rsidRPr="0038402B">
        <w:rPr>
          <w:rStyle w:val="normaltextrun"/>
          <w:rFonts w:ascii="Times New Roman" w:hAnsi="Times New Roman"/>
          <w:lang w:val="en-US"/>
        </w:rPr>
        <w:t>when</w:t>
      </w:r>
      <w:r w:rsidR="000D0BAA" w:rsidRPr="0038402B">
        <w:rPr>
          <w:rStyle w:val="normaltextrun"/>
          <w:rFonts w:ascii="Times New Roman" w:hAnsi="Times New Roman"/>
          <w:lang w:val="en-US"/>
        </w:rPr>
        <w:t xml:space="preserve"> si</w:t>
      </w:r>
      <w:r w:rsidR="00E93A6B" w:rsidRPr="0038402B">
        <w:rPr>
          <w:rStyle w:val="normaltextrun"/>
          <w:rFonts w:ascii="Times New Roman" w:hAnsi="Times New Roman"/>
          <w:lang w:val="en-US"/>
        </w:rPr>
        <w:t xml:space="preserve">tting in the Administrative Court in other cases about accommodation, often applications </w:t>
      </w:r>
      <w:r w:rsidR="005E79A3" w:rsidRPr="0038402B">
        <w:rPr>
          <w:rStyle w:val="normaltextrun"/>
          <w:rFonts w:ascii="Times New Roman" w:hAnsi="Times New Roman"/>
          <w:lang w:val="en-US"/>
        </w:rPr>
        <w:t>seeking urgent interim relief.</w:t>
      </w:r>
      <w:r w:rsidR="00E93A6B" w:rsidRPr="0038402B">
        <w:rPr>
          <w:rStyle w:val="normaltextrun"/>
          <w:rFonts w:ascii="Times New Roman" w:hAnsi="Times New Roman"/>
          <w:lang w:val="en-US"/>
        </w:rPr>
        <w:t xml:space="preserve"> </w:t>
      </w:r>
      <w:r w:rsidR="0038402B">
        <w:rPr>
          <w:rStyle w:val="normaltextrun"/>
          <w:rFonts w:ascii="Times New Roman" w:hAnsi="Times New Roman"/>
          <w:lang w:val="en-US"/>
        </w:rPr>
        <w:t>I dwell briefly on this in the final paragraphs below.</w:t>
      </w:r>
    </w:p>
    <w:p w14:paraId="34DF4642" w14:textId="77777777" w:rsidR="0038402B" w:rsidRPr="0038402B" w:rsidRDefault="0038402B" w:rsidP="0038402B">
      <w:pPr>
        <w:pStyle w:val="ListParagraph"/>
        <w:rPr>
          <w:rStyle w:val="normaltextrun"/>
          <w:rFonts w:ascii="Times New Roman" w:hAnsi="Times New Roman"/>
          <w:lang w:val="en-US"/>
        </w:rPr>
      </w:pPr>
    </w:p>
    <w:p w14:paraId="478E4B11" w14:textId="79CB6060" w:rsidR="00975B26" w:rsidRPr="0038402B" w:rsidRDefault="0038402B" w:rsidP="0038402B">
      <w:pPr>
        <w:pStyle w:val="ListParagraph"/>
        <w:numPr>
          <w:ilvl w:val="0"/>
          <w:numId w:val="10"/>
        </w:numPr>
        <w:jc w:val="both"/>
        <w:rPr>
          <w:rStyle w:val="normaltextrun"/>
          <w:rFonts w:ascii="Times New Roman" w:hAnsi="Times New Roman"/>
        </w:rPr>
      </w:pPr>
      <w:r>
        <w:rPr>
          <w:rStyle w:val="normaltextrun"/>
          <w:rFonts w:ascii="Times New Roman" w:hAnsi="Times New Roman"/>
          <w:lang w:val="en-US"/>
        </w:rPr>
        <w:t>T</w:t>
      </w:r>
      <w:r w:rsidR="003B34CA" w:rsidRPr="0038402B">
        <w:rPr>
          <w:rStyle w:val="normaltextrun"/>
          <w:rFonts w:ascii="Times New Roman" w:hAnsi="Times New Roman"/>
          <w:lang w:val="en-US"/>
        </w:rPr>
        <w:t>h</w:t>
      </w:r>
      <w:r w:rsidR="005E79A3" w:rsidRPr="0038402B">
        <w:rPr>
          <w:rStyle w:val="normaltextrun"/>
          <w:rFonts w:ascii="Times New Roman" w:hAnsi="Times New Roman"/>
          <w:lang w:val="en-US"/>
        </w:rPr>
        <w:t>e present</w:t>
      </w:r>
      <w:r w:rsidR="00993F53" w:rsidRPr="0038402B">
        <w:rPr>
          <w:rStyle w:val="normaltextrun"/>
          <w:rFonts w:ascii="Times New Roman" w:hAnsi="Times New Roman"/>
          <w:lang w:val="en-US"/>
        </w:rPr>
        <w:t xml:space="preserve"> litigation</w:t>
      </w:r>
      <w:r w:rsidR="003B34CA" w:rsidRPr="0038402B">
        <w:rPr>
          <w:rStyle w:val="normaltextrun"/>
          <w:rFonts w:ascii="Times New Roman" w:hAnsi="Times New Roman"/>
          <w:lang w:val="en-US"/>
        </w:rPr>
        <w:t xml:space="preserve"> concerned the provision of accommodation that the Secretary</w:t>
      </w:r>
      <w:r w:rsidR="005606F7" w:rsidRPr="0038402B">
        <w:rPr>
          <w:rStyle w:val="normaltextrun"/>
          <w:rFonts w:ascii="Times New Roman" w:hAnsi="Times New Roman"/>
          <w:lang w:val="en-US"/>
        </w:rPr>
        <w:t xml:space="preserve"> </w:t>
      </w:r>
      <w:r w:rsidR="00C03D48" w:rsidRPr="0038402B">
        <w:rPr>
          <w:rStyle w:val="normaltextrun"/>
          <w:rFonts w:ascii="Times New Roman" w:hAnsi="Times New Roman"/>
          <w:lang w:val="en-US"/>
        </w:rPr>
        <w:t xml:space="preserve">of State through her officials </w:t>
      </w:r>
      <w:r w:rsidR="005606F7" w:rsidRPr="0038402B">
        <w:rPr>
          <w:rStyle w:val="normaltextrun"/>
          <w:rFonts w:ascii="Times New Roman" w:hAnsi="Times New Roman"/>
          <w:lang w:val="en-US"/>
        </w:rPr>
        <w:t>had agree</w:t>
      </w:r>
      <w:r w:rsidR="000F1CB3" w:rsidRPr="0038402B">
        <w:rPr>
          <w:rStyle w:val="normaltextrun"/>
          <w:rFonts w:ascii="Times New Roman" w:hAnsi="Times New Roman"/>
          <w:lang w:val="en-US"/>
        </w:rPr>
        <w:t>d</w:t>
      </w:r>
      <w:r w:rsidR="005606F7" w:rsidRPr="0038402B">
        <w:rPr>
          <w:rStyle w:val="normaltextrun"/>
          <w:rFonts w:ascii="Times New Roman" w:hAnsi="Times New Roman"/>
          <w:lang w:val="en-US"/>
        </w:rPr>
        <w:t xml:space="preserve"> she was under a duty to provide and</w:t>
      </w:r>
      <w:r w:rsidR="00690299" w:rsidRPr="0038402B">
        <w:rPr>
          <w:rStyle w:val="normaltextrun"/>
          <w:rFonts w:ascii="Times New Roman" w:hAnsi="Times New Roman"/>
          <w:lang w:val="en-US"/>
        </w:rPr>
        <w:t xml:space="preserve"> </w:t>
      </w:r>
      <w:r w:rsidR="00FE248D" w:rsidRPr="0038402B">
        <w:rPr>
          <w:rStyle w:val="normaltextrun"/>
          <w:rFonts w:ascii="Times New Roman" w:hAnsi="Times New Roman"/>
          <w:lang w:val="en-US"/>
        </w:rPr>
        <w:t xml:space="preserve">that she has agreed in these proceedings </w:t>
      </w:r>
      <w:r w:rsidR="00951020" w:rsidRPr="0038402B">
        <w:rPr>
          <w:rStyle w:val="normaltextrun"/>
          <w:rFonts w:ascii="Times New Roman" w:hAnsi="Times New Roman"/>
          <w:lang w:val="en-US"/>
        </w:rPr>
        <w:t xml:space="preserve">she had to </w:t>
      </w:r>
      <w:r w:rsidR="00690299" w:rsidRPr="0038402B">
        <w:rPr>
          <w:rStyle w:val="normaltextrun"/>
          <w:rFonts w:ascii="Times New Roman" w:hAnsi="Times New Roman"/>
          <w:lang w:val="en-US"/>
        </w:rPr>
        <w:t>provide</w:t>
      </w:r>
      <w:r w:rsidR="005606F7" w:rsidRPr="0038402B">
        <w:rPr>
          <w:rStyle w:val="normaltextrun"/>
          <w:rFonts w:ascii="Times New Roman" w:hAnsi="Times New Roman"/>
          <w:lang w:val="en-US"/>
        </w:rPr>
        <w:t xml:space="preserve"> within a reasonable period of time. </w:t>
      </w:r>
      <w:r w:rsidR="00365BEA" w:rsidRPr="0038402B">
        <w:rPr>
          <w:rStyle w:val="normaltextrun"/>
          <w:rFonts w:ascii="Times New Roman" w:hAnsi="Times New Roman"/>
          <w:lang w:val="en-US"/>
        </w:rPr>
        <w:t xml:space="preserve">Claimants in these cases will be “highly vulnerable” as the Home Office’s </w:t>
      </w:r>
      <w:r w:rsidR="005F1527" w:rsidRPr="0038402B">
        <w:rPr>
          <w:rStyle w:val="normaltextrun"/>
          <w:rFonts w:ascii="Times New Roman" w:hAnsi="Times New Roman"/>
          <w:lang w:val="en-US"/>
        </w:rPr>
        <w:t xml:space="preserve">own </w:t>
      </w:r>
      <w:r w:rsidR="00365BEA" w:rsidRPr="0038402B">
        <w:rPr>
          <w:rStyle w:val="normaltextrun"/>
          <w:rFonts w:ascii="Times New Roman" w:hAnsi="Times New Roman"/>
          <w:lang w:val="en-US"/>
        </w:rPr>
        <w:t>evidence puts it</w:t>
      </w:r>
      <w:r w:rsidR="0026614E" w:rsidRPr="0038402B">
        <w:rPr>
          <w:rStyle w:val="normaltextrun"/>
          <w:rFonts w:ascii="Times New Roman" w:hAnsi="Times New Roman"/>
          <w:lang w:val="en-US"/>
        </w:rPr>
        <w:t xml:space="preserve">. </w:t>
      </w:r>
      <w:r w:rsidR="00365BEA" w:rsidRPr="0038402B">
        <w:rPr>
          <w:rStyle w:val="normaltextrun"/>
          <w:rFonts w:ascii="Times New Roman" w:hAnsi="Times New Roman"/>
          <w:lang w:val="en-US"/>
        </w:rPr>
        <w:t xml:space="preserve">AA was seriously unwell and disabled. </w:t>
      </w:r>
    </w:p>
    <w:p w14:paraId="38E2B80C" w14:textId="77777777" w:rsidR="00975B26" w:rsidRPr="00602F08" w:rsidRDefault="00975B26" w:rsidP="00B6212D">
      <w:pPr>
        <w:pStyle w:val="ListParagraph"/>
        <w:rPr>
          <w:rStyle w:val="normaltextrun"/>
          <w:rFonts w:ascii="Times New Roman" w:hAnsi="Times New Roman"/>
          <w:lang w:val="en-US"/>
        </w:rPr>
      </w:pPr>
    </w:p>
    <w:p w14:paraId="6023B707" w14:textId="0673F000" w:rsidR="00DC0B65" w:rsidRPr="00602F08" w:rsidRDefault="00BF031D"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lang w:val="en-US"/>
        </w:rPr>
        <w:t xml:space="preserve">Yet the claimants </w:t>
      </w:r>
      <w:r w:rsidR="005150C3">
        <w:rPr>
          <w:rStyle w:val="normaltextrun"/>
          <w:rFonts w:ascii="Times New Roman" w:hAnsi="Times New Roman"/>
          <w:lang w:val="en-US"/>
        </w:rPr>
        <w:t xml:space="preserve">in these cases </w:t>
      </w:r>
      <w:r w:rsidRPr="00602F08">
        <w:rPr>
          <w:rStyle w:val="normaltextrun"/>
          <w:rFonts w:ascii="Times New Roman" w:hAnsi="Times New Roman"/>
          <w:lang w:val="en-US"/>
        </w:rPr>
        <w:t xml:space="preserve">found themselves </w:t>
      </w:r>
      <w:r w:rsidR="00C637BD" w:rsidRPr="00602F08">
        <w:rPr>
          <w:rStyle w:val="normaltextrun"/>
          <w:rFonts w:ascii="Times New Roman" w:hAnsi="Times New Roman"/>
          <w:lang w:val="en-US"/>
        </w:rPr>
        <w:t xml:space="preserve">left to </w:t>
      </w:r>
      <w:r w:rsidRPr="00602F08">
        <w:rPr>
          <w:rStyle w:val="normaltextrun"/>
          <w:rFonts w:ascii="Times New Roman" w:hAnsi="Times New Roman"/>
          <w:lang w:val="en-US"/>
        </w:rPr>
        <w:t xml:space="preserve">resort to interim applications to Court for urgent mandatory relief where there was delay. </w:t>
      </w:r>
      <w:r w:rsidR="006D3FF5" w:rsidRPr="00602F08">
        <w:rPr>
          <w:rStyle w:val="normaltextrun"/>
          <w:rFonts w:ascii="Times New Roman" w:hAnsi="Times New Roman"/>
          <w:lang w:val="en-US"/>
        </w:rPr>
        <w:t xml:space="preserve">There was an </w:t>
      </w:r>
      <w:r w:rsidR="00CA1E67" w:rsidRPr="00602F08">
        <w:rPr>
          <w:rStyle w:val="normaltextrun"/>
          <w:rFonts w:ascii="Times New Roman" w:hAnsi="Times New Roman"/>
          <w:lang w:val="en-US"/>
        </w:rPr>
        <w:t>unsuitable readiness to assume the claimant</w:t>
      </w:r>
      <w:r w:rsidR="00210D3A">
        <w:rPr>
          <w:rStyle w:val="normaltextrun"/>
          <w:rFonts w:ascii="Times New Roman" w:hAnsi="Times New Roman"/>
          <w:lang w:val="en-US"/>
        </w:rPr>
        <w:t>s</w:t>
      </w:r>
      <w:r w:rsidR="00CA1E67" w:rsidRPr="00602F08">
        <w:rPr>
          <w:rStyle w:val="normaltextrun"/>
          <w:rFonts w:ascii="Times New Roman" w:hAnsi="Times New Roman"/>
          <w:lang w:val="en-US"/>
        </w:rPr>
        <w:t xml:space="preserve"> w</w:t>
      </w:r>
      <w:r w:rsidR="00210D3A">
        <w:rPr>
          <w:rStyle w:val="normaltextrun"/>
          <w:rFonts w:ascii="Times New Roman" w:hAnsi="Times New Roman"/>
          <w:lang w:val="en-US"/>
        </w:rPr>
        <w:t>ere</w:t>
      </w:r>
      <w:r w:rsidR="00CA1E67" w:rsidRPr="00602F08">
        <w:rPr>
          <w:rStyle w:val="normaltextrun"/>
          <w:rFonts w:ascii="Times New Roman" w:hAnsi="Times New Roman"/>
          <w:lang w:val="en-US"/>
        </w:rPr>
        <w:t xml:space="preserve"> at fault</w:t>
      </w:r>
      <w:r w:rsidR="005356A9" w:rsidRPr="00602F08">
        <w:rPr>
          <w:rStyle w:val="normaltextrun"/>
          <w:rFonts w:ascii="Times New Roman" w:hAnsi="Times New Roman"/>
          <w:lang w:val="en-US"/>
        </w:rPr>
        <w:t>,</w:t>
      </w:r>
      <w:r w:rsidR="00630ADF" w:rsidRPr="00602F08">
        <w:rPr>
          <w:rStyle w:val="normaltextrun"/>
          <w:rFonts w:ascii="Times New Roman" w:hAnsi="Times New Roman"/>
          <w:lang w:val="en-US"/>
        </w:rPr>
        <w:t xml:space="preserve"> </w:t>
      </w:r>
      <w:r w:rsidR="00CA1E67" w:rsidRPr="00602F08">
        <w:rPr>
          <w:rStyle w:val="normaltextrun"/>
          <w:rFonts w:ascii="Times New Roman" w:hAnsi="Times New Roman"/>
          <w:lang w:val="en-US"/>
        </w:rPr>
        <w:t>with the “failure to travel” allegations</w:t>
      </w:r>
      <w:r w:rsidR="00DA2CE8">
        <w:rPr>
          <w:rStyle w:val="normaltextrun"/>
          <w:rFonts w:ascii="Times New Roman" w:hAnsi="Times New Roman"/>
          <w:lang w:val="en-US"/>
        </w:rPr>
        <w:t xml:space="preserve"> discussed above</w:t>
      </w:r>
      <w:r w:rsidR="005C43AB" w:rsidRPr="00602F08">
        <w:rPr>
          <w:rStyle w:val="normaltextrun"/>
          <w:rFonts w:ascii="Times New Roman" w:hAnsi="Times New Roman"/>
          <w:lang w:val="en-US"/>
        </w:rPr>
        <w:t>.</w:t>
      </w:r>
      <w:r w:rsidR="003B34CA" w:rsidRPr="00602F08">
        <w:rPr>
          <w:rStyle w:val="normaltextrun"/>
          <w:rFonts w:ascii="Times New Roman" w:hAnsi="Times New Roman"/>
          <w:lang w:val="en-US"/>
        </w:rPr>
        <w:t xml:space="preserve"> </w:t>
      </w:r>
      <w:r w:rsidR="00F634CD" w:rsidRPr="00602F08">
        <w:rPr>
          <w:rStyle w:val="normaltextrun"/>
          <w:rFonts w:ascii="Times New Roman" w:hAnsi="Times New Roman"/>
          <w:lang w:val="en-US"/>
        </w:rPr>
        <w:t>More broadly</w:t>
      </w:r>
      <w:r w:rsidR="00DA2CE8">
        <w:rPr>
          <w:rStyle w:val="normaltextrun"/>
          <w:rFonts w:ascii="Times New Roman" w:hAnsi="Times New Roman"/>
          <w:lang w:val="en-US"/>
        </w:rPr>
        <w:t>,</w:t>
      </w:r>
      <w:r w:rsidR="00F634CD" w:rsidRPr="00602F08">
        <w:rPr>
          <w:rStyle w:val="normaltextrun"/>
          <w:rFonts w:ascii="Times New Roman" w:hAnsi="Times New Roman"/>
          <w:lang w:val="en-US"/>
        </w:rPr>
        <w:t xml:space="preserve"> the argument on behalf of the Secretary of State in this litigation inclined to reject challenge far more often than </w:t>
      </w:r>
      <w:r w:rsidR="00AD4FA3" w:rsidRPr="00602F08">
        <w:rPr>
          <w:rStyle w:val="normaltextrun"/>
          <w:rFonts w:ascii="Times New Roman" w:hAnsi="Times New Roman"/>
          <w:lang w:val="en-US"/>
        </w:rPr>
        <w:t xml:space="preserve">to </w:t>
      </w:r>
      <w:r w:rsidR="00F634CD" w:rsidRPr="00602F08">
        <w:rPr>
          <w:rStyle w:val="normaltextrun"/>
          <w:rFonts w:ascii="Times New Roman" w:hAnsi="Times New Roman"/>
          <w:lang w:val="en-US"/>
        </w:rPr>
        <w:t>acknowledge failings.</w:t>
      </w:r>
      <w:r w:rsidR="009D3EE7" w:rsidRPr="00602F08">
        <w:rPr>
          <w:rStyle w:val="normaltextrun"/>
          <w:rFonts w:ascii="Times New Roman" w:hAnsi="Times New Roman"/>
          <w:lang w:val="en-US"/>
        </w:rPr>
        <w:t xml:space="preserve"> </w:t>
      </w:r>
      <w:r w:rsidR="00210D3A">
        <w:rPr>
          <w:rStyle w:val="normaltextrun"/>
          <w:rFonts w:ascii="Times New Roman" w:hAnsi="Times New Roman"/>
          <w:lang w:val="en-US"/>
        </w:rPr>
        <w:t>And of course, v</w:t>
      </w:r>
      <w:r w:rsidR="009D3EE7" w:rsidRPr="00602F08">
        <w:rPr>
          <w:rStyle w:val="normaltextrun"/>
          <w:rFonts w:ascii="Times New Roman" w:hAnsi="Times New Roman"/>
          <w:lang w:val="en-US"/>
        </w:rPr>
        <w:t>ery high performance</w:t>
      </w:r>
      <w:r w:rsidR="00C82061" w:rsidRPr="00602F08">
        <w:rPr>
          <w:rStyle w:val="normaltextrun"/>
          <w:rFonts w:ascii="Times New Roman" w:hAnsi="Times New Roman"/>
          <w:lang w:val="en-US"/>
        </w:rPr>
        <w:t xml:space="preserve"> was</w:t>
      </w:r>
      <w:r w:rsidR="009D3EE7" w:rsidRPr="00602F08">
        <w:rPr>
          <w:rStyle w:val="normaltextrun"/>
          <w:rFonts w:ascii="Times New Roman" w:hAnsi="Times New Roman"/>
          <w:lang w:val="en-US"/>
        </w:rPr>
        <w:t xml:space="preserve"> still being claimed</w:t>
      </w:r>
      <w:r w:rsidR="00172C05" w:rsidRPr="00602F08">
        <w:rPr>
          <w:rStyle w:val="normaltextrun"/>
          <w:rFonts w:ascii="Times New Roman" w:hAnsi="Times New Roman"/>
          <w:lang w:val="en-US"/>
        </w:rPr>
        <w:t xml:space="preserve"> on behalf of the Secretary </w:t>
      </w:r>
      <w:r w:rsidR="00AD4FA3" w:rsidRPr="00602F08">
        <w:rPr>
          <w:rStyle w:val="normaltextrun"/>
          <w:rFonts w:ascii="Times New Roman" w:hAnsi="Times New Roman"/>
          <w:lang w:val="en-US"/>
        </w:rPr>
        <w:t xml:space="preserve">of State </w:t>
      </w:r>
      <w:r w:rsidR="003F4EFC" w:rsidRPr="00602F08">
        <w:rPr>
          <w:rStyle w:val="normaltextrun"/>
          <w:rFonts w:ascii="Times New Roman" w:hAnsi="Times New Roman"/>
          <w:lang w:val="en-US"/>
        </w:rPr>
        <w:t>right up to the hearing in July</w:t>
      </w:r>
      <w:r w:rsidR="00172C05" w:rsidRPr="00602F08">
        <w:rPr>
          <w:rStyle w:val="normaltextrun"/>
          <w:rFonts w:ascii="Times New Roman" w:hAnsi="Times New Roman"/>
          <w:lang w:val="en-US"/>
        </w:rPr>
        <w:t>,</w:t>
      </w:r>
      <w:r w:rsidR="003F4EFC" w:rsidRPr="00602F08">
        <w:rPr>
          <w:rStyle w:val="normaltextrun"/>
          <w:rFonts w:ascii="Times New Roman" w:hAnsi="Times New Roman"/>
          <w:lang w:val="en-US"/>
        </w:rPr>
        <w:t xml:space="preserve"> </w:t>
      </w:r>
      <w:r w:rsidR="00B34BFE" w:rsidRPr="00602F08">
        <w:rPr>
          <w:rStyle w:val="normaltextrun"/>
          <w:rFonts w:ascii="Times New Roman" w:hAnsi="Times New Roman"/>
          <w:lang w:val="en-US"/>
        </w:rPr>
        <w:t xml:space="preserve">despite the </w:t>
      </w:r>
      <w:r w:rsidR="00663AC6">
        <w:rPr>
          <w:rStyle w:val="normaltextrun"/>
          <w:rFonts w:ascii="Times New Roman" w:hAnsi="Times New Roman"/>
          <w:lang w:val="en-US"/>
        </w:rPr>
        <w:t xml:space="preserve">cogent </w:t>
      </w:r>
      <w:r w:rsidR="00B34BFE" w:rsidRPr="00602F08">
        <w:rPr>
          <w:rStyle w:val="normaltextrun"/>
          <w:rFonts w:ascii="Times New Roman" w:hAnsi="Times New Roman"/>
          <w:lang w:val="en-US"/>
        </w:rPr>
        <w:t>evidence from Ms Glynn</w:t>
      </w:r>
      <w:r w:rsidR="00C623DD">
        <w:rPr>
          <w:rStyle w:val="normaltextrun"/>
          <w:rFonts w:ascii="Times New Roman" w:hAnsi="Times New Roman"/>
          <w:lang w:val="en-US"/>
        </w:rPr>
        <w:t xml:space="preserve"> and Ms </w:t>
      </w:r>
      <w:r w:rsidR="000B75A3">
        <w:rPr>
          <w:rStyle w:val="normaltextrun"/>
          <w:rFonts w:ascii="Times New Roman" w:hAnsi="Times New Roman"/>
          <w:lang w:val="en-US"/>
        </w:rPr>
        <w:t>Rozan</w:t>
      </w:r>
      <w:r w:rsidR="000201C6">
        <w:rPr>
          <w:rStyle w:val="normaltextrun"/>
          <w:rFonts w:ascii="Times New Roman" w:hAnsi="Times New Roman"/>
          <w:lang w:val="en-US"/>
        </w:rPr>
        <w:t>sky</w:t>
      </w:r>
      <w:r w:rsidR="00107C5A">
        <w:rPr>
          <w:rStyle w:val="normaltextrun"/>
          <w:rFonts w:ascii="Times New Roman" w:hAnsi="Times New Roman"/>
          <w:lang w:val="en-US"/>
        </w:rPr>
        <w:t xml:space="preserve">, </w:t>
      </w:r>
      <w:r w:rsidR="00B34BFE" w:rsidRPr="00602F08">
        <w:rPr>
          <w:rStyle w:val="normaltextrun"/>
          <w:rFonts w:ascii="Times New Roman" w:hAnsi="Times New Roman"/>
          <w:lang w:val="en-US"/>
        </w:rPr>
        <w:t>and others</w:t>
      </w:r>
      <w:r w:rsidR="00C623DD">
        <w:rPr>
          <w:rStyle w:val="normaltextrun"/>
          <w:rFonts w:ascii="Times New Roman" w:hAnsi="Times New Roman"/>
          <w:lang w:val="en-US"/>
        </w:rPr>
        <w:t>,</w:t>
      </w:r>
      <w:r w:rsidR="00B34BFE" w:rsidRPr="00602F08">
        <w:rPr>
          <w:rStyle w:val="normaltextrun"/>
          <w:rFonts w:ascii="Times New Roman" w:hAnsi="Times New Roman"/>
          <w:lang w:val="en-US"/>
        </w:rPr>
        <w:t xml:space="preserve"> t</w:t>
      </w:r>
      <w:r w:rsidR="00101B1E" w:rsidRPr="00602F08">
        <w:rPr>
          <w:rStyle w:val="normaltextrun"/>
          <w:rFonts w:ascii="Times New Roman" w:hAnsi="Times New Roman"/>
          <w:lang w:val="en-US"/>
        </w:rPr>
        <w:t>o the effect that</w:t>
      </w:r>
      <w:r w:rsidR="00B34BFE" w:rsidRPr="00602F08">
        <w:rPr>
          <w:rStyle w:val="normaltextrun"/>
          <w:rFonts w:ascii="Times New Roman" w:hAnsi="Times New Roman"/>
          <w:lang w:val="en-US"/>
        </w:rPr>
        <w:t xml:space="preserve"> th</w:t>
      </w:r>
      <w:r w:rsidR="00116629" w:rsidRPr="00602F08">
        <w:rPr>
          <w:rStyle w:val="normaltextrun"/>
          <w:rFonts w:ascii="Times New Roman" w:hAnsi="Times New Roman"/>
          <w:lang w:val="en-US"/>
        </w:rPr>
        <w:t>is</w:t>
      </w:r>
      <w:r w:rsidR="00101B1E" w:rsidRPr="00602F08">
        <w:rPr>
          <w:rStyle w:val="normaltextrun"/>
          <w:rFonts w:ascii="Times New Roman" w:hAnsi="Times New Roman"/>
          <w:lang w:val="en-US"/>
        </w:rPr>
        <w:t xml:space="preserve"> could not be right.</w:t>
      </w:r>
    </w:p>
    <w:p w14:paraId="55316461" w14:textId="77777777" w:rsidR="00DC0B65" w:rsidRPr="00602F08" w:rsidRDefault="00DC0B65" w:rsidP="00B6212D">
      <w:pPr>
        <w:pStyle w:val="ListParagraph"/>
        <w:jc w:val="both"/>
        <w:rPr>
          <w:rStyle w:val="normaltextrun"/>
          <w:rFonts w:ascii="Times New Roman" w:hAnsi="Times New Roman"/>
          <w:lang w:val="en-US"/>
        </w:rPr>
      </w:pPr>
    </w:p>
    <w:p w14:paraId="4607C403" w14:textId="564BCFC2" w:rsidR="00F93924" w:rsidRPr="00F93924" w:rsidRDefault="00F95BFA" w:rsidP="00B6212D">
      <w:pPr>
        <w:pStyle w:val="ListParagraph"/>
        <w:numPr>
          <w:ilvl w:val="0"/>
          <w:numId w:val="10"/>
        </w:numPr>
        <w:jc w:val="both"/>
        <w:rPr>
          <w:rStyle w:val="normaltextrun"/>
          <w:rFonts w:ascii="Times New Roman" w:hAnsi="Times New Roman"/>
        </w:rPr>
      </w:pPr>
      <w:r w:rsidRPr="00602F08">
        <w:rPr>
          <w:rStyle w:val="normaltextrun"/>
          <w:rFonts w:ascii="Times New Roman" w:hAnsi="Times New Roman"/>
          <w:lang w:val="en-US"/>
        </w:rPr>
        <w:t>Mr Tam QC open</w:t>
      </w:r>
      <w:r w:rsidR="00116629" w:rsidRPr="00602F08">
        <w:rPr>
          <w:rStyle w:val="normaltextrun"/>
          <w:rFonts w:ascii="Times New Roman" w:hAnsi="Times New Roman"/>
          <w:lang w:val="en-US"/>
        </w:rPr>
        <w:t>ed</w:t>
      </w:r>
      <w:r w:rsidRPr="00602F08">
        <w:rPr>
          <w:rStyle w:val="normaltextrun"/>
          <w:rFonts w:ascii="Times New Roman" w:hAnsi="Times New Roman"/>
          <w:lang w:val="en-US"/>
        </w:rPr>
        <w:t xml:space="preserve"> his oral submissions on constitutional roles </w:t>
      </w:r>
      <w:r w:rsidR="00D34207" w:rsidRPr="00602F08">
        <w:rPr>
          <w:rStyle w:val="normaltextrun"/>
          <w:rFonts w:ascii="Times New Roman" w:hAnsi="Times New Roman"/>
          <w:lang w:val="en-US"/>
        </w:rPr>
        <w:t>by saying that</w:t>
      </w:r>
      <w:r w:rsidR="000E6CB0" w:rsidRPr="00602F08">
        <w:rPr>
          <w:rStyle w:val="normaltextrun"/>
          <w:rFonts w:ascii="Times New Roman" w:hAnsi="Times New Roman"/>
          <w:lang w:val="en-US"/>
        </w:rPr>
        <w:t xml:space="preserve"> </w:t>
      </w:r>
      <w:r w:rsidR="00D966E7" w:rsidRPr="00602F08">
        <w:rPr>
          <w:rStyle w:val="normaltextrun"/>
          <w:rFonts w:ascii="Times New Roman" w:hAnsi="Times New Roman"/>
          <w:lang w:val="en-US"/>
        </w:rPr>
        <w:t xml:space="preserve">whilst </w:t>
      </w:r>
      <w:r w:rsidR="000E6CB0" w:rsidRPr="00602F08">
        <w:rPr>
          <w:rStyle w:val="normaltextrun"/>
          <w:rFonts w:ascii="Times New Roman" w:hAnsi="Times New Roman"/>
          <w:lang w:val="en-US"/>
        </w:rPr>
        <w:t>decisions were for Government</w:t>
      </w:r>
      <w:r w:rsidR="004A0460" w:rsidRPr="00602F08">
        <w:rPr>
          <w:rStyle w:val="normaltextrun"/>
          <w:rFonts w:ascii="Times New Roman" w:hAnsi="Times New Roman"/>
          <w:lang w:val="en-US"/>
        </w:rPr>
        <w:t>,</w:t>
      </w:r>
      <w:r w:rsidR="00077C63" w:rsidRPr="00602F08">
        <w:rPr>
          <w:rStyle w:val="normaltextrun"/>
          <w:rFonts w:ascii="Times New Roman" w:hAnsi="Times New Roman"/>
          <w:lang w:val="en-US"/>
        </w:rPr>
        <w:t xml:space="preserve"> </w:t>
      </w:r>
      <w:r w:rsidR="0015135E" w:rsidRPr="00602F08">
        <w:rPr>
          <w:rStyle w:val="normaltextrun"/>
          <w:rFonts w:ascii="Times New Roman" w:hAnsi="Times New Roman"/>
          <w:lang w:val="en-US"/>
        </w:rPr>
        <w:t>“everyone else</w:t>
      </w:r>
      <w:r w:rsidR="00077C63" w:rsidRPr="00602F08">
        <w:rPr>
          <w:rStyle w:val="normaltextrun"/>
          <w:rFonts w:ascii="Times New Roman" w:hAnsi="Times New Roman"/>
          <w:lang w:val="en-US"/>
        </w:rPr>
        <w:t xml:space="preserve"> stands round criticising”. </w:t>
      </w:r>
      <w:r w:rsidR="004A0460" w:rsidRPr="00602F08">
        <w:rPr>
          <w:rStyle w:val="normaltextrun"/>
          <w:rFonts w:ascii="Times New Roman" w:hAnsi="Times New Roman"/>
          <w:lang w:val="en-US"/>
        </w:rPr>
        <w:t>I understand the point</w:t>
      </w:r>
      <w:r w:rsidR="00975B26" w:rsidRPr="00602F08">
        <w:rPr>
          <w:rStyle w:val="normaltextrun"/>
          <w:rFonts w:ascii="Times New Roman" w:hAnsi="Times New Roman"/>
          <w:lang w:val="en-US"/>
        </w:rPr>
        <w:t>,</w:t>
      </w:r>
      <w:r w:rsidR="004A0460" w:rsidRPr="00602F08">
        <w:rPr>
          <w:rStyle w:val="normaltextrun"/>
          <w:rFonts w:ascii="Times New Roman" w:hAnsi="Times New Roman"/>
          <w:lang w:val="en-US"/>
        </w:rPr>
        <w:t xml:space="preserve"> bu</w:t>
      </w:r>
      <w:r w:rsidR="004937C1" w:rsidRPr="00602F08">
        <w:rPr>
          <w:rStyle w:val="normaltextrun"/>
          <w:rFonts w:ascii="Times New Roman" w:hAnsi="Times New Roman"/>
          <w:lang w:val="en-US"/>
        </w:rPr>
        <w:t>t</w:t>
      </w:r>
      <w:r w:rsidR="00F5765A" w:rsidRPr="00602F08">
        <w:rPr>
          <w:rStyle w:val="normaltextrun"/>
          <w:rFonts w:ascii="Times New Roman" w:hAnsi="Times New Roman"/>
          <w:lang w:val="en-US"/>
        </w:rPr>
        <w:t xml:space="preserve"> </w:t>
      </w:r>
      <w:r w:rsidR="002462F2" w:rsidRPr="00602F08">
        <w:rPr>
          <w:rStyle w:val="normaltextrun"/>
          <w:rFonts w:ascii="Times New Roman" w:hAnsi="Times New Roman"/>
          <w:lang w:val="en-US"/>
        </w:rPr>
        <w:t xml:space="preserve">it is critical of </w:t>
      </w:r>
      <w:r w:rsidR="00F5765A" w:rsidRPr="00602F08">
        <w:rPr>
          <w:rStyle w:val="normaltextrun"/>
          <w:rFonts w:ascii="Times New Roman" w:hAnsi="Times New Roman"/>
          <w:lang w:val="en-US"/>
        </w:rPr>
        <w:t>criticism</w:t>
      </w:r>
      <w:r w:rsidR="002462F2" w:rsidRPr="00602F08">
        <w:rPr>
          <w:rStyle w:val="normaltextrun"/>
          <w:rFonts w:ascii="Times New Roman" w:hAnsi="Times New Roman"/>
          <w:lang w:val="en-US"/>
        </w:rPr>
        <w:t xml:space="preserve">, </w:t>
      </w:r>
      <w:r w:rsidR="0013784E">
        <w:rPr>
          <w:rStyle w:val="normaltextrun"/>
          <w:rFonts w:ascii="Times New Roman" w:hAnsi="Times New Roman"/>
          <w:lang w:val="en-US"/>
        </w:rPr>
        <w:t>where</w:t>
      </w:r>
      <w:r w:rsidR="00E73D22">
        <w:rPr>
          <w:rStyle w:val="normaltextrun"/>
          <w:rFonts w:ascii="Times New Roman" w:hAnsi="Times New Roman"/>
          <w:lang w:val="en-US"/>
        </w:rPr>
        <w:t>as</w:t>
      </w:r>
      <w:r w:rsidR="002462F2" w:rsidRPr="00602F08">
        <w:rPr>
          <w:rStyle w:val="normaltextrun"/>
          <w:rFonts w:ascii="Times New Roman" w:hAnsi="Times New Roman"/>
          <w:lang w:val="en-US"/>
        </w:rPr>
        <w:t xml:space="preserve"> criticism</w:t>
      </w:r>
      <w:r w:rsidR="00F5765A" w:rsidRPr="00602F08">
        <w:rPr>
          <w:rStyle w:val="normaltextrun"/>
          <w:rFonts w:ascii="Times New Roman" w:hAnsi="Times New Roman"/>
          <w:lang w:val="en-US"/>
        </w:rPr>
        <w:t xml:space="preserve"> can help </w:t>
      </w:r>
      <w:r w:rsidR="00F2331D" w:rsidRPr="00602F08">
        <w:rPr>
          <w:rStyle w:val="normaltextrun"/>
          <w:rFonts w:ascii="Times New Roman" w:hAnsi="Times New Roman"/>
          <w:lang w:val="en-US"/>
        </w:rPr>
        <w:t>towards better, and lawful, dec</w:t>
      </w:r>
      <w:r w:rsidR="00781D0F" w:rsidRPr="00602F08">
        <w:rPr>
          <w:rStyle w:val="normaltextrun"/>
          <w:rFonts w:ascii="Times New Roman" w:hAnsi="Times New Roman"/>
          <w:lang w:val="en-US"/>
        </w:rPr>
        <w:t xml:space="preserve">isions, </w:t>
      </w:r>
      <w:r w:rsidR="00F5765A" w:rsidRPr="0061187B">
        <w:rPr>
          <w:rStyle w:val="normaltextrun"/>
          <w:rFonts w:ascii="Times New Roman" w:hAnsi="Times New Roman"/>
          <w:lang w:val="en-US"/>
        </w:rPr>
        <w:t xml:space="preserve">if it is </w:t>
      </w:r>
      <w:r w:rsidR="00A80912" w:rsidRPr="0061187B">
        <w:rPr>
          <w:rStyle w:val="normaltextrun"/>
          <w:rFonts w:ascii="Times New Roman" w:hAnsi="Times New Roman"/>
          <w:lang w:val="en-US"/>
        </w:rPr>
        <w:t xml:space="preserve">constructively advanced and </w:t>
      </w:r>
      <w:r w:rsidR="002462F2" w:rsidRPr="0061187B">
        <w:rPr>
          <w:rStyle w:val="normaltextrun"/>
          <w:rFonts w:ascii="Times New Roman" w:hAnsi="Times New Roman"/>
          <w:lang w:val="en-US"/>
        </w:rPr>
        <w:t xml:space="preserve">if it is </w:t>
      </w:r>
      <w:r w:rsidR="00A80912" w:rsidRPr="0061187B">
        <w:rPr>
          <w:rStyle w:val="normaltextrun"/>
          <w:rFonts w:ascii="Times New Roman" w:hAnsi="Times New Roman"/>
          <w:lang w:val="en-US"/>
        </w:rPr>
        <w:t xml:space="preserve">constructively received. </w:t>
      </w:r>
    </w:p>
    <w:p w14:paraId="32F77DB5" w14:textId="77777777" w:rsidR="00F93924" w:rsidRPr="00F93924" w:rsidRDefault="00F93924" w:rsidP="00F93924">
      <w:pPr>
        <w:pStyle w:val="ListParagraph"/>
        <w:rPr>
          <w:rStyle w:val="normaltextrun"/>
          <w:rFonts w:ascii="Times New Roman" w:hAnsi="Times New Roman"/>
          <w:lang w:val="en-US"/>
        </w:rPr>
      </w:pPr>
    </w:p>
    <w:p w14:paraId="1C12D87F" w14:textId="69CDC315" w:rsidR="000D5BD1" w:rsidRPr="00602F08" w:rsidRDefault="00DC6293" w:rsidP="00B6212D">
      <w:pPr>
        <w:pStyle w:val="ListParagraph"/>
        <w:numPr>
          <w:ilvl w:val="0"/>
          <w:numId w:val="10"/>
        </w:numPr>
        <w:jc w:val="both"/>
        <w:rPr>
          <w:rFonts w:ascii="Times New Roman" w:hAnsi="Times New Roman"/>
        </w:rPr>
      </w:pPr>
      <w:r w:rsidRPr="0061187B">
        <w:rPr>
          <w:rStyle w:val="normaltextrun"/>
          <w:rFonts w:ascii="Times New Roman" w:hAnsi="Times New Roman"/>
          <w:lang w:val="en-US"/>
        </w:rPr>
        <w:t>There is every scope for this</w:t>
      </w:r>
      <w:r w:rsidR="00025B95">
        <w:rPr>
          <w:rStyle w:val="normaltextrun"/>
          <w:rFonts w:ascii="Times New Roman" w:hAnsi="Times New Roman"/>
          <w:lang w:val="en-US"/>
        </w:rPr>
        <w:t>, and there is a common objective</w:t>
      </w:r>
      <w:r w:rsidR="00F93924">
        <w:rPr>
          <w:rStyle w:val="normaltextrun"/>
          <w:rFonts w:ascii="Times New Roman" w:hAnsi="Times New Roman"/>
          <w:lang w:val="en-US"/>
        </w:rPr>
        <w:t>.</w:t>
      </w:r>
      <w:r w:rsidRPr="0061187B">
        <w:rPr>
          <w:rStyle w:val="normaltextrun"/>
          <w:rFonts w:ascii="Times New Roman" w:hAnsi="Times New Roman"/>
          <w:lang w:val="en-US"/>
        </w:rPr>
        <w:t xml:space="preserve"> Mr Mills’ recent witness statement of 10 De</w:t>
      </w:r>
      <w:r w:rsidR="00FD77B9" w:rsidRPr="0061187B">
        <w:rPr>
          <w:rStyle w:val="normaltextrun"/>
          <w:rFonts w:ascii="Times New Roman" w:hAnsi="Times New Roman"/>
          <w:lang w:val="en-US"/>
        </w:rPr>
        <w:t xml:space="preserve">cember 2020 </w:t>
      </w:r>
      <w:r w:rsidR="00776E35">
        <w:rPr>
          <w:rStyle w:val="normaltextrun"/>
          <w:rFonts w:ascii="Times New Roman" w:hAnsi="Times New Roman"/>
          <w:lang w:val="en-US"/>
        </w:rPr>
        <w:t xml:space="preserve">on behalf of the Secretary of State </w:t>
      </w:r>
      <w:r w:rsidR="00FD77B9" w:rsidRPr="0061187B">
        <w:rPr>
          <w:rStyle w:val="normaltextrun"/>
          <w:rFonts w:ascii="Times New Roman" w:hAnsi="Times New Roman"/>
          <w:lang w:val="en-US"/>
        </w:rPr>
        <w:t xml:space="preserve">speaks powerfully of the commitment and effort </w:t>
      </w:r>
      <w:r w:rsidR="00FD77B9" w:rsidRPr="0061187B">
        <w:rPr>
          <w:rFonts w:ascii="Times New Roman" w:hAnsi="Times New Roman"/>
        </w:rPr>
        <w:t xml:space="preserve">to ensure </w:t>
      </w:r>
      <w:r w:rsidR="00140AF6" w:rsidRPr="0061187B">
        <w:rPr>
          <w:rFonts w:ascii="Times New Roman" w:hAnsi="Times New Roman"/>
        </w:rPr>
        <w:t xml:space="preserve">that </w:t>
      </w:r>
      <w:r w:rsidR="0006681F" w:rsidRPr="0061187B">
        <w:rPr>
          <w:rFonts w:ascii="Times New Roman" w:hAnsi="Times New Roman"/>
        </w:rPr>
        <w:t>accommodation</w:t>
      </w:r>
      <w:r w:rsidR="00715A33" w:rsidRPr="0061187B">
        <w:rPr>
          <w:rFonts w:ascii="Times New Roman" w:hAnsi="Times New Roman"/>
        </w:rPr>
        <w:t xml:space="preserve"> is provided, with officials working harder than ever on this over the p</w:t>
      </w:r>
      <w:r w:rsidR="0061187B" w:rsidRPr="0061187B">
        <w:rPr>
          <w:rFonts w:ascii="Times New Roman" w:hAnsi="Times New Roman"/>
        </w:rPr>
        <w:t>a</w:t>
      </w:r>
      <w:r w:rsidR="00715A33" w:rsidRPr="0061187B">
        <w:rPr>
          <w:rFonts w:ascii="Times New Roman" w:hAnsi="Times New Roman"/>
        </w:rPr>
        <w:t>ndemic</w:t>
      </w:r>
      <w:r w:rsidR="00FD77B9" w:rsidRPr="0061187B">
        <w:rPr>
          <w:rFonts w:ascii="Times New Roman" w:hAnsi="Times New Roman"/>
        </w:rPr>
        <w:t>.</w:t>
      </w:r>
      <w:r w:rsidR="00EF713F">
        <w:rPr>
          <w:rFonts w:ascii="Times New Roman" w:hAnsi="Times New Roman"/>
        </w:rPr>
        <w:t xml:space="preserve"> </w:t>
      </w:r>
      <w:r w:rsidR="00B62191">
        <w:rPr>
          <w:rFonts w:ascii="Times New Roman" w:hAnsi="Times New Roman"/>
        </w:rPr>
        <w:t>This may not always be appreciated by others</w:t>
      </w:r>
      <w:r w:rsidR="00EF713F">
        <w:rPr>
          <w:rFonts w:ascii="Times New Roman" w:hAnsi="Times New Roman"/>
        </w:rPr>
        <w:t>.</w:t>
      </w:r>
      <w:r w:rsidR="0083507B">
        <w:rPr>
          <w:rFonts w:ascii="Times New Roman" w:hAnsi="Times New Roman"/>
        </w:rPr>
        <w:t xml:space="preserve"> </w:t>
      </w:r>
      <w:r w:rsidR="00627A09" w:rsidRPr="0061187B">
        <w:rPr>
          <w:rStyle w:val="normaltextrun"/>
          <w:rFonts w:ascii="Times New Roman" w:hAnsi="Times New Roman"/>
          <w:lang w:val="en-US"/>
        </w:rPr>
        <w:t xml:space="preserve">I respectfully </w:t>
      </w:r>
      <w:r w:rsidR="00B139A4" w:rsidRPr="0061187B">
        <w:rPr>
          <w:rStyle w:val="normaltextrun"/>
          <w:rFonts w:ascii="Times New Roman" w:hAnsi="Times New Roman"/>
          <w:lang w:val="en-US"/>
        </w:rPr>
        <w:t xml:space="preserve">urge that </w:t>
      </w:r>
      <w:r w:rsidR="00DE5FEB" w:rsidRPr="0061187B">
        <w:rPr>
          <w:rStyle w:val="normaltextrun"/>
          <w:rFonts w:ascii="Times New Roman" w:hAnsi="Times New Roman"/>
          <w:lang w:val="en-US"/>
        </w:rPr>
        <w:t xml:space="preserve">everything that has happened in </w:t>
      </w:r>
      <w:r w:rsidR="002462F2" w:rsidRPr="0061187B">
        <w:rPr>
          <w:rStyle w:val="normaltextrun"/>
          <w:rFonts w:ascii="Times New Roman" w:hAnsi="Times New Roman"/>
          <w:lang w:val="en-US"/>
        </w:rPr>
        <w:t>the case</w:t>
      </w:r>
      <w:r w:rsidR="00DE5FEB" w:rsidRPr="0061187B">
        <w:rPr>
          <w:rStyle w:val="normaltextrun"/>
          <w:rFonts w:ascii="Times New Roman" w:hAnsi="Times New Roman"/>
          <w:lang w:val="en-US"/>
        </w:rPr>
        <w:t>s</w:t>
      </w:r>
      <w:r w:rsidR="002462F2" w:rsidRPr="0061187B">
        <w:rPr>
          <w:rStyle w:val="normaltextrun"/>
          <w:rFonts w:ascii="Times New Roman" w:hAnsi="Times New Roman"/>
          <w:lang w:val="en-US"/>
        </w:rPr>
        <w:t xml:space="preserve"> </w:t>
      </w:r>
      <w:r w:rsidR="00457C1D" w:rsidRPr="0061187B">
        <w:rPr>
          <w:rStyle w:val="normaltextrun"/>
          <w:rFonts w:ascii="Times New Roman" w:hAnsi="Times New Roman"/>
          <w:lang w:val="en-US"/>
        </w:rPr>
        <w:t xml:space="preserve">before this Court </w:t>
      </w:r>
      <w:r w:rsidR="00DE5FEB" w:rsidRPr="0061187B">
        <w:rPr>
          <w:rStyle w:val="normaltextrun"/>
          <w:rFonts w:ascii="Times New Roman" w:hAnsi="Times New Roman"/>
          <w:lang w:val="en-US"/>
        </w:rPr>
        <w:t>help</w:t>
      </w:r>
      <w:r w:rsidR="00457C1D" w:rsidRPr="0061187B">
        <w:rPr>
          <w:rStyle w:val="normaltextrun"/>
          <w:rFonts w:ascii="Times New Roman" w:hAnsi="Times New Roman"/>
          <w:lang w:val="en-US"/>
        </w:rPr>
        <w:t>s</w:t>
      </w:r>
      <w:r w:rsidR="00DE5FEB" w:rsidRPr="0061187B">
        <w:rPr>
          <w:rStyle w:val="normaltextrun"/>
          <w:rFonts w:ascii="Times New Roman" w:hAnsi="Times New Roman"/>
          <w:lang w:val="en-US"/>
        </w:rPr>
        <w:t xml:space="preserve"> </w:t>
      </w:r>
      <w:r w:rsidR="002462F2" w:rsidRPr="0061187B">
        <w:rPr>
          <w:rStyle w:val="normaltextrun"/>
          <w:rFonts w:ascii="Times New Roman" w:hAnsi="Times New Roman"/>
          <w:lang w:val="en-US"/>
        </w:rPr>
        <w:t xml:space="preserve">show </w:t>
      </w:r>
      <w:r w:rsidR="00DE5FEB" w:rsidRPr="0061187B">
        <w:rPr>
          <w:rStyle w:val="normaltextrun"/>
          <w:rFonts w:ascii="Times New Roman" w:hAnsi="Times New Roman"/>
          <w:lang w:val="en-US"/>
        </w:rPr>
        <w:t xml:space="preserve">that </w:t>
      </w:r>
      <w:r w:rsidR="003F4164" w:rsidRPr="0061187B">
        <w:rPr>
          <w:rStyle w:val="normaltextrun"/>
          <w:rFonts w:ascii="Times New Roman" w:hAnsi="Times New Roman"/>
          <w:lang w:val="en-US"/>
        </w:rPr>
        <w:t>w</w:t>
      </w:r>
      <w:r w:rsidR="00F40221" w:rsidRPr="0061187B">
        <w:rPr>
          <w:rStyle w:val="normaltextrun"/>
          <w:rFonts w:ascii="Times New Roman" w:hAnsi="Times New Roman"/>
          <w:lang w:val="en-US"/>
        </w:rPr>
        <w:t xml:space="preserve">hat is needed </w:t>
      </w:r>
      <w:r w:rsidR="00C358E7">
        <w:rPr>
          <w:rStyle w:val="normaltextrun"/>
          <w:rFonts w:ascii="Times New Roman" w:hAnsi="Times New Roman"/>
          <w:lang w:val="en-US"/>
        </w:rPr>
        <w:t>now</w:t>
      </w:r>
      <w:r w:rsidR="0083507B">
        <w:rPr>
          <w:rStyle w:val="normaltextrun"/>
          <w:rFonts w:ascii="Times New Roman" w:hAnsi="Times New Roman"/>
          <w:lang w:val="en-US"/>
        </w:rPr>
        <w:t>, on all sides,</w:t>
      </w:r>
      <w:r w:rsidR="00F40221" w:rsidRPr="0061187B">
        <w:rPr>
          <w:rStyle w:val="normaltextrun"/>
          <w:rFonts w:ascii="Times New Roman" w:hAnsi="Times New Roman"/>
          <w:lang w:val="en-US"/>
        </w:rPr>
        <w:t xml:space="preserve"> </w:t>
      </w:r>
      <w:r w:rsidR="0034676E" w:rsidRPr="0061187B">
        <w:rPr>
          <w:rStyle w:val="normaltextrun"/>
          <w:rFonts w:ascii="Times New Roman" w:hAnsi="Times New Roman"/>
          <w:lang w:val="en-US"/>
        </w:rPr>
        <w:t>i</w:t>
      </w:r>
      <w:r w:rsidR="00F40221" w:rsidRPr="0061187B">
        <w:rPr>
          <w:rStyle w:val="normaltextrun"/>
          <w:rFonts w:ascii="Times New Roman" w:hAnsi="Times New Roman"/>
          <w:lang w:val="en-US"/>
        </w:rPr>
        <w:t>s</w:t>
      </w:r>
      <w:r w:rsidR="00CE5168" w:rsidRPr="0061187B">
        <w:rPr>
          <w:rStyle w:val="normaltextrun"/>
          <w:rFonts w:ascii="Times New Roman" w:hAnsi="Times New Roman"/>
          <w:lang w:val="en-US"/>
        </w:rPr>
        <w:t xml:space="preserve"> cooperati</w:t>
      </w:r>
      <w:r w:rsidR="00011A93" w:rsidRPr="0061187B">
        <w:rPr>
          <w:rStyle w:val="normaltextrun"/>
          <w:rFonts w:ascii="Times New Roman" w:hAnsi="Times New Roman"/>
          <w:lang w:val="en-US"/>
        </w:rPr>
        <w:t>ve, constructive</w:t>
      </w:r>
      <w:r w:rsidR="0004364D" w:rsidRPr="0061187B">
        <w:rPr>
          <w:rStyle w:val="normaltextrun"/>
          <w:rFonts w:ascii="Times New Roman" w:hAnsi="Times New Roman"/>
          <w:lang w:val="en-US"/>
        </w:rPr>
        <w:t>, collaborative</w:t>
      </w:r>
      <w:r w:rsidR="00CE5168" w:rsidRPr="0061187B">
        <w:rPr>
          <w:rStyle w:val="normaltextrun"/>
          <w:rFonts w:ascii="Times New Roman" w:hAnsi="Times New Roman"/>
          <w:lang w:val="en-US"/>
        </w:rPr>
        <w:t xml:space="preserve"> engagement</w:t>
      </w:r>
      <w:r w:rsidR="003F4204" w:rsidRPr="0061187B">
        <w:rPr>
          <w:rStyle w:val="normaltextrun"/>
          <w:rFonts w:ascii="Times New Roman" w:hAnsi="Times New Roman"/>
          <w:lang w:val="en-US"/>
        </w:rPr>
        <w:t>,</w:t>
      </w:r>
      <w:r w:rsidR="007C7DA0" w:rsidRPr="0061187B">
        <w:rPr>
          <w:rStyle w:val="normaltextrun"/>
          <w:rFonts w:ascii="Times New Roman" w:hAnsi="Times New Roman"/>
          <w:lang w:val="en-US"/>
        </w:rPr>
        <w:t xml:space="preserve"> including over data and monitoring</w:t>
      </w:r>
      <w:r w:rsidR="002576DD" w:rsidRPr="0061187B">
        <w:rPr>
          <w:rStyle w:val="normaltextrun"/>
          <w:rFonts w:ascii="Times New Roman" w:hAnsi="Times New Roman"/>
          <w:lang w:val="en-US"/>
        </w:rPr>
        <w:t xml:space="preserve">, </w:t>
      </w:r>
      <w:r w:rsidR="00AA483A" w:rsidRPr="0061187B">
        <w:rPr>
          <w:rStyle w:val="normaltextrun"/>
          <w:rFonts w:ascii="Times New Roman" w:hAnsi="Times New Roman"/>
          <w:lang w:val="en-US"/>
        </w:rPr>
        <w:t>towards</w:t>
      </w:r>
      <w:r w:rsidR="0004364D" w:rsidRPr="0061187B">
        <w:rPr>
          <w:rStyle w:val="normaltextrun"/>
          <w:rFonts w:ascii="Times New Roman" w:hAnsi="Times New Roman"/>
          <w:lang w:val="en-US"/>
        </w:rPr>
        <w:t xml:space="preserve"> a system that wins confidence</w:t>
      </w:r>
      <w:r w:rsidR="001B1828" w:rsidRPr="0061187B">
        <w:rPr>
          <w:rStyle w:val="normaltextrun"/>
          <w:rFonts w:ascii="Times New Roman" w:hAnsi="Times New Roman"/>
          <w:lang w:val="en-US"/>
        </w:rPr>
        <w:t xml:space="preserve"> and respect</w:t>
      </w:r>
      <w:r w:rsidR="0004364D" w:rsidRPr="00602F08">
        <w:rPr>
          <w:rStyle w:val="normaltextrun"/>
          <w:rFonts w:ascii="Times New Roman" w:hAnsi="Times New Roman"/>
          <w:lang w:val="en-US"/>
        </w:rPr>
        <w:t>.</w:t>
      </w:r>
      <w:r w:rsidR="00DC0B65" w:rsidRPr="00602F08">
        <w:rPr>
          <w:rStyle w:val="normaltextrun"/>
          <w:rFonts w:ascii="Times New Roman" w:hAnsi="Times New Roman"/>
          <w:lang w:val="en-US"/>
        </w:rPr>
        <w:t xml:space="preserve"> </w:t>
      </w:r>
    </w:p>
    <w:sectPr w:rsidR="000D5BD1" w:rsidRPr="00602F0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D3987" w14:textId="77777777" w:rsidR="00A602D8" w:rsidRDefault="00A602D8">
      <w:r>
        <w:separator/>
      </w:r>
    </w:p>
  </w:endnote>
  <w:endnote w:type="continuationSeparator" w:id="0">
    <w:p w14:paraId="4B4CC688" w14:textId="77777777" w:rsidR="00A602D8" w:rsidRDefault="00A6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20CB3" w14:textId="77777777" w:rsidR="00B6212D" w:rsidRDefault="00B6212D">
    <w:pPr>
      <w:pStyle w:val="Footer"/>
      <w:jc w:val="right"/>
    </w:pPr>
    <w:r>
      <w:fldChar w:fldCharType="begin"/>
    </w:r>
    <w:r>
      <w:instrText xml:space="preserve"> PAGE   \* MERGEFORMAT </w:instrText>
    </w:r>
    <w:r>
      <w:fldChar w:fldCharType="separate"/>
    </w:r>
    <w:r w:rsidR="00101854">
      <w:rPr>
        <w:noProof/>
      </w:rPr>
      <w:t>6</w:t>
    </w:r>
    <w:r>
      <w:rPr>
        <w:noProof/>
      </w:rPr>
      <w:fldChar w:fldCharType="end"/>
    </w:r>
  </w:p>
  <w:p w14:paraId="5EAE3932" w14:textId="77777777" w:rsidR="00B6212D" w:rsidRDefault="00B62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23644" w14:textId="77777777" w:rsidR="00A602D8" w:rsidRDefault="00A602D8">
      <w:r>
        <w:separator/>
      </w:r>
    </w:p>
  </w:footnote>
  <w:footnote w:type="continuationSeparator" w:id="0">
    <w:p w14:paraId="105585F3" w14:textId="77777777" w:rsidR="00A602D8" w:rsidRDefault="00A60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DA1"/>
    <w:multiLevelType w:val="hybridMultilevel"/>
    <w:tmpl w:val="CF9873D8"/>
    <w:lvl w:ilvl="0" w:tplc="3F004E00">
      <w:start w:val="1"/>
      <w:numFmt w:val="lowerLetter"/>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 w15:restartNumberingAfterBreak="0">
    <w:nsid w:val="066511E0"/>
    <w:multiLevelType w:val="hybridMultilevel"/>
    <w:tmpl w:val="F1D40FE2"/>
    <w:lvl w:ilvl="0" w:tplc="B496778E">
      <w:start w:val="173"/>
      <w:numFmt w:val="decimal"/>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2" w15:restartNumberingAfterBreak="0">
    <w:nsid w:val="0E241C55"/>
    <w:multiLevelType w:val="hybridMultilevel"/>
    <w:tmpl w:val="6E341B22"/>
    <w:lvl w:ilvl="0" w:tplc="B3EE30A4">
      <w:start w:val="1"/>
      <w:numFmt w:val="lowerLetter"/>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3" w15:restartNumberingAfterBreak="0">
    <w:nsid w:val="0E823A63"/>
    <w:multiLevelType w:val="hybridMultilevel"/>
    <w:tmpl w:val="11E28FDE"/>
    <w:lvl w:ilvl="0" w:tplc="2C4E3398">
      <w:start w:val="1"/>
      <w:numFmt w:val="decimal"/>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4" w15:restartNumberingAfterBreak="0">
    <w:nsid w:val="11E70E0D"/>
    <w:multiLevelType w:val="multilevel"/>
    <w:tmpl w:val="7CD220BC"/>
    <w:lvl w:ilvl="0">
      <w:start w:val="1"/>
      <w:numFmt w:val="decimal"/>
      <w:pStyle w:val="SOCNumbered"/>
      <w:lvlText w:val="%1."/>
      <w:lvlJc w:val="left"/>
      <w:pPr>
        <w:ind w:left="737" w:hanging="737"/>
      </w:pPr>
      <w:rPr>
        <w:b w:val="0"/>
        <w:i w:val="0"/>
      </w:rPr>
    </w:lvl>
    <w:lvl w:ilvl="1">
      <w:start w:val="1"/>
      <w:numFmt w:val="decimal"/>
      <w:pStyle w:val="SOCNumberedlevel2"/>
      <w:lvlText w:val="(%2)"/>
      <w:lvlJc w:val="left"/>
      <w:pPr>
        <w:ind w:left="1418" w:hanging="624"/>
      </w:pPr>
    </w:lvl>
    <w:lvl w:ilvl="2">
      <w:start w:val="1"/>
      <w:numFmt w:val="lowerLetter"/>
      <w:pStyle w:val="SOCNumberedlevel3"/>
      <w:lvlText w:val="(%3)"/>
      <w:lvlJc w:val="right"/>
      <w:pPr>
        <w:ind w:left="2155" w:hanging="175"/>
      </w:pPr>
    </w:lvl>
    <w:lvl w:ilvl="3">
      <w:start w:val="1"/>
      <w:numFmt w:val="lowerRoman"/>
      <w:pStyle w:val="SOCNumberedlevel4"/>
      <w:lvlText w:val="(%4)"/>
      <w:lvlJc w:val="left"/>
      <w:pPr>
        <w:ind w:left="2880" w:hanging="360"/>
      </w:pPr>
      <w:rPr>
        <w:rFonts w:ascii="Times New Roman" w:eastAsia="Times New Roman" w:hAnsi="Times New Roman" w:cs="Times New Roman"/>
      </w:rPr>
    </w:lvl>
    <w:lvl w:ilvl="4">
      <w:start w:val="1"/>
      <w:numFmt w:val="lowerRoman"/>
      <w:pStyle w:val="SOCNumberedlevel5"/>
      <w:lvlText w:val="(%5)"/>
      <w:lvlJc w:val="left"/>
      <w:pPr>
        <w:ind w:left="3600" w:hanging="360"/>
      </w:pPr>
    </w:lvl>
    <w:lvl w:ilvl="5">
      <w:start w:val="1"/>
      <w:numFmt w:val="lowerRoman"/>
      <w:pStyle w:val="SOCNumberedlevel6"/>
      <w:lvlText w:val="%6."/>
      <w:lvlJc w:val="right"/>
      <w:pPr>
        <w:ind w:left="4320" w:hanging="180"/>
      </w:pPr>
    </w:lvl>
    <w:lvl w:ilvl="6">
      <w:start w:val="1"/>
      <w:numFmt w:val="decimal"/>
      <w:pStyle w:val="SOCNumberedlevel7"/>
      <w:lvlText w:val="%7."/>
      <w:lvlJc w:val="left"/>
      <w:pPr>
        <w:ind w:left="5040" w:hanging="360"/>
      </w:pPr>
    </w:lvl>
    <w:lvl w:ilvl="7">
      <w:start w:val="1"/>
      <w:numFmt w:val="lowerLetter"/>
      <w:pStyle w:val="SOCNumberedlevel8"/>
      <w:lvlText w:val="%8."/>
      <w:lvlJc w:val="left"/>
      <w:pPr>
        <w:ind w:left="5760" w:hanging="360"/>
      </w:pPr>
    </w:lvl>
    <w:lvl w:ilvl="8">
      <w:start w:val="1"/>
      <w:numFmt w:val="lowerRoman"/>
      <w:pStyle w:val="SOCNumberedlevel9"/>
      <w:lvlText w:val="%9."/>
      <w:lvlJc w:val="right"/>
      <w:pPr>
        <w:ind w:left="6480" w:hanging="180"/>
      </w:pPr>
    </w:lvl>
  </w:abstractNum>
  <w:abstractNum w:abstractNumId="5" w15:restartNumberingAfterBreak="0">
    <w:nsid w:val="1E945456"/>
    <w:multiLevelType w:val="hybridMultilevel"/>
    <w:tmpl w:val="07325ABE"/>
    <w:lvl w:ilvl="0" w:tplc="DF00878E">
      <w:start w:val="1"/>
      <w:numFmt w:val="decimal"/>
      <w:lvlText w:val="%1."/>
      <w:lvlJc w:val="left"/>
      <w:pPr>
        <w:ind w:left="687" w:hanging="568"/>
      </w:pPr>
      <w:rPr>
        <w:rFonts w:hint="default"/>
        <w:spacing w:val="-11"/>
        <w:w w:val="100"/>
        <w:lang w:val="en-GB" w:eastAsia="en-GB" w:bidi="en-GB"/>
      </w:rPr>
    </w:lvl>
    <w:lvl w:ilvl="1" w:tplc="FD960F9E">
      <w:start w:val="1"/>
      <w:numFmt w:val="lowerRoman"/>
      <w:lvlText w:val="(%2)"/>
      <w:lvlJc w:val="left"/>
      <w:pPr>
        <w:ind w:left="1560" w:hanging="287"/>
      </w:pPr>
      <w:rPr>
        <w:rFonts w:ascii="Times New Roman" w:eastAsia="Times New Roman" w:hAnsi="Times New Roman" w:cs="Times New Roman" w:hint="default"/>
        <w:spacing w:val="-1"/>
        <w:w w:val="100"/>
        <w:sz w:val="24"/>
        <w:szCs w:val="24"/>
        <w:lang w:val="en-GB" w:eastAsia="en-GB" w:bidi="en-GB"/>
      </w:rPr>
    </w:lvl>
    <w:lvl w:ilvl="2" w:tplc="74685F74">
      <w:numFmt w:val="bullet"/>
      <w:lvlText w:val="•"/>
      <w:lvlJc w:val="left"/>
      <w:pPr>
        <w:ind w:left="1560" w:hanging="287"/>
      </w:pPr>
      <w:rPr>
        <w:rFonts w:hint="default"/>
        <w:lang w:val="en-GB" w:eastAsia="en-GB" w:bidi="en-GB"/>
      </w:rPr>
    </w:lvl>
    <w:lvl w:ilvl="3" w:tplc="676AB080">
      <w:numFmt w:val="bullet"/>
      <w:lvlText w:val="•"/>
      <w:lvlJc w:val="left"/>
      <w:pPr>
        <w:ind w:left="2603" w:hanging="287"/>
      </w:pPr>
      <w:rPr>
        <w:rFonts w:hint="default"/>
        <w:lang w:val="en-GB" w:eastAsia="en-GB" w:bidi="en-GB"/>
      </w:rPr>
    </w:lvl>
    <w:lvl w:ilvl="4" w:tplc="998ABBD0">
      <w:numFmt w:val="bullet"/>
      <w:lvlText w:val="•"/>
      <w:lvlJc w:val="left"/>
      <w:pPr>
        <w:ind w:left="3646" w:hanging="287"/>
      </w:pPr>
      <w:rPr>
        <w:rFonts w:hint="default"/>
        <w:lang w:val="en-GB" w:eastAsia="en-GB" w:bidi="en-GB"/>
      </w:rPr>
    </w:lvl>
    <w:lvl w:ilvl="5" w:tplc="BE8C9D48">
      <w:numFmt w:val="bullet"/>
      <w:lvlText w:val="•"/>
      <w:lvlJc w:val="left"/>
      <w:pPr>
        <w:ind w:left="4689" w:hanging="287"/>
      </w:pPr>
      <w:rPr>
        <w:rFonts w:hint="default"/>
        <w:lang w:val="en-GB" w:eastAsia="en-GB" w:bidi="en-GB"/>
      </w:rPr>
    </w:lvl>
    <w:lvl w:ilvl="6" w:tplc="777E848A">
      <w:numFmt w:val="bullet"/>
      <w:lvlText w:val="•"/>
      <w:lvlJc w:val="left"/>
      <w:pPr>
        <w:ind w:left="5733" w:hanging="287"/>
      </w:pPr>
      <w:rPr>
        <w:rFonts w:hint="default"/>
        <w:lang w:val="en-GB" w:eastAsia="en-GB" w:bidi="en-GB"/>
      </w:rPr>
    </w:lvl>
    <w:lvl w:ilvl="7" w:tplc="0E10F502">
      <w:numFmt w:val="bullet"/>
      <w:lvlText w:val="•"/>
      <w:lvlJc w:val="left"/>
      <w:pPr>
        <w:ind w:left="6776" w:hanging="287"/>
      </w:pPr>
      <w:rPr>
        <w:rFonts w:hint="default"/>
        <w:lang w:val="en-GB" w:eastAsia="en-GB" w:bidi="en-GB"/>
      </w:rPr>
    </w:lvl>
    <w:lvl w:ilvl="8" w:tplc="09C29756">
      <w:numFmt w:val="bullet"/>
      <w:lvlText w:val="•"/>
      <w:lvlJc w:val="left"/>
      <w:pPr>
        <w:ind w:left="7819" w:hanging="287"/>
      </w:pPr>
      <w:rPr>
        <w:rFonts w:hint="default"/>
        <w:lang w:val="en-GB" w:eastAsia="en-GB" w:bidi="en-GB"/>
      </w:rPr>
    </w:lvl>
  </w:abstractNum>
  <w:abstractNum w:abstractNumId="6" w15:restartNumberingAfterBreak="0">
    <w:nsid w:val="1E961ABC"/>
    <w:multiLevelType w:val="hybridMultilevel"/>
    <w:tmpl w:val="A5E279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EED1158"/>
    <w:multiLevelType w:val="hybridMultilevel"/>
    <w:tmpl w:val="F0FA5AB8"/>
    <w:lvl w:ilvl="0" w:tplc="BCB2968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5510C4"/>
    <w:multiLevelType w:val="hybridMultilevel"/>
    <w:tmpl w:val="D9E22B62"/>
    <w:lvl w:ilvl="0" w:tplc="A560C158">
      <w:start w:val="1"/>
      <w:numFmt w:val="decimal"/>
      <w:lvlText w:val="(%1)"/>
      <w:lvlJc w:val="left"/>
      <w:pPr>
        <w:ind w:left="1047" w:hanging="360"/>
      </w:pPr>
      <w:rPr>
        <w:rFonts w:ascii="Times New Roman" w:hAnsi="Times New Roman" w:cs="Times New Roman"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9" w15:restartNumberingAfterBreak="0">
    <w:nsid w:val="20A35082"/>
    <w:multiLevelType w:val="hybridMultilevel"/>
    <w:tmpl w:val="9A729FDA"/>
    <w:lvl w:ilvl="0" w:tplc="EF46E270">
      <w:numFmt w:val="bullet"/>
      <w:lvlText w:val=""/>
      <w:lvlJc w:val="left"/>
      <w:pPr>
        <w:ind w:left="2280" w:hanging="360"/>
      </w:pPr>
      <w:rPr>
        <w:rFonts w:ascii="Symbol" w:eastAsia="Symbol" w:hAnsi="Symbol" w:cs="Symbol" w:hint="default"/>
        <w:w w:val="100"/>
        <w:sz w:val="24"/>
        <w:szCs w:val="24"/>
        <w:lang w:val="en-GB" w:eastAsia="en-GB" w:bidi="en-GB"/>
      </w:rPr>
    </w:lvl>
    <w:lvl w:ilvl="1" w:tplc="98C42D3E">
      <w:numFmt w:val="bullet"/>
      <w:lvlText w:val="•"/>
      <w:lvlJc w:val="left"/>
      <w:pPr>
        <w:ind w:left="3042" w:hanging="360"/>
      </w:pPr>
      <w:rPr>
        <w:rFonts w:hint="default"/>
        <w:lang w:val="en-GB" w:eastAsia="en-GB" w:bidi="en-GB"/>
      </w:rPr>
    </w:lvl>
    <w:lvl w:ilvl="2" w:tplc="20A48024">
      <w:numFmt w:val="bullet"/>
      <w:lvlText w:val="•"/>
      <w:lvlJc w:val="left"/>
      <w:pPr>
        <w:ind w:left="3805" w:hanging="360"/>
      </w:pPr>
      <w:rPr>
        <w:rFonts w:hint="default"/>
        <w:lang w:val="en-GB" w:eastAsia="en-GB" w:bidi="en-GB"/>
      </w:rPr>
    </w:lvl>
    <w:lvl w:ilvl="3" w:tplc="62EA2ECA">
      <w:numFmt w:val="bullet"/>
      <w:lvlText w:val="•"/>
      <w:lvlJc w:val="left"/>
      <w:pPr>
        <w:ind w:left="4567" w:hanging="360"/>
      </w:pPr>
      <w:rPr>
        <w:rFonts w:hint="default"/>
        <w:lang w:val="en-GB" w:eastAsia="en-GB" w:bidi="en-GB"/>
      </w:rPr>
    </w:lvl>
    <w:lvl w:ilvl="4" w:tplc="6374D59C">
      <w:numFmt w:val="bullet"/>
      <w:lvlText w:val="•"/>
      <w:lvlJc w:val="left"/>
      <w:pPr>
        <w:ind w:left="5330" w:hanging="360"/>
      </w:pPr>
      <w:rPr>
        <w:rFonts w:hint="default"/>
        <w:lang w:val="en-GB" w:eastAsia="en-GB" w:bidi="en-GB"/>
      </w:rPr>
    </w:lvl>
    <w:lvl w:ilvl="5" w:tplc="52F88BBC">
      <w:numFmt w:val="bullet"/>
      <w:lvlText w:val="•"/>
      <w:lvlJc w:val="left"/>
      <w:pPr>
        <w:ind w:left="6093" w:hanging="360"/>
      </w:pPr>
      <w:rPr>
        <w:rFonts w:hint="default"/>
        <w:lang w:val="en-GB" w:eastAsia="en-GB" w:bidi="en-GB"/>
      </w:rPr>
    </w:lvl>
    <w:lvl w:ilvl="6" w:tplc="4150157E">
      <w:numFmt w:val="bullet"/>
      <w:lvlText w:val="•"/>
      <w:lvlJc w:val="left"/>
      <w:pPr>
        <w:ind w:left="6855" w:hanging="360"/>
      </w:pPr>
      <w:rPr>
        <w:rFonts w:hint="default"/>
        <w:lang w:val="en-GB" w:eastAsia="en-GB" w:bidi="en-GB"/>
      </w:rPr>
    </w:lvl>
    <w:lvl w:ilvl="7" w:tplc="C3227DA4">
      <w:numFmt w:val="bullet"/>
      <w:lvlText w:val="•"/>
      <w:lvlJc w:val="left"/>
      <w:pPr>
        <w:ind w:left="7618" w:hanging="360"/>
      </w:pPr>
      <w:rPr>
        <w:rFonts w:hint="default"/>
        <w:lang w:val="en-GB" w:eastAsia="en-GB" w:bidi="en-GB"/>
      </w:rPr>
    </w:lvl>
    <w:lvl w:ilvl="8" w:tplc="944494DA">
      <w:numFmt w:val="bullet"/>
      <w:lvlText w:val="•"/>
      <w:lvlJc w:val="left"/>
      <w:pPr>
        <w:ind w:left="8380" w:hanging="360"/>
      </w:pPr>
      <w:rPr>
        <w:rFonts w:hint="default"/>
        <w:lang w:val="en-GB" w:eastAsia="en-GB" w:bidi="en-GB"/>
      </w:rPr>
    </w:lvl>
  </w:abstractNum>
  <w:abstractNum w:abstractNumId="10" w15:restartNumberingAfterBreak="0">
    <w:nsid w:val="24395EDA"/>
    <w:multiLevelType w:val="hybridMultilevel"/>
    <w:tmpl w:val="8E9440FC"/>
    <w:lvl w:ilvl="0" w:tplc="DF00878E">
      <w:start w:val="1"/>
      <w:numFmt w:val="decimal"/>
      <w:lvlText w:val="%1."/>
      <w:lvlJc w:val="left"/>
      <w:pPr>
        <w:ind w:left="687" w:hanging="568"/>
      </w:pPr>
      <w:rPr>
        <w:rFonts w:hint="default"/>
        <w:spacing w:val="-11"/>
        <w:w w:val="100"/>
        <w:lang w:val="en-GB" w:eastAsia="en-GB" w:bidi="en-GB"/>
      </w:rPr>
    </w:lvl>
    <w:lvl w:ilvl="1" w:tplc="FD960F9E">
      <w:start w:val="1"/>
      <w:numFmt w:val="lowerRoman"/>
      <w:lvlText w:val="(%2)"/>
      <w:lvlJc w:val="left"/>
      <w:pPr>
        <w:ind w:left="1560" w:hanging="287"/>
      </w:pPr>
      <w:rPr>
        <w:rFonts w:ascii="Times New Roman" w:eastAsia="Times New Roman" w:hAnsi="Times New Roman" w:cs="Times New Roman" w:hint="default"/>
        <w:spacing w:val="-1"/>
        <w:w w:val="100"/>
        <w:sz w:val="24"/>
        <w:szCs w:val="24"/>
        <w:lang w:val="en-GB" w:eastAsia="en-GB" w:bidi="en-GB"/>
      </w:rPr>
    </w:lvl>
    <w:lvl w:ilvl="2" w:tplc="74685F74">
      <w:numFmt w:val="bullet"/>
      <w:lvlText w:val="•"/>
      <w:lvlJc w:val="left"/>
      <w:pPr>
        <w:ind w:left="1560" w:hanging="287"/>
      </w:pPr>
      <w:rPr>
        <w:rFonts w:hint="default"/>
        <w:lang w:val="en-GB" w:eastAsia="en-GB" w:bidi="en-GB"/>
      </w:rPr>
    </w:lvl>
    <w:lvl w:ilvl="3" w:tplc="676AB080">
      <w:numFmt w:val="bullet"/>
      <w:lvlText w:val="•"/>
      <w:lvlJc w:val="left"/>
      <w:pPr>
        <w:ind w:left="2603" w:hanging="287"/>
      </w:pPr>
      <w:rPr>
        <w:rFonts w:hint="default"/>
        <w:lang w:val="en-GB" w:eastAsia="en-GB" w:bidi="en-GB"/>
      </w:rPr>
    </w:lvl>
    <w:lvl w:ilvl="4" w:tplc="998ABBD0">
      <w:numFmt w:val="bullet"/>
      <w:lvlText w:val="•"/>
      <w:lvlJc w:val="left"/>
      <w:pPr>
        <w:ind w:left="3646" w:hanging="287"/>
      </w:pPr>
      <w:rPr>
        <w:rFonts w:hint="default"/>
        <w:lang w:val="en-GB" w:eastAsia="en-GB" w:bidi="en-GB"/>
      </w:rPr>
    </w:lvl>
    <w:lvl w:ilvl="5" w:tplc="BE8C9D48">
      <w:numFmt w:val="bullet"/>
      <w:lvlText w:val="•"/>
      <w:lvlJc w:val="left"/>
      <w:pPr>
        <w:ind w:left="4689" w:hanging="287"/>
      </w:pPr>
      <w:rPr>
        <w:rFonts w:hint="default"/>
        <w:lang w:val="en-GB" w:eastAsia="en-GB" w:bidi="en-GB"/>
      </w:rPr>
    </w:lvl>
    <w:lvl w:ilvl="6" w:tplc="777E848A">
      <w:numFmt w:val="bullet"/>
      <w:lvlText w:val="•"/>
      <w:lvlJc w:val="left"/>
      <w:pPr>
        <w:ind w:left="5733" w:hanging="287"/>
      </w:pPr>
      <w:rPr>
        <w:rFonts w:hint="default"/>
        <w:lang w:val="en-GB" w:eastAsia="en-GB" w:bidi="en-GB"/>
      </w:rPr>
    </w:lvl>
    <w:lvl w:ilvl="7" w:tplc="0E10F502">
      <w:numFmt w:val="bullet"/>
      <w:lvlText w:val="•"/>
      <w:lvlJc w:val="left"/>
      <w:pPr>
        <w:ind w:left="6776" w:hanging="287"/>
      </w:pPr>
      <w:rPr>
        <w:rFonts w:hint="default"/>
        <w:lang w:val="en-GB" w:eastAsia="en-GB" w:bidi="en-GB"/>
      </w:rPr>
    </w:lvl>
    <w:lvl w:ilvl="8" w:tplc="09C29756">
      <w:numFmt w:val="bullet"/>
      <w:lvlText w:val="•"/>
      <w:lvlJc w:val="left"/>
      <w:pPr>
        <w:ind w:left="7819" w:hanging="287"/>
      </w:pPr>
      <w:rPr>
        <w:rFonts w:hint="default"/>
        <w:lang w:val="en-GB" w:eastAsia="en-GB" w:bidi="en-GB"/>
      </w:rPr>
    </w:lvl>
  </w:abstractNum>
  <w:abstractNum w:abstractNumId="11" w15:restartNumberingAfterBreak="0">
    <w:nsid w:val="255E4ED8"/>
    <w:multiLevelType w:val="hybridMultilevel"/>
    <w:tmpl w:val="9F88924C"/>
    <w:lvl w:ilvl="0" w:tplc="0AC8F4B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C29553E"/>
    <w:multiLevelType w:val="hybridMultilevel"/>
    <w:tmpl w:val="4E86C31C"/>
    <w:lvl w:ilvl="0" w:tplc="8970ED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ParaLevel9"/>
      <w:lvlText w:val=""/>
      <w:lvlJc w:val="left"/>
      <w:pPr>
        <w:ind w:left="6480" w:hanging="360"/>
      </w:pPr>
      <w:rPr>
        <w:rFonts w:ascii="Wingdings" w:hAnsi="Wingdings" w:hint="default"/>
      </w:rPr>
    </w:lvl>
  </w:abstractNum>
  <w:abstractNum w:abstractNumId="13" w15:restartNumberingAfterBreak="0">
    <w:nsid w:val="2DC048F3"/>
    <w:multiLevelType w:val="hybridMultilevel"/>
    <w:tmpl w:val="A6D0F8E6"/>
    <w:styleLink w:val="ImportedStyle4"/>
    <w:lvl w:ilvl="0" w:tplc="19203D78">
      <w:start w:val="1"/>
      <w:numFmt w:val="lowerLetter"/>
      <w:lvlText w:val="(%1)"/>
      <w:lvlJc w:val="left"/>
      <w:pPr>
        <w:ind w:left="2560" w:hanging="4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DB817A8">
      <w:start w:val="1"/>
      <w:numFmt w:val="lowerLetter"/>
      <w:lvlText w:val="%2."/>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FB481FC">
      <w:start w:val="1"/>
      <w:numFmt w:val="lowerRoman"/>
      <w:lvlText w:val="%3."/>
      <w:lvlJc w:val="left"/>
      <w:pPr>
        <w:ind w:left="39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4822B66">
      <w:start w:val="1"/>
      <w:numFmt w:val="decimal"/>
      <w:lvlText w:val="%4."/>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1F432E0">
      <w:start w:val="1"/>
      <w:numFmt w:val="lowerLetter"/>
      <w:lvlText w:val="%5."/>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136C3F6">
      <w:start w:val="1"/>
      <w:numFmt w:val="lowerRoman"/>
      <w:lvlText w:val="%6."/>
      <w:lvlJc w:val="left"/>
      <w:pPr>
        <w:ind w:left="61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EB84006">
      <w:start w:val="1"/>
      <w:numFmt w:val="decimal"/>
      <w:pStyle w:val="ParaLevel7"/>
      <w:lvlText w:val="%7."/>
      <w:lvlJc w:val="left"/>
      <w:pPr>
        <w:ind w:left="68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AD82D38">
      <w:start w:val="1"/>
      <w:numFmt w:val="lowerLetter"/>
      <w:lvlText w:val="%8."/>
      <w:lvlJc w:val="left"/>
      <w:pPr>
        <w:ind w:left="75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46CE844">
      <w:start w:val="1"/>
      <w:numFmt w:val="lowerRoman"/>
      <w:lvlText w:val="%9."/>
      <w:lvlJc w:val="left"/>
      <w:pPr>
        <w:ind w:left="82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567D57"/>
    <w:multiLevelType w:val="hybridMultilevel"/>
    <w:tmpl w:val="A2565CB4"/>
    <w:styleLink w:val="ImportedStyle10"/>
    <w:lvl w:ilvl="0" w:tplc="D44E6242">
      <w:start w:val="1"/>
      <w:numFmt w:val="bullet"/>
      <w:lvlText w:val="·"/>
      <w:lvlJc w:val="left"/>
      <w:pPr>
        <w:ind w:left="185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CE3F6C">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AA65844">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05ECD32">
      <w:start w:val="1"/>
      <w:numFmt w:val="bullet"/>
      <w:lvlText w:val="·"/>
      <w:lvlJc w:val="left"/>
      <w:pPr>
        <w:ind w:left="401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3D8D200">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E3204C2">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AA0D882">
      <w:start w:val="1"/>
      <w:numFmt w:val="bullet"/>
      <w:lvlText w:val="·"/>
      <w:lvlJc w:val="left"/>
      <w:pPr>
        <w:ind w:left="617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4BC00EC">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E48AEE6">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335B795A"/>
    <w:multiLevelType w:val="hybridMultilevel"/>
    <w:tmpl w:val="1AD25E60"/>
    <w:lvl w:ilvl="0" w:tplc="133EA92A">
      <w:start w:val="1"/>
      <w:numFmt w:val="lowerLetter"/>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6" w15:restartNumberingAfterBreak="0">
    <w:nsid w:val="33E51712"/>
    <w:multiLevelType w:val="hybridMultilevel"/>
    <w:tmpl w:val="E18C3E3A"/>
    <w:lvl w:ilvl="0" w:tplc="2124E6C6">
      <w:start w:val="1"/>
      <w:numFmt w:val="decimal"/>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7" w15:restartNumberingAfterBreak="0">
    <w:nsid w:val="34ED2E1E"/>
    <w:multiLevelType w:val="multilevel"/>
    <w:tmpl w:val="3800CDDA"/>
    <w:styleLink w:val="JFRincludeeachlevelnumber"/>
    <w:lvl w:ilvl="0">
      <w:start w:val="1"/>
      <w:numFmt w:val="decimal"/>
      <w:pStyle w:val="Normalnumbered"/>
      <w:lvlText w:val="%1."/>
      <w:lvlJc w:val="left"/>
      <w:pPr>
        <w:ind w:left="720" w:hanging="720"/>
      </w:pPr>
      <w:rPr>
        <w:rFonts w:ascii="Times New Roman" w:hAnsi="Times New Roman" w:hint="default"/>
        <w:color w:val="auto"/>
        <w:sz w:val="24"/>
      </w:rPr>
    </w:lvl>
    <w:lvl w:ilvl="1">
      <w:start w:val="1"/>
      <w:numFmt w:val="decimal"/>
      <w:lvlText w:val="%1(%2)"/>
      <w:lvlJc w:val="left"/>
      <w:pPr>
        <w:ind w:left="1440" w:hanging="720"/>
      </w:pPr>
      <w:rPr>
        <w:rFonts w:ascii="Times New Roman" w:hAnsi="Times New Roman" w:hint="default"/>
        <w:sz w:val="24"/>
      </w:rPr>
    </w:lvl>
    <w:lvl w:ilvl="2">
      <w:start w:val="1"/>
      <w:numFmt w:val="lowerLetter"/>
      <w:lvlText w:val="%1(%2)(%3)"/>
      <w:lvlJc w:val="left"/>
      <w:pPr>
        <w:ind w:left="2160" w:hanging="720"/>
      </w:pPr>
      <w:rPr>
        <w:rFonts w:ascii="Times New Roman" w:hAnsi="Times New Roman" w:hint="default"/>
        <w:sz w:val="24"/>
      </w:rPr>
    </w:lvl>
    <w:lvl w:ilvl="3">
      <w:start w:val="1"/>
      <w:numFmt w:val="lowerRoman"/>
      <w:lvlText w:val="(%4)"/>
      <w:lvlJc w:val="left"/>
      <w:pPr>
        <w:ind w:left="3600" w:hanging="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41F7567A"/>
    <w:multiLevelType w:val="multilevel"/>
    <w:tmpl w:val="3800CDDA"/>
    <w:numStyleLink w:val="JFRincludeeachlevelnumber"/>
  </w:abstractNum>
  <w:abstractNum w:abstractNumId="19" w15:restartNumberingAfterBreak="0">
    <w:nsid w:val="43C52AFB"/>
    <w:multiLevelType w:val="hybridMultilevel"/>
    <w:tmpl w:val="7C38D0E8"/>
    <w:lvl w:ilvl="0" w:tplc="B6C2BC76">
      <w:start w:val="1"/>
      <w:numFmt w:val="lowerRoman"/>
      <w:lvlText w:val="(%1)"/>
      <w:lvlJc w:val="left"/>
      <w:pPr>
        <w:ind w:left="2426" w:hanging="720"/>
      </w:pPr>
      <w:rPr>
        <w:rFonts w:hint="default"/>
      </w:rPr>
    </w:lvl>
    <w:lvl w:ilvl="1" w:tplc="08090019" w:tentative="1">
      <w:start w:val="1"/>
      <w:numFmt w:val="lowerLetter"/>
      <w:lvlText w:val="%2."/>
      <w:lvlJc w:val="left"/>
      <w:pPr>
        <w:ind w:left="2786" w:hanging="360"/>
      </w:pPr>
    </w:lvl>
    <w:lvl w:ilvl="2" w:tplc="0809001B" w:tentative="1">
      <w:start w:val="1"/>
      <w:numFmt w:val="lowerRoman"/>
      <w:lvlText w:val="%3."/>
      <w:lvlJc w:val="right"/>
      <w:pPr>
        <w:ind w:left="3506" w:hanging="180"/>
      </w:pPr>
    </w:lvl>
    <w:lvl w:ilvl="3" w:tplc="0809000F" w:tentative="1">
      <w:start w:val="1"/>
      <w:numFmt w:val="decimal"/>
      <w:lvlText w:val="%4."/>
      <w:lvlJc w:val="left"/>
      <w:pPr>
        <w:ind w:left="4226" w:hanging="360"/>
      </w:pPr>
    </w:lvl>
    <w:lvl w:ilvl="4" w:tplc="08090019" w:tentative="1">
      <w:start w:val="1"/>
      <w:numFmt w:val="lowerLetter"/>
      <w:lvlText w:val="%5."/>
      <w:lvlJc w:val="left"/>
      <w:pPr>
        <w:ind w:left="4946" w:hanging="360"/>
      </w:pPr>
    </w:lvl>
    <w:lvl w:ilvl="5" w:tplc="0809001B" w:tentative="1">
      <w:start w:val="1"/>
      <w:numFmt w:val="lowerRoman"/>
      <w:lvlText w:val="%6."/>
      <w:lvlJc w:val="right"/>
      <w:pPr>
        <w:ind w:left="5666" w:hanging="180"/>
      </w:pPr>
    </w:lvl>
    <w:lvl w:ilvl="6" w:tplc="0809000F" w:tentative="1">
      <w:start w:val="1"/>
      <w:numFmt w:val="decimal"/>
      <w:lvlText w:val="%7."/>
      <w:lvlJc w:val="left"/>
      <w:pPr>
        <w:ind w:left="6386" w:hanging="360"/>
      </w:pPr>
    </w:lvl>
    <w:lvl w:ilvl="7" w:tplc="08090019" w:tentative="1">
      <w:start w:val="1"/>
      <w:numFmt w:val="lowerLetter"/>
      <w:lvlText w:val="%8."/>
      <w:lvlJc w:val="left"/>
      <w:pPr>
        <w:ind w:left="7106" w:hanging="360"/>
      </w:pPr>
    </w:lvl>
    <w:lvl w:ilvl="8" w:tplc="0809001B" w:tentative="1">
      <w:start w:val="1"/>
      <w:numFmt w:val="lowerRoman"/>
      <w:lvlText w:val="%9."/>
      <w:lvlJc w:val="right"/>
      <w:pPr>
        <w:ind w:left="7826" w:hanging="180"/>
      </w:pPr>
    </w:lvl>
  </w:abstractNum>
  <w:abstractNum w:abstractNumId="20" w15:restartNumberingAfterBreak="0">
    <w:nsid w:val="47C102CA"/>
    <w:multiLevelType w:val="hybridMultilevel"/>
    <w:tmpl w:val="20EA1CEA"/>
    <w:lvl w:ilvl="0" w:tplc="3E3CF7F6">
      <w:start w:val="1"/>
      <w:numFmt w:val="decimal"/>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21" w15:restartNumberingAfterBreak="0">
    <w:nsid w:val="4AEE63D3"/>
    <w:multiLevelType w:val="multilevel"/>
    <w:tmpl w:val="E04A2CAE"/>
    <w:lvl w:ilvl="0">
      <w:start w:val="56"/>
      <w:numFmt w:val="decimal"/>
      <w:lvlText w:val="%1."/>
      <w:lvlJc w:val="left"/>
      <w:pPr>
        <w:tabs>
          <w:tab w:val="num" w:pos="720"/>
        </w:tabs>
        <w:ind w:left="720" w:hanging="360"/>
      </w:pPr>
    </w:lvl>
    <w:lvl w:ilvl="1">
      <w:start w:val="1"/>
      <w:numFmt w:val="lowerLetter"/>
      <w:lvlText w:val="(%2)"/>
      <w:lvlJc w:val="left"/>
      <w:pPr>
        <w:ind w:left="1440" w:hanging="360"/>
      </w:pPr>
      <w:rPr>
        <w:rFonts w:ascii="Cambria" w:hAnsi="Cambr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C15E71"/>
    <w:multiLevelType w:val="hybridMultilevel"/>
    <w:tmpl w:val="74EE3AB2"/>
    <w:lvl w:ilvl="0" w:tplc="DF00878E">
      <w:start w:val="1"/>
      <w:numFmt w:val="decimal"/>
      <w:lvlText w:val="%1."/>
      <w:lvlJc w:val="left"/>
      <w:pPr>
        <w:ind w:left="687" w:hanging="568"/>
      </w:pPr>
      <w:rPr>
        <w:rFonts w:hint="default"/>
        <w:spacing w:val="-11"/>
        <w:w w:val="100"/>
        <w:lang w:val="en-GB" w:eastAsia="en-GB" w:bidi="en-GB"/>
      </w:rPr>
    </w:lvl>
    <w:lvl w:ilvl="1" w:tplc="FD960F9E">
      <w:start w:val="1"/>
      <w:numFmt w:val="lowerRoman"/>
      <w:lvlText w:val="(%2)"/>
      <w:lvlJc w:val="left"/>
      <w:pPr>
        <w:ind w:left="1560" w:hanging="287"/>
      </w:pPr>
      <w:rPr>
        <w:rFonts w:ascii="Times New Roman" w:eastAsia="Times New Roman" w:hAnsi="Times New Roman" w:cs="Times New Roman" w:hint="default"/>
        <w:spacing w:val="-1"/>
        <w:w w:val="100"/>
        <w:sz w:val="24"/>
        <w:szCs w:val="24"/>
        <w:lang w:val="en-GB" w:eastAsia="en-GB" w:bidi="en-GB"/>
      </w:rPr>
    </w:lvl>
    <w:lvl w:ilvl="2" w:tplc="74685F74">
      <w:numFmt w:val="bullet"/>
      <w:lvlText w:val="•"/>
      <w:lvlJc w:val="left"/>
      <w:pPr>
        <w:ind w:left="1560" w:hanging="287"/>
      </w:pPr>
      <w:rPr>
        <w:rFonts w:hint="default"/>
        <w:lang w:val="en-GB" w:eastAsia="en-GB" w:bidi="en-GB"/>
      </w:rPr>
    </w:lvl>
    <w:lvl w:ilvl="3" w:tplc="676AB080">
      <w:numFmt w:val="bullet"/>
      <w:lvlText w:val="•"/>
      <w:lvlJc w:val="left"/>
      <w:pPr>
        <w:ind w:left="2603" w:hanging="287"/>
      </w:pPr>
      <w:rPr>
        <w:rFonts w:hint="default"/>
        <w:lang w:val="en-GB" w:eastAsia="en-GB" w:bidi="en-GB"/>
      </w:rPr>
    </w:lvl>
    <w:lvl w:ilvl="4" w:tplc="998ABBD0">
      <w:numFmt w:val="bullet"/>
      <w:lvlText w:val="•"/>
      <w:lvlJc w:val="left"/>
      <w:pPr>
        <w:ind w:left="3646" w:hanging="287"/>
      </w:pPr>
      <w:rPr>
        <w:rFonts w:hint="default"/>
        <w:lang w:val="en-GB" w:eastAsia="en-GB" w:bidi="en-GB"/>
      </w:rPr>
    </w:lvl>
    <w:lvl w:ilvl="5" w:tplc="BE8C9D48">
      <w:numFmt w:val="bullet"/>
      <w:lvlText w:val="•"/>
      <w:lvlJc w:val="left"/>
      <w:pPr>
        <w:ind w:left="4689" w:hanging="287"/>
      </w:pPr>
      <w:rPr>
        <w:rFonts w:hint="default"/>
        <w:lang w:val="en-GB" w:eastAsia="en-GB" w:bidi="en-GB"/>
      </w:rPr>
    </w:lvl>
    <w:lvl w:ilvl="6" w:tplc="777E848A">
      <w:numFmt w:val="bullet"/>
      <w:lvlText w:val="•"/>
      <w:lvlJc w:val="left"/>
      <w:pPr>
        <w:ind w:left="5733" w:hanging="287"/>
      </w:pPr>
      <w:rPr>
        <w:rFonts w:hint="default"/>
        <w:lang w:val="en-GB" w:eastAsia="en-GB" w:bidi="en-GB"/>
      </w:rPr>
    </w:lvl>
    <w:lvl w:ilvl="7" w:tplc="0E10F502">
      <w:numFmt w:val="bullet"/>
      <w:lvlText w:val="•"/>
      <w:lvlJc w:val="left"/>
      <w:pPr>
        <w:ind w:left="6776" w:hanging="287"/>
      </w:pPr>
      <w:rPr>
        <w:rFonts w:hint="default"/>
        <w:lang w:val="en-GB" w:eastAsia="en-GB" w:bidi="en-GB"/>
      </w:rPr>
    </w:lvl>
    <w:lvl w:ilvl="8" w:tplc="09C29756">
      <w:numFmt w:val="bullet"/>
      <w:lvlText w:val="•"/>
      <w:lvlJc w:val="left"/>
      <w:pPr>
        <w:ind w:left="7819" w:hanging="287"/>
      </w:pPr>
      <w:rPr>
        <w:rFonts w:hint="default"/>
        <w:lang w:val="en-GB" w:eastAsia="en-GB" w:bidi="en-GB"/>
      </w:rPr>
    </w:lvl>
  </w:abstractNum>
  <w:abstractNum w:abstractNumId="23" w15:restartNumberingAfterBreak="0">
    <w:nsid w:val="4E6F36A0"/>
    <w:multiLevelType w:val="hybridMultilevel"/>
    <w:tmpl w:val="05AAB326"/>
    <w:lvl w:ilvl="0" w:tplc="3D98685C">
      <w:start w:val="1"/>
      <w:numFmt w:val="decimal"/>
      <w:lvlText w:val="%1."/>
      <w:lvlJc w:val="left"/>
      <w:pPr>
        <w:ind w:left="1047" w:hanging="360"/>
      </w:pPr>
      <w:rPr>
        <w:rFonts w:ascii="Times New Roman" w:eastAsia="Times New Roman" w:hAnsi="Times New Roman" w:cs="Times New Roman"/>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24" w15:restartNumberingAfterBreak="0">
    <w:nsid w:val="54E471D3"/>
    <w:multiLevelType w:val="hybridMultilevel"/>
    <w:tmpl w:val="DEC6EA9A"/>
    <w:lvl w:ilvl="0" w:tplc="0E369DB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261D73"/>
    <w:multiLevelType w:val="hybridMultilevel"/>
    <w:tmpl w:val="E758B89C"/>
    <w:styleLink w:val="ImportedStyle2"/>
    <w:lvl w:ilvl="0" w:tplc="B9C0B222">
      <w:start w:val="1"/>
      <w:numFmt w:val="decimal"/>
      <w:lvlText w:val="%1."/>
      <w:lvlJc w:val="left"/>
      <w:pPr>
        <w:ind w:left="567" w:hanging="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37F051A8">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F60CD2BC">
      <w:start w:val="1"/>
      <w:numFmt w:val="lowerRoman"/>
      <w:lvlText w:val="%3."/>
      <w:lvlJc w:val="left"/>
      <w:pPr>
        <w:ind w:left="216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57A0DC4">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9DD4375A">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EB78DF2E">
      <w:start w:val="1"/>
      <w:numFmt w:val="lowerRoman"/>
      <w:lvlText w:val="%6."/>
      <w:lvlJc w:val="left"/>
      <w:pPr>
        <w:ind w:left="432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AAFCF266">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C1149452">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AF8E5102">
      <w:start w:val="1"/>
      <w:numFmt w:val="lowerRoman"/>
      <w:lvlText w:val="%9."/>
      <w:lvlJc w:val="left"/>
      <w:pPr>
        <w:ind w:left="648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63A739B0"/>
    <w:multiLevelType w:val="hybridMultilevel"/>
    <w:tmpl w:val="B12A4F42"/>
    <w:lvl w:ilvl="0" w:tplc="AB92AE78">
      <w:start w:val="1"/>
      <w:numFmt w:val="decimal"/>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27" w15:restartNumberingAfterBreak="0">
    <w:nsid w:val="64EB5984"/>
    <w:multiLevelType w:val="hybridMultilevel"/>
    <w:tmpl w:val="F176FC96"/>
    <w:styleLink w:val="ImportedStyle3"/>
    <w:lvl w:ilvl="0" w:tplc="897863E6">
      <w:start w:val="1"/>
      <w:numFmt w:val="lowerLetter"/>
      <w:lvlText w:val="(%1)"/>
      <w:lvlJc w:val="left"/>
      <w:pPr>
        <w:ind w:left="2560" w:hanging="400"/>
      </w:pPr>
      <w:rPr>
        <w:rFonts w:ascii="Times New Roman" w:eastAsia="Cambria" w:hAnsi="Times New Roman" w:cs="Times New Roman"/>
        <w:caps w:val="0"/>
        <w:smallCaps w:val="0"/>
        <w:strike w:val="0"/>
        <w:dstrike w:val="0"/>
        <w:outline w:val="0"/>
        <w:shadow w:val="0"/>
        <w:emboss w:val="0"/>
        <w:imprint w:val="0"/>
        <w:spacing w:val="0"/>
        <w:w w:val="100"/>
        <w:kern w:val="0"/>
        <w:position w:val="0"/>
        <w:highlight w:val="none"/>
        <w:u w:val="none"/>
        <w:effect w:val="none"/>
        <w:vertAlign w:val="baseline"/>
      </w:rPr>
    </w:lvl>
    <w:lvl w:ilvl="1" w:tplc="0D305DD2">
      <w:start w:val="1"/>
      <w:numFmt w:val="lowerLetter"/>
      <w:lvlText w:val="%2."/>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0F69116">
      <w:start w:val="1"/>
      <w:numFmt w:val="lowerRoman"/>
      <w:lvlText w:val="%3."/>
      <w:lvlJc w:val="left"/>
      <w:pPr>
        <w:ind w:left="39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77CD8FA">
      <w:start w:val="1"/>
      <w:numFmt w:val="decimal"/>
      <w:lvlText w:val="%4."/>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C1A2E7E">
      <w:start w:val="1"/>
      <w:numFmt w:val="lowerLetter"/>
      <w:lvlText w:val="%5."/>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A82296">
      <w:start w:val="1"/>
      <w:numFmt w:val="lowerRoman"/>
      <w:lvlText w:val="%6."/>
      <w:lvlJc w:val="left"/>
      <w:pPr>
        <w:ind w:left="61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BCE6D4C">
      <w:start w:val="1"/>
      <w:numFmt w:val="decimal"/>
      <w:lvlText w:val="%7."/>
      <w:lvlJc w:val="left"/>
      <w:pPr>
        <w:ind w:left="68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87A56AE">
      <w:start w:val="1"/>
      <w:numFmt w:val="lowerLetter"/>
      <w:pStyle w:val="ParaLevel8"/>
      <w:lvlText w:val="%8."/>
      <w:lvlJc w:val="left"/>
      <w:pPr>
        <w:ind w:left="75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FE6B4BE">
      <w:start w:val="1"/>
      <w:numFmt w:val="lowerRoman"/>
      <w:lvlText w:val="%9."/>
      <w:lvlJc w:val="left"/>
      <w:pPr>
        <w:ind w:left="82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67975B39"/>
    <w:multiLevelType w:val="hybridMultilevel"/>
    <w:tmpl w:val="2884B018"/>
    <w:lvl w:ilvl="0" w:tplc="DF00878E">
      <w:start w:val="1"/>
      <w:numFmt w:val="decimal"/>
      <w:lvlText w:val="%1."/>
      <w:lvlJc w:val="left"/>
      <w:pPr>
        <w:ind w:left="687" w:hanging="568"/>
      </w:pPr>
      <w:rPr>
        <w:rFonts w:hint="default"/>
        <w:spacing w:val="-11"/>
        <w:w w:val="100"/>
        <w:lang w:val="en-GB" w:eastAsia="en-GB" w:bidi="en-GB"/>
      </w:rPr>
    </w:lvl>
    <w:lvl w:ilvl="1" w:tplc="FD960F9E">
      <w:start w:val="1"/>
      <w:numFmt w:val="lowerRoman"/>
      <w:lvlText w:val="(%2)"/>
      <w:lvlJc w:val="left"/>
      <w:pPr>
        <w:ind w:left="1560" w:hanging="287"/>
      </w:pPr>
      <w:rPr>
        <w:rFonts w:ascii="Times New Roman" w:eastAsia="Times New Roman" w:hAnsi="Times New Roman" w:cs="Times New Roman" w:hint="default"/>
        <w:spacing w:val="-1"/>
        <w:w w:val="100"/>
        <w:sz w:val="24"/>
        <w:szCs w:val="24"/>
        <w:lang w:val="en-GB" w:eastAsia="en-GB" w:bidi="en-GB"/>
      </w:rPr>
    </w:lvl>
    <w:lvl w:ilvl="2" w:tplc="74685F74">
      <w:numFmt w:val="bullet"/>
      <w:lvlText w:val="•"/>
      <w:lvlJc w:val="left"/>
      <w:pPr>
        <w:ind w:left="1560" w:hanging="287"/>
      </w:pPr>
      <w:rPr>
        <w:rFonts w:hint="default"/>
        <w:lang w:val="en-GB" w:eastAsia="en-GB" w:bidi="en-GB"/>
      </w:rPr>
    </w:lvl>
    <w:lvl w:ilvl="3" w:tplc="676AB080">
      <w:numFmt w:val="bullet"/>
      <w:lvlText w:val="•"/>
      <w:lvlJc w:val="left"/>
      <w:pPr>
        <w:ind w:left="2603" w:hanging="287"/>
      </w:pPr>
      <w:rPr>
        <w:rFonts w:hint="default"/>
        <w:lang w:val="en-GB" w:eastAsia="en-GB" w:bidi="en-GB"/>
      </w:rPr>
    </w:lvl>
    <w:lvl w:ilvl="4" w:tplc="998ABBD0">
      <w:numFmt w:val="bullet"/>
      <w:lvlText w:val="•"/>
      <w:lvlJc w:val="left"/>
      <w:pPr>
        <w:ind w:left="3646" w:hanging="287"/>
      </w:pPr>
      <w:rPr>
        <w:rFonts w:hint="default"/>
        <w:lang w:val="en-GB" w:eastAsia="en-GB" w:bidi="en-GB"/>
      </w:rPr>
    </w:lvl>
    <w:lvl w:ilvl="5" w:tplc="BE8C9D48">
      <w:numFmt w:val="bullet"/>
      <w:lvlText w:val="•"/>
      <w:lvlJc w:val="left"/>
      <w:pPr>
        <w:ind w:left="4689" w:hanging="287"/>
      </w:pPr>
      <w:rPr>
        <w:rFonts w:hint="default"/>
        <w:lang w:val="en-GB" w:eastAsia="en-GB" w:bidi="en-GB"/>
      </w:rPr>
    </w:lvl>
    <w:lvl w:ilvl="6" w:tplc="777E848A">
      <w:numFmt w:val="bullet"/>
      <w:lvlText w:val="•"/>
      <w:lvlJc w:val="left"/>
      <w:pPr>
        <w:ind w:left="5733" w:hanging="287"/>
      </w:pPr>
      <w:rPr>
        <w:rFonts w:hint="default"/>
        <w:lang w:val="en-GB" w:eastAsia="en-GB" w:bidi="en-GB"/>
      </w:rPr>
    </w:lvl>
    <w:lvl w:ilvl="7" w:tplc="0E10F502">
      <w:numFmt w:val="bullet"/>
      <w:lvlText w:val="•"/>
      <w:lvlJc w:val="left"/>
      <w:pPr>
        <w:ind w:left="6776" w:hanging="287"/>
      </w:pPr>
      <w:rPr>
        <w:rFonts w:hint="default"/>
        <w:lang w:val="en-GB" w:eastAsia="en-GB" w:bidi="en-GB"/>
      </w:rPr>
    </w:lvl>
    <w:lvl w:ilvl="8" w:tplc="09C29756">
      <w:numFmt w:val="bullet"/>
      <w:lvlText w:val="•"/>
      <w:lvlJc w:val="left"/>
      <w:pPr>
        <w:ind w:left="7819" w:hanging="287"/>
      </w:pPr>
      <w:rPr>
        <w:rFonts w:hint="default"/>
        <w:lang w:val="en-GB" w:eastAsia="en-GB" w:bidi="en-GB"/>
      </w:rPr>
    </w:lvl>
  </w:abstractNum>
  <w:abstractNum w:abstractNumId="29" w15:restartNumberingAfterBreak="0">
    <w:nsid w:val="6A452DA1"/>
    <w:multiLevelType w:val="hybridMultilevel"/>
    <w:tmpl w:val="64ACA72E"/>
    <w:lvl w:ilvl="0" w:tplc="DF00878E">
      <w:start w:val="1"/>
      <w:numFmt w:val="decimal"/>
      <w:lvlText w:val="%1."/>
      <w:lvlJc w:val="left"/>
      <w:pPr>
        <w:ind w:left="687" w:hanging="568"/>
      </w:pPr>
      <w:rPr>
        <w:rFonts w:hint="default"/>
        <w:spacing w:val="-11"/>
        <w:w w:val="100"/>
        <w:lang w:val="en-GB" w:eastAsia="en-GB" w:bidi="en-GB"/>
      </w:rPr>
    </w:lvl>
    <w:lvl w:ilvl="1" w:tplc="FD960F9E">
      <w:start w:val="1"/>
      <w:numFmt w:val="lowerRoman"/>
      <w:lvlText w:val="(%2)"/>
      <w:lvlJc w:val="left"/>
      <w:pPr>
        <w:ind w:left="1560" w:hanging="287"/>
      </w:pPr>
      <w:rPr>
        <w:rFonts w:ascii="Times New Roman" w:eastAsia="Times New Roman" w:hAnsi="Times New Roman" w:cs="Times New Roman" w:hint="default"/>
        <w:spacing w:val="-1"/>
        <w:w w:val="100"/>
        <w:sz w:val="24"/>
        <w:szCs w:val="24"/>
        <w:lang w:val="en-GB" w:eastAsia="en-GB" w:bidi="en-GB"/>
      </w:rPr>
    </w:lvl>
    <w:lvl w:ilvl="2" w:tplc="74685F74">
      <w:numFmt w:val="bullet"/>
      <w:lvlText w:val="•"/>
      <w:lvlJc w:val="left"/>
      <w:pPr>
        <w:ind w:left="1560" w:hanging="287"/>
      </w:pPr>
      <w:rPr>
        <w:rFonts w:hint="default"/>
        <w:lang w:val="en-GB" w:eastAsia="en-GB" w:bidi="en-GB"/>
      </w:rPr>
    </w:lvl>
    <w:lvl w:ilvl="3" w:tplc="676AB080">
      <w:numFmt w:val="bullet"/>
      <w:lvlText w:val="•"/>
      <w:lvlJc w:val="left"/>
      <w:pPr>
        <w:ind w:left="2603" w:hanging="287"/>
      </w:pPr>
      <w:rPr>
        <w:rFonts w:hint="default"/>
        <w:lang w:val="en-GB" w:eastAsia="en-GB" w:bidi="en-GB"/>
      </w:rPr>
    </w:lvl>
    <w:lvl w:ilvl="4" w:tplc="998ABBD0">
      <w:numFmt w:val="bullet"/>
      <w:lvlText w:val="•"/>
      <w:lvlJc w:val="left"/>
      <w:pPr>
        <w:ind w:left="3646" w:hanging="287"/>
      </w:pPr>
      <w:rPr>
        <w:rFonts w:hint="default"/>
        <w:lang w:val="en-GB" w:eastAsia="en-GB" w:bidi="en-GB"/>
      </w:rPr>
    </w:lvl>
    <w:lvl w:ilvl="5" w:tplc="BE8C9D48">
      <w:numFmt w:val="bullet"/>
      <w:lvlText w:val="•"/>
      <w:lvlJc w:val="left"/>
      <w:pPr>
        <w:ind w:left="4689" w:hanging="287"/>
      </w:pPr>
      <w:rPr>
        <w:rFonts w:hint="default"/>
        <w:lang w:val="en-GB" w:eastAsia="en-GB" w:bidi="en-GB"/>
      </w:rPr>
    </w:lvl>
    <w:lvl w:ilvl="6" w:tplc="777E848A">
      <w:numFmt w:val="bullet"/>
      <w:lvlText w:val="•"/>
      <w:lvlJc w:val="left"/>
      <w:pPr>
        <w:ind w:left="5733" w:hanging="287"/>
      </w:pPr>
      <w:rPr>
        <w:rFonts w:hint="default"/>
        <w:lang w:val="en-GB" w:eastAsia="en-GB" w:bidi="en-GB"/>
      </w:rPr>
    </w:lvl>
    <w:lvl w:ilvl="7" w:tplc="0E10F502">
      <w:numFmt w:val="bullet"/>
      <w:lvlText w:val="•"/>
      <w:lvlJc w:val="left"/>
      <w:pPr>
        <w:ind w:left="6776" w:hanging="287"/>
      </w:pPr>
      <w:rPr>
        <w:rFonts w:hint="default"/>
        <w:lang w:val="en-GB" w:eastAsia="en-GB" w:bidi="en-GB"/>
      </w:rPr>
    </w:lvl>
    <w:lvl w:ilvl="8" w:tplc="09C29756">
      <w:numFmt w:val="bullet"/>
      <w:lvlText w:val="•"/>
      <w:lvlJc w:val="left"/>
      <w:pPr>
        <w:ind w:left="7819" w:hanging="287"/>
      </w:pPr>
      <w:rPr>
        <w:rFonts w:hint="default"/>
        <w:lang w:val="en-GB" w:eastAsia="en-GB" w:bidi="en-GB"/>
      </w:rPr>
    </w:lvl>
  </w:abstractNum>
  <w:abstractNum w:abstractNumId="30" w15:restartNumberingAfterBreak="0">
    <w:nsid w:val="6AB60D75"/>
    <w:multiLevelType w:val="hybridMultilevel"/>
    <w:tmpl w:val="64ACA72E"/>
    <w:lvl w:ilvl="0" w:tplc="DF00878E">
      <w:start w:val="1"/>
      <w:numFmt w:val="decimal"/>
      <w:lvlText w:val="%1."/>
      <w:lvlJc w:val="left"/>
      <w:pPr>
        <w:ind w:left="687" w:hanging="568"/>
      </w:pPr>
      <w:rPr>
        <w:rFonts w:hint="default"/>
        <w:spacing w:val="-11"/>
        <w:w w:val="100"/>
        <w:lang w:val="en-GB" w:eastAsia="en-GB" w:bidi="en-GB"/>
      </w:rPr>
    </w:lvl>
    <w:lvl w:ilvl="1" w:tplc="FD960F9E">
      <w:start w:val="1"/>
      <w:numFmt w:val="lowerRoman"/>
      <w:lvlText w:val="(%2)"/>
      <w:lvlJc w:val="left"/>
      <w:pPr>
        <w:ind w:left="1560" w:hanging="287"/>
      </w:pPr>
      <w:rPr>
        <w:rFonts w:ascii="Times New Roman" w:eastAsia="Times New Roman" w:hAnsi="Times New Roman" w:cs="Times New Roman" w:hint="default"/>
        <w:spacing w:val="-1"/>
        <w:w w:val="100"/>
        <w:sz w:val="24"/>
        <w:szCs w:val="24"/>
        <w:lang w:val="en-GB" w:eastAsia="en-GB" w:bidi="en-GB"/>
      </w:rPr>
    </w:lvl>
    <w:lvl w:ilvl="2" w:tplc="74685F74">
      <w:numFmt w:val="bullet"/>
      <w:lvlText w:val="•"/>
      <w:lvlJc w:val="left"/>
      <w:pPr>
        <w:ind w:left="1560" w:hanging="287"/>
      </w:pPr>
      <w:rPr>
        <w:rFonts w:hint="default"/>
        <w:lang w:val="en-GB" w:eastAsia="en-GB" w:bidi="en-GB"/>
      </w:rPr>
    </w:lvl>
    <w:lvl w:ilvl="3" w:tplc="676AB080">
      <w:numFmt w:val="bullet"/>
      <w:lvlText w:val="•"/>
      <w:lvlJc w:val="left"/>
      <w:pPr>
        <w:ind w:left="2603" w:hanging="287"/>
      </w:pPr>
      <w:rPr>
        <w:rFonts w:hint="default"/>
        <w:lang w:val="en-GB" w:eastAsia="en-GB" w:bidi="en-GB"/>
      </w:rPr>
    </w:lvl>
    <w:lvl w:ilvl="4" w:tplc="998ABBD0">
      <w:numFmt w:val="bullet"/>
      <w:lvlText w:val="•"/>
      <w:lvlJc w:val="left"/>
      <w:pPr>
        <w:ind w:left="3646" w:hanging="287"/>
      </w:pPr>
      <w:rPr>
        <w:rFonts w:hint="default"/>
        <w:lang w:val="en-GB" w:eastAsia="en-GB" w:bidi="en-GB"/>
      </w:rPr>
    </w:lvl>
    <w:lvl w:ilvl="5" w:tplc="BE8C9D48">
      <w:numFmt w:val="bullet"/>
      <w:lvlText w:val="•"/>
      <w:lvlJc w:val="left"/>
      <w:pPr>
        <w:ind w:left="4689" w:hanging="287"/>
      </w:pPr>
      <w:rPr>
        <w:rFonts w:hint="default"/>
        <w:lang w:val="en-GB" w:eastAsia="en-GB" w:bidi="en-GB"/>
      </w:rPr>
    </w:lvl>
    <w:lvl w:ilvl="6" w:tplc="777E848A">
      <w:numFmt w:val="bullet"/>
      <w:lvlText w:val="•"/>
      <w:lvlJc w:val="left"/>
      <w:pPr>
        <w:ind w:left="5733" w:hanging="287"/>
      </w:pPr>
      <w:rPr>
        <w:rFonts w:hint="default"/>
        <w:lang w:val="en-GB" w:eastAsia="en-GB" w:bidi="en-GB"/>
      </w:rPr>
    </w:lvl>
    <w:lvl w:ilvl="7" w:tplc="0E10F502">
      <w:numFmt w:val="bullet"/>
      <w:lvlText w:val="•"/>
      <w:lvlJc w:val="left"/>
      <w:pPr>
        <w:ind w:left="6776" w:hanging="287"/>
      </w:pPr>
      <w:rPr>
        <w:rFonts w:hint="default"/>
        <w:lang w:val="en-GB" w:eastAsia="en-GB" w:bidi="en-GB"/>
      </w:rPr>
    </w:lvl>
    <w:lvl w:ilvl="8" w:tplc="09C29756">
      <w:numFmt w:val="bullet"/>
      <w:lvlText w:val="•"/>
      <w:lvlJc w:val="left"/>
      <w:pPr>
        <w:ind w:left="7819" w:hanging="287"/>
      </w:pPr>
      <w:rPr>
        <w:rFonts w:hint="default"/>
        <w:lang w:val="en-GB" w:eastAsia="en-GB" w:bidi="en-GB"/>
      </w:rPr>
    </w:lvl>
  </w:abstractNum>
  <w:abstractNum w:abstractNumId="31" w15:restartNumberingAfterBreak="0">
    <w:nsid w:val="6EE75099"/>
    <w:multiLevelType w:val="hybridMultilevel"/>
    <w:tmpl w:val="EBD2932C"/>
    <w:lvl w:ilvl="0" w:tplc="98465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5D70B9F"/>
    <w:multiLevelType w:val="multilevel"/>
    <w:tmpl w:val="4D52C604"/>
    <w:styleLink w:val="ImportedStyle24"/>
    <w:lvl w:ilvl="0">
      <w:start w:val="1"/>
      <w:numFmt w:val="decimal"/>
      <w:pStyle w:val="CoverMain"/>
      <w:lvlText w:val="%1."/>
      <w:lvlJc w:val="left"/>
      <w:pPr>
        <w:tabs>
          <w:tab w:val="num" w:pos="720"/>
        </w:tabs>
        <w:ind w:left="720" w:hanging="720"/>
      </w:pPr>
      <w:rPr>
        <w:rFonts w:hint="default"/>
        <w:b w:val="0"/>
        <w:i w:val="0"/>
        <w:u w:val="none"/>
      </w:rPr>
    </w:lvl>
    <w:lvl w:ilvl="1">
      <w:start w:val="1"/>
      <w:numFmt w:val="lowerRoman"/>
      <w:pStyle w:val="CoverText"/>
      <w:lvlText w:val="%2)"/>
      <w:lvlJc w:val="left"/>
      <w:pPr>
        <w:tabs>
          <w:tab w:val="num" w:pos="1418"/>
        </w:tabs>
        <w:ind w:left="1418" w:hanging="709"/>
      </w:pPr>
      <w:rPr>
        <w:rFonts w:hint="default"/>
        <w:b w:val="0"/>
        <w:i w:val="0"/>
      </w:rPr>
    </w:lvl>
    <w:lvl w:ilvl="2">
      <w:start w:val="1"/>
      <w:numFmt w:val="lowerLetter"/>
      <w:pStyle w:val="ParaHeading"/>
      <w:lvlText w:val="%3)"/>
      <w:lvlJc w:val="left"/>
      <w:pPr>
        <w:tabs>
          <w:tab w:val="num" w:pos="2127"/>
        </w:tabs>
        <w:ind w:left="2127" w:hanging="709"/>
      </w:pPr>
      <w:rPr>
        <w:rFonts w:hint="default"/>
      </w:rPr>
    </w:lvl>
    <w:lvl w:ilvl="3">
      <w:start w:val="1"/>
      <w:numFmt w:val="lowerRoman"/>
      <w:pStyle w:val="ParaLevel1"/>
      <w:lvlText w:val="%4)"/>
      <w:lvlJc w:val="left"/>
      <w:pPr>
        <w:tabs>
          <w:tab w:val="num" w:pos="3207"/>
        </w:tabs>
        <w:ind w:left="2836" w:hanging="709"/>
      </w:pPr>
      <w:rPr>
        <w:rFonts w:hint="default"/>
      </w:rPr>
    </w:lvl>
    <w:lvl w:ilvl="4">
      <w:start w:val="1"/>
      <w:numFmt w:val="lowerLetter"/>
      <w:pStyle w:val="ParaLevel2"/>
      <w:lvlText w:val="(%5)"/>
      <w:lvlJc w:val="left"/>
      <w:pPr>
        <w:tabs>
          <w:tab w:val="num" w:pos="3545"/>
        </w:tabs>
        <w:ind w:left="3545" w:hanging="709"/>
      </w:pPr>
      <w:rPr>
        <w:rFonts w:hint="default"/>
      </w:rPr>
    </w:lvl>
    <w:lvl w:ilvl="5">
      <w:start w:val="1"/>
      <w:numFmt w:val="lowerRoman"/>
      <w:pStyle w:val="ParaLevel3"/>
      <w:lvlText w:val="(%6)"/>
      <w:lvlJc w:val="left"/>
      <w:pPr>
        <w:tabs>
          <w:tab w:val="num" w:pos="4625"/>
        </w:tabs>
        <w:ind w:left="4254" w:hanging="709"/>
      </w:pPr>
      <w:rPr>
        <w:rFonts w:hint="default"/>
      </w:rPr>
    </w:lvl>
    <w:lvl w:ilvl="6">
      <w:start w:val="1"/>
      <w:numFmt w:val="lowerLetter"/>
      <w:pStyle w:val="ParaLevel4"/>
      <w:lvlText w:val="(%7)"/>
      <w:lvlJc w:val="left"/>
      <w:pPr>
        <w:tabs>
          <w:tab w:val="num" w:pos="4963"/>
        </w:tabs>
        <w:ind w:left="4963" w:hanging="709"/>
      </w:pPr>
      <w:rPr>
        <w:rFonts w:hint="default"/>
      </w:rPr>
    </w:lvl>
    <w:lvl w:ilvl="7">
      <w:start w:val="1"/>
      <w:numFmt w:val="lowerRoman"/>
      <w:pStyle w:val="ParaLevel5"/>
      <w:lvlText w:val="(%8)"/>
      <w:lvlJc w:val="left"/>
      <w:pPr>
        <w:tabs>
          <w:tab w:val="num" w:pos="6043"/>
        </w:tabs>
        <w:ind w:left="5672" w:hanging="709"/>
      </w:pPr>
      <w:rPr>
        <w:rFonts w:hint="default"/>
      </w:rPr>
    </w:lvl>
    <w:lvl w:ilvl="8">
      <w:start w:val="1"/>
      <w:numFmt w:val="lowerLetter"/>
      <w:pStyle w:val="ParaLevel6"/>
      <w:lvlText w:val="(%9)"/>
      <w:lvlJc w:val="left"/>
      <w:pPr>
        <w:tabs>
          <w:tab w:val="num" w:pos="6381"/>
        </w:tabs>
        <w:ind w:left="6381" w:hanging="709"/>
      </w:pPr>
      <w:rPr>
        <w:rFonts w:hint="default"/>
      </w:rPr>
    </w:lvl>
  </w:abstractNum>
  <w:abstractNum w:abstractNumId="33" w15:restartNumberingAfterBreak="0">
    <w:nsid w:val="7F92627A"/>
    <w:multiLevelType w:val="hybridMultilevel"/>
    <w:tmpl w:val="2EFCF966"/>
    <w:lvl w:ilvl="0" w:tplc="DF00878E">
      <w:start w:val="1"/>
      <w:numFmt w:val="decimal"/>
      <w:lvlText w:val="%1."/>
      <w:lvlJc w:val="left"/>
      <w:pPr>
        <w:ind w:left="687" w:hanging="568"/>
      </w:pPr>
      <w:rPr>
        <w:rFonts w:hint="default"/>
        <w:spacing w:val="-11"/>
        <w:w w:val="100"/>
        <w:lang w:val="en-GB" w:eastAsia="en-GB" w:bidi="en-GB"/>
      </w:rPr>
    </w:lvl>
    <w:lvl w:ilvl="1" w:tplc="FD960F9E">
      <w:start w:val="1"/>
      <w:numFmt w:val="lowerRoman"/>
      <w:lvlText w:val="(%2)"/>
      <w:lvlJc w:val="left"/>
      <w:pPr>
        <w:ind w:left="1560" w:hanging="287"/>
      </w:pPr>
      <w:rPr>
        <w:rFonts w:ascii="Times New Roman" w:eastAsia="Times New Roman" w:hAnsi="Times New Roman" w:cs="Times New Roman" w:hint="default"/>
        <w:spacing w:val="-1"/>
        <w:w w:val="100"/>
        <w:sz w:val="24"/>
        <w:szCs w:val="24"/>
        <w:lang w:val="en-GB" w:eastAsia="en-GB" w:bidi="en-GB"/>
      </w:rPr>
    </w:lvl>
    <w:lvl w:ilvl="2" w:tplc="74685F74">
      <w:numFmt w:val="bullet"/>
      <w:lvlText w:val="•"/>
      <w:lvlJc w:val="left"/>
      <w:pPr>
        <w:ind w:left="1560" w:hanging="287"/>
      </w:pPr>
      <w:rPr>
        <w:rFonts w:hint="default"/>
        <w:lang w:val="en-GB" w:eastAsia="en-GB" w:bidi="en-GB"/>
      </w:rPr>
    </w:lvl>
    <w:lvl w:ilvl="3" w:tplc="676AB080">
      <w:numFmt w:val="bullet"/>
      <w:lvlText w:val="•"/>
      <w:lvlJc w:val="left"/>
      <w:pPr>
        <w:ind w:left="2603" w:hanging="287"/>
      </w:pPr>
      <w:rPr>
        <w:rFonts w:hint="default"/>
        <w:lang w:val="en-GB" w:eastAsia="en-GB" w:bidi="en-GB"/>
      </w:rPr>
    </w:lvl>
    <w:lvl w:ilvl="4" w:tplc="998ABBD0">
      <w:numFmt w:val="bullet"/>
      <w:lvlText w:val="•"/>
      <w:lvlJc w:val="left"/>
      <w:pPr>
        <w:ind w:left="3646" w:hanging="287"/>
      </w:pPr>
      <w:rPr>
        <w:rFonts w:hint="default"/>
        <w:lang w:val="en-GB" w:eastAsia="en-GB" w:bidi="en-GB"/>
      </w:rPr>
    </w:lvl>
    <w:lvl w:ilvl="5" w:tplc="BE8C9D48">
      <w:numFmt w:val="bullet"/>
      <w:lvlText w:val="•"/>
      <w:lvlJc w:val="left"/>
      <w:pPr>
        <w:ind w:left="4689" w:hanging="287"/>
      </w:pPr>
      <w:rPr>
        <w:rFonts w:hint="default"/>
        <w:lang w:val="en-GB" w:eastAsia="en-GB" w:bidi="en-GB"/>
      </w:rPr>
    </w:lvl>
    <w:lvl w:ilvl="6" w:tplc="777E848A">
      <w:numFmt w:val="bullet"/>
      <w:lvlText w:val="•"/>
      <w:lvlJc w:val="left"/>
      <w:pPr>
        <w:ind w:left="5733" w:hanging="287"/>
      </w:pPr>
      <w:rPr>
        <w:rFonts w:hint="default"/>
        <w:lang w:val="en-GB" w:eastAsia="en-GB" w:bidi="en-GB"/>
      </w:rPr>
    </w:lvl>
    <w:lvl w:ilvl="7" w:tplc="0E10F502">
      <w:numFmt w:val="bullet"/>
      <w:lvlText w:val="•"/>
      <w:lvlJc w:val="left"/>
      <w:pPr>
        <w:ind w:left="6776" w:hanging="287"/>
      </w:pPr>
      <w:rPr>
        <w:rFonts w:hint="default"/>
        <w:lang w:val="en-GB" w:eastAsia="en-GB" w:bidi="en-GB"/>
      </w:rPr>
    </w:lvl>
    <w:lvl w:ilvl="8" w:tplc="09C29756">
      <w:numFmt w:val="bullet"/>
      <w:lvlText w:val="•"/>
      <w:lvlJc w:val="left"/>
      <w:pPr>
        <w:ind w:left="7819" w:hanging="287"/>
      </w:pPr>
      <w:rPr>
        <w:rFonts w:hint="default"/>
        <w:lang w:val="en-GB" w:eastAsia="en-GB" w:bidi="en-GB"/>
      </w:rPr>
    </w:lvl>
  </w:abstractNum>
  <w:num w:numId="1">
    <w:abstractNumId w:val="32"/>
  </w:num>
  <w:num w:numId="2">
    <w:abstractNumId w:val="17"/>
  </w:num>
  <w:num w:numId="3">
    <w:abstractNumId w:val="18"/>
    <w:lvlOverride w:ilvl="0">
      <w:lvl w:ilvl="0">
        <w:start w:val="1"/>
        <w:numFmt w:val="decimal"/>
        <w:pStyle w:val="Normalnumbered"/>
        <w:lvlText w:val="%1."/>
        <w:lvlJc w:val="left"/>
        <w:pPr>
          <w:ind w:left="2988" w:hanging="720"/>
        </w:pPr>
        <w:rPr>
          <w:rFonts w:ascii="Times New Roman" w:hAnsi="Times New Roman" w:hint="default"/>
          <w:color w:val="auto"/>
          <w:sz w:val="24"/>
        </w:rPr>
      </w:lvl>
    </w:lvlOverride>
    <w:lvlOverride w:ilvl="1">
      <w:lvl w:ilvl="1">
        <w:start w:val="1"/>
        <w:numFmt w:val="decimal"/>
        <w:lvlText w:val="%1(%2)"/>
        <w:lvlJc w:val="left"/>
        <w:pPr>
          <w:ind w:left="3708" w:hanging="720"/>
        </w:pPr>
        <w:rPr>
          <w:rFonts w:ascii="Times New Roman" w:hAnsi="Times New Roman" w:hint="default"/>
          <w:sz w:val="24"/>
        </w:rPr>
      </w:lvl>
    </w:lvlOverride>
    <w:lvlOverride w:ilvl="2">
      <w:lvl w:ilvl="2">
        <w:start w:val="1"/>
        <w:numFmt w:val="lowerLetter"/>
        <w:lvlText w:val="%1(%2)(%3)"/>
        <w:lvlJc w:val="left"/>
        <w:pPr>
          <w:ind w:left="4428" w:hanging="720"/>
        </w:pPr>
        <w:rPr>
          <w:rFonts w:ascii="Times New Roman" w:hAnsi="Times New Roman" w:hint="default"/>
          <w:sz w:val="24"/>
        </w:rPr>
      </w:lvl>
    </w:lvlOverride>
    <w:lvlOverride w:ilvl="3">
      <w:lvl w:ilvl="3">
        <w:start w:val="1"/>
        <w:numFmt w:val="lowerRoman"/>
        <w:lvlText w:val="(%4)"/>
        <w:lvlJc w:val="left"/>
        <w:pPr>
          <w:ind w:left="5868" w:hanging="720"/>
        </w:pPr>
        <w:rPr>
          <w:rFonts w:hint="default"/>
        </w:rPr>
      </w:lvl>
    </w:lvlOverride>
    <w:lvlOverride w:ilvl="4">
      <w:lvl w:ilvl="4">
        <w:start w:val="1"/>
        <w:numFmt w:val="lowerLetter"/>
        <w:lvlText w:val="%5."/>
        <w:lvlJc w:val="left"/>
        <w:pPr>
          <w:ind w:left="6588" w:hanging="360"/>
        </w:pPr>
        <w:rPr>
          <w:rFonts w:hint="default"/>
        </w:rPr>
      </w:lvl>
    </w:lvlOverride>
    <w:lvlOverride w:ilvl="5">
      <w:lvl w:ilvl="5">
        <w:start w:val="1"/>
        <w:numFmt w:val="lowerRoman"/>
        <w:lvlText w:val="%6."/>
        <w:lvlJc w:val="right"/>
        <w:pPr>
          <w:ind w:left="7308" w:hanging="180"/>
        </w:pPr>
        <w:rPr>
          <w:rFonts w:hint="default"/>
        </w:rPr>
      </w:lvl>
    </w:lvlOverride>
    <w:lvlOverride w:ilvl="6">
      <w:lvl w:ilvl="6">
        <w:start w:val="1"/>
        <w:numFmt w:val="decimal"/>
        <w:lvlText w:val="%7."/>
        <w:lvlJc w:val="left"/>
        <w:pPr>
          <w:ind w:left="8028" w:hanging="360"/>
        </w:pPr>
        <w:rPr>
          <w:rFonts w:hint="default"/>
        </w:rPr>
      </w:lvl>
    </w:lvlOverride>
    <w:lvlOverride w:ilvl="7">
      <w:lvl w:ilvl="7">
        <w:start w:val="1"/>
        <w:numFmt w:val="lowerLetter"/>
        <w:lvlText w:val="%8."/>
        <w:lvlJc w:val="left"/>
        <w:pPr>
          <w:ind w:left="8748" w:hanging="360"/>
        </w:pPr>
        <w:rPr>
          <w:rFonts w:hint="default"/>
        </w:rPr>
      </w:lvl>
    </w:lvlOverride>
    <w:lvlOverride w:ilvl="8">
      <w:lvl w:ilvl="8">
        <w:start w:val="1"/>
        <w:numFmt w:val="lowerRoman"/>
        <w:lvlText w:val="%9."/>
        <w:lvlJc w:val="right"/>
        <w:pPr>
          <w:ind w:left="9468" w:hanging="180"/>
        </w:pPr>
        <w:rPr>
          <w:rFonts w:hint="default"/>
        </w:rPr>
      </w:lvl>
    </w:lvlOverride>
  </w:num>
  <w:num w:numId="4">
    <w:abstractNumId w:val="4"/>
  </w:num>
  <w:num w:numId="5">
    <w:abstractNumId w:val="14"/>
  </w:num>
  <w:num w:numId="6">
    <w:abstractNumId w:val="25"/>
  </w:num>
  <w:num w:numId="7">
    <w:abstractNumId w:val="13"/>
  </w:num>
  <w:num w:numId="8">
    <w:abstractNumId w:val="27"/>
  </w:num>
  <w:num w:numId="9">
    <w:abstractNumId w:val="12"/>
  </w:num>
  <w:num w:numId="10">
    <w:abstractNumId w:val="5"/>
  </w:num>
  <w:num w:numId="11">
    <w:abstractNumId w:val="9"/>
  </w:num>
  <w:num w:numId="12">
    <w:abstractNumId w:val="16"/>
  </w:num>
  <w:num w:numId="13">
    <w:abstractNumId w:val="7"/>
  </w:num>
  <w:num w:numId="14">
    <w:abstractNumId w:val="8"/>
  </w:num>
  <w:num w:numId="15">
    <w:abstractNumId w:val="31"/>
  </w:num>
  <w:num w:numId="16">
    <w:abstractNumId w:val="11"/>
  </w:num>
  <w:num w:numId="17">
    <w:abstractNumId w:val="21"/>
  </w:num>
  <w:num w:numId="18">
    <w:abstractNumId w:val="0"/>
  </w:num>
  <w:num w:numId="19">
    <w:abstractNumId w:val="28"/>
  </w:num>
  <w:num w:numId="20">
    <w:abstractNumId w:val="15"/>
  </w:num>
  <w:num w:numId="21">
    <w:abstractNumId w:val="20"/>
  </w:num>
  <w:num w:numId="22">
    <w:abstractNumId w:val="30"/>
  </w:num>
  <w:num w:numId="23">
    <w:abstractNumId w:val="29"/>
  </w:num>
  <w:num w:numId="24">
    <w:abstractNumId w:val="26"/>
  </w:num>
  <w:num w:numId="25">
    <w:abstractNumId w:val="22"/>
  </w:num>
  <w:num w:numId="26">
    <w:abstractNumId w:val="10"/>
  </w:num>
  <w:num w:numId="27">
    <w:abstractNumId w:val="2"/>
  </w:num>
  <w:num w:numId="28">
    <w:abstractNumId w:val="23"/>
  </w:num>
  <w:num w:numId="29">
    <w:abstractNumId w:val="19"/>
  </w:num>
  <w:num w:numId="30">
    <w:abstractNumId w:val="6"/>
  </w:num>
  <w:num w:numId="31">
    <w:abstractNumId w:val="33"/>
  </w:num>
  <w:num w:numId="32">
    <w:abstractNumId w:val="24"/>
  </w:num>
  <w:num w:numId="33">
    <w:abstractNumId w:val="3"/>
  </w:num>
  <w:num w:numId="3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F7"/>
    <w:rsid w:val="000016F3"/>
    <w:rsid w:val="00001812"/>
    <w:rsid w:val="00004916"/>
    <w:rsid w:val="00004FE1"/>
    <w:rsid w:val="000050D5"/>
    <w:rsid w:val="00005A29"/>
    <w:rsid w:val="00006068"/>
    <w:rsid w:val="000065D1"/>
    <w:rsid w:val="0000685D"/>
    <w:rsid w:val="00006E38"/>
    <w:rsid w:val="00006E5C"/>
    <w:rsid w:val="000073A2"/>
    <w:rsid w:val="00007491"/>
    <w:rsid w:val="000075D9"/>
    <w:rsid w:val="00007ADA"/>
    <w:rsid w:val="0001010A"/>
    <w:rsid w:val="00010B39"/>
    <w:rsid w:val="0001145E"/>
    <w:rsid w:val="000116DF"/>
    <w:rsid w:val="000117DC"/>
    <w:rsid w:val="00011A93"/>
    <w:rsid w:val="000122D5"/>
    <w:rsid w:val="00012493"/>
    <w:rsid w:val="000125A3"/>
    <w:rsid w:val="000128E1"/>
    <w:rsid w:val="00012BF3"/>
    <w:rsid w:val="00012C9D"/>
    <w:rsid w:val="00013233"/>
    <w:rsid w:val="00013243"/>
    <w:rsid w:val="000138F4"/>
    <w:rsid w:val="000139F4"/>
    <w:rsid w:val="00014AF2"/>
    <w:rsid w:val="00014AF3"/>
    <w:rsid w:val="00014F1D"/>
    <w:rsid w:val="000151E6"/>
    <w:rsid w:val="00015268"/>
    <w:rsid w:val="00015B40"/>
    <w:rsid w:val="00015F55"/>
    <w:rsid w:val="000165B3"/>
    <w:rsid w:val="0001742E"/>
    <w:rsid w:val="00017728"/>
    <w:rsid w:val="000201C6"/>
    <w:rsid w:val="0002078C"/>
    <w:rsid w:val="00020986"/>
    <w:rsid w:val="00021829"/>
    <w:rsid w:val="00021992"/>
    <w:rsid w:val="00021997"/>
    <w:rsid w:val="00021A01"/>
    <w:rsid w:val="00022059"/>
    <w:rsid w:val="00022255"/>
    <w:rsid w:val="000234E1"/>
    <w:rsid w:val="000235C3"/>
    <w:rsid w:val="00023A67"/>
    <w:rsid w:val="00023D15"/>
    <w:rsid w:val="000247CA"/>
    <w:rsid w:val="00024910"/>
    <w:rsid w:val="00024964"/>
    <w:rsid w:val="000252CD"/>
    <w:rsid w:val="00025636"/>
    <w:rsid w:val="00025B95"/>
    <w:rsid w:val="00025EA2"/>
    <w:rsid w:val="000269A8"/>
    <w:rsid w:val="00026E9E"/>
    <w:rsid w:val="000270A2"/>
    <w:rsid w:val="000273AE"/>
    <w:rsid w:val="000273E0"/>
    <w:rsid w:val="00027771"/>
    <w:rsid w:val="00027921"/>
    <w:rsid w:val="00027DA1"/>
    <w:rsid w:val="000304AA"/>
    <w:rsid w:val="0003056C"/>
    <w:rsid w:val="000309D1"/>
    <w:rsid w:val="0003112E"/>
    <w:rsid w:val="00031648"/>
    <w:rsid w:val="00031800"/>
    <w:rsid w:val="0003186B"/>
    <w:rsid w:val="000323F6"/>
    <w:rsid w:val="000327F1"/>
    <w:rsid w:val="00032987"/>
    <w:rsid w:val="00032E09"/>
    <w:rsid w:val="00033DB3"/>
    <w:rsid w:val="00033DFF"/>
    <w:rsid w:val="00033FD1"/>
    <w:rsid w:val="000347D2"/>
    <w:rsid w:val="00034BA8"/>
    <w:rsid w:val="00034D47"/>
    <w:rsid w:val="0003567E"/>
    <w:rsid w:val="00035ADE"/>
    <w:rsid w:val="00035EA7"/>
    <w:rsid w:val="00036307"/>
    <w:rsid w:val="00036E80"/>
    <w:rsid w:val="0003704B"/>
    <w:rsid w:val="000370AA"/>
    <w:rsid w:val="0003711C"/>
    <w:rsid w:val="00037B7B"/>
    <w:rsid w:val="00037BE7"/>
    <w:rsid w:val="00040375"/>
    <w:rsid w:val="000406FB"/>
    <w:rsid w:val="00040A64"/>
    <w:rsid w:val="00040C12"/>
    <w:rsid w:val="00041428"/>
    <w:rsid w:val="000416A4"/>
    <w:rsid w:val="00041B27"/>
    <w:rsid w:val="00041B70"/>
    <w:rsid w:val="00041C9D"/>
    <w:rsid w:val="00041CD6"/>
    <w:rsid w:val="0004214D"/>
    <w:rsid w:val="00042162"/>
    <w:rsid w:val="0004364D"/>
    <w:rsid w:val="00043685"/>
    <w:rsid w:val="000449A8"/>
    <w:rsid w:val="00044DDA"/>
    <w:rsid w:val="00045121"/>
    <w:rsid w:val="0004512D"/>
    <w:rsid w:val="00045AD2"/>
    <w:rsid w:val="00046537"/>
    <w:rsid w:val="000465A6"/>
    <w:rsid w:val="000465EB"/>
    <w:rsid w:val="0004680A"/>
    <w:rsid w:val="00046C96"/>
    <w:rsid w:val="00046EEC"/>
    <w:rsid w:val="0004766F"/>
    <w:rsid w:val="00047907"/>
    <w:rsid w:val="00047987"/>
    <w:rsid w:val="00047A65"/>
    <w:rsid w:val="00047A8A"/>
    <w:rsid w:val="00050C63"/>
    <w:rsid w:val="00050EB0"/>
    <w:rsid w:val="00051B13"/>
    <w:rsid w:val="00051B6A"/>
    <w:rsid w:val="00051DDD"/>
    <w:rsid w:val="0005212C"/>
    <w:rsid w:val="0005295E"/>
    <w:rsid w:val="000529E7"/>
    <w:rsid w:val="00053285"/>
    <w:rsid w:val="00053768"/>
    <w:rsid w:val="00053EE0"/>
    <w:rsid w:val="00054A13"/>
    <w:rsid w:val="00054B81"/>
    <w:rsid w:val="00054C8C"/>
    <w:rsid w:val="00056706"/>
    <w:rsid w:val="000568AE"/>
    <w:rsid w:val="00056EEF"/>
    <w:rsid w:val="0005761E"/>
    <w:rsid w:val="00057629"/>
    <w:rsid w:val="000577A9"/>
    <w:rsid w:val="0005790D"/>
    <w:rsid w:val="0006066C"/>
    <w:rsid w:val="00060E3E"/>
    <w:rsid w:val="000615AA"/>
    <w:rsid w:val="00061655"/>
    <w:rsid w:val="000619F3"/>
    <w:rsid w:val="00061CB4"/>
    <w:rsid w:val="000626A8"/>
    <w:rsid w:val="00062B6B"/>
    <w:rsid w:val="00062ECF"/>
    <w:rsid w:val="000633AE"/>
    <w:rsid w:val="00063E4D"/>
    <w:rsid w:val="000640B2"/>
    <w:rsid w:val="000646EE"/>
    <w:rsid w:val="00065366"/>
    <w:rsid w:val="00065929"/>
    <w:rsid w:val="000659A8"/>
    <w:rsid w:val="0006681F"/>
    <w:rsid w:val="000668C8"/>
    <w:rsid w:val="0006693C"/>
    <w:rsid w:val="00066A26"/>
    <w:rsid w:val="00067DEC"/>
    <w:rsid w:val="00067E61"/>
    <w:rsid w:val="00070C9E"/>
    <w:rsid w:val="00070EF9"/>
    <w:rsid w:val="00071753"/>
    <w:rsid w:val="0007230D"/>
    <w:rsid w:val="000727A4"/>
    <w:rsid w:val="0007426B"/>
    <w:rsid w:val="00075AF4"/>
    <w:rsid w:val="00076295"/>
    <w:rsid w:val="0007668B"/>
    <w:rsid w:val="000766F5"/>
    <w:rsid w:val="00076C1A"/>
    <w:rsid w:val="00076CE8"/>
    <w:rsid w:val="00076F72"/>
    <w:rsid w:val="000773F3"/>
    <w:rsid w:val="00077615"/>
    <w:rsid w:val="00077ADB"/>
    <w:rsid w:val="00077C63"/>
    <w:rsid w:val="00077D40"/>
    <w:rsid w:val="000807D9"/>
    <w:rsid w:val="000817B3"/>
    <w:rsid w:val="0008202C"/>
    <w:rsid w:val="000821D1"/>
    <w:rsid w:val="00082268"/>
    <w:rsid w:val="000825CE"/>
    <w:rsid w:val="000828CA"/>
    <w:rsid w:val="000833DB"/>
    <w:rsid w:val="000835E2"/>
    <w:rsid w:val="000835E9"/>
    <w:rsid w:val="0008370C"/>
    <w:rsid w:val="00083A14"/>
    <w:rsid w:val="00083F65"/>
    <w:rsid w:val="00084099"/>
    <w:rsid w:val="00084285"/>
    <w:rsid w:val="00084813"/>
    <w:rsid w:val="000860A3"/>
    <w:rsid w:val="00086451"/>
    <w:rsid w:val="00087357"/>
    <w:rsid w:val="00087E64"/>
    <w:rsid w:val="000920E3"/>
    <w:rsid w:val="000924E3"/>
    <w:rsid w:val="00092836"/>
    <w:rsid w:val="0009287F"/>
    <w:rsid w:val="00092E07"/>
    <w:rsid w:val="000935A4"/>
    <w:rsid w:val="00094102"/>
    <w:rsid w:val="0009421F"/>
    <w:rsid w:val="00094B60"/>
    <w:rsid w:val="00094E17"/>
    <w:rsid w:val="00094FC4"/>
    <w:rsid w:val="00095694"/>
    <w:rsid w:val="0009617D"/>
    <w:rsid w:val="000964D7"/>
    <w:rsid w:val="00097AA0"/>
    <w:rsid w:val="00097F74"/>
    <w:rsid w:val="000A0239"/>
    <w:rsid w:val="000A0B49"/>
    <w:rsid w:val="000A10F5"/>
    <w:rsid w:val="000A1109"/>
    <w:rsid w:val="000A1ADD"/>
    <w:rsid w:val="000A1B01"/>
    <w:rsid w:val="000A207C"/>
    <w:rsid w:val="000A30F8"/>
    <w:rsid w:val="000A34D3"/>
    <w:rsid w:val="000A373B"/>
    <w:rsid w:val="000A3C6F"/>
    <w:rsid w:val="000A4AC6"/>
    <w:rsid w:val="000A4E13"/>
    <w:rsid w:val="000A59D6"/>
    <w:rsid w:val="000A5A18"/>
    <w:rsid w:val="000A5DC7"/>
    <w:rsid w:val="000A6847"/>
    <w:rsid w:val="000A6CC6"/>
    <w:rsid w:val="000A6E4E"/>
    <w:rsid w:val="000A7186"/>
    <w:rsid w:val="000A79F4"/>
    <w:rsid w:val="000A7A01"/>
    <w:rsid w:val="000B0FE9"/>
    <w:rsid w:val="000B1087"/>
    <w:rsid w:val="000B1343"/>
    <w:rsid w:val="000B1D78"/>
    <w:rsid w:val="000B2461"/>
    <w:rsid w:val="000B3427"/>
    <w:rsid w:val="000B3DFE"/>
    <w:rsid w:val="000B3EE6"/>
    <w:rsid w:val="000B4D60"/>
    <w:rsid w:val="000B4E24"/>
    <w:rsid w:val="000B4FCB"/>
    <w:rsid w:val="000B52F9"/>
    <w:rsid w:val="000B5424"/>
    <w:rsid w:val="000B54C6"/>
    <w:rsid w:val="000B5796"/>
    <w:rsid w:val="000B5A00"/>
    <w:rsid w:val="000B5A98"/>
    <w:rsid w:val="000B5C7E"/>
    <w:rsid w:val="000B640E"/>
    <w:rsid w:val="000B67C7"/>
    <w:rsid w:val="000B6A72"/>
    <w:rsid w:val="000B6B6D"/>
    <w:rsid w:val="000B7260"/>
    <w:rsid w:val="000B75A3"/>
    <w:rsid w:val="000B75E5"/>
    <w:rsid w:val="000B770B"/>
    <w:rsid w:val="000B7F4C"/>
    <w:rsid w:val="000C042A"/>
    <w:rsid w:val="000C0656"/>
    <w:rsid w:val="000C06DF"/>
    <w:rsid w:val="000C0CD3"/>
    <w:rsid w:val="000C0DA6"/>
    <w:rsid w:val="000C1451"/>
    <w:rsid w:val="000C238B"/>
    <w:rsid w:val="000C24F2"/>
    <w:rsid w:val="000C284D"/>
    <w:rsid w:val="000C381B"/>
    <w:rsid w:val="000C3FD3"/>
    <w:rsid w:val="000C4215"/>
    <w:rsid w:val="000C49B5"/>
    <w:rsid w:val="000C4E7E"/>
    <w:rsid w:val="000C5461"/>
    <w:rsid w:val="000C5ECA"/>
    <w:rsid w:val="000C7151"/>
    <w:rsid w:val="000C7314"/>
    <w:rsid w:val="000C778F"/>
    <w:rsid w:val="000C77A0"/>
    <w:rsid w:val="000C7808"/>
    <w:rsid w:val="000C7987"/>
    <w:rsid w:val="000D0941"/>
    <w:rsid w:val="000D0BAA"/>
    <w:rsid w:val="000D0D38"/>
    <w:rsid w:val="000D0DF5"/>
    <w:rsid w:val="000D14F3"/>
    <w:rsid w:val="000D1B92"/>
    <w:rsid w:val="000D1D89"/>
    <w:rsid w:val="000D2767"/>
    <w:rsid w:val="000D2D0D"/>
    <w:rsid w:val="000D323C"/>
    <w:rsid w:val="000D37F4"/>
    <w:rsid w:val="000D3A8D"/>
    <w:rsid w:val="000D4137"/>
    <w:rsid w:val="000D55EA"/>
    <w:rsid w:val="000D5BD1"/>
    <w:rsid w:val="000D6A93"/>
    <w:rsid w:val="000D73E3"/>
    <w:rsid w:val="000D766B"/>
    <w:rsid w:val="000D77EA"/>
    <w:rsid w:val="000D795E"/>
    <w:rsid w:val="000D7BBC"/>
    <w:rsid w:val="000D7CC7"/>
    <w:rsid w:val="000E025B"/>
    <w:rsid w:val="000E02FD"/>
    <w:rsid w:val="000E0817"/>
    <w:rsid w:val="000E106A"/>
    <w:rsid w:val="000E1368"/>
    <w:rsid w:val="000E147D"/>
    <w:rsid w:val="000E201F"/>
    <w:rsid w:val="000E2C78"/>
    <w:rsid w:val="000E2D98"/>
    <w:rsid w:val="000E2E8F"/>
    <w:rsid w:val="000E36DC"/>
    <w:rsid w:val="000E37E2"/>
    <w:rsid w:val="000E4830"/>
    <w:rsid w:val="000E5144"/>
    <w:rsid w:val="000E5B52"/>
    <w:rsid w:val="000E60FE"/>
    <w:rsid w:val="000E65B9"/>
    <w:rsid w:val="000E6CB0"/>
    <w:rsid w:val="000E6F68"/>
    <w:rsid w:val="000F0E7C"/>
    <w:rsid w:val="000F1CB3"/>
    <w:rsid w:val="000F21CF"/>
    <w:rsid w:val="000F2772"/>
    <w:rsid w:val="000F3777"/>
    <w:rsid w:val="000F400F"/>
    <w:rsid w:val="000F44B4"/>
    <w:rsid w:val="000F45F1"/>
    <w:rsid w:val="000F49F9"/>
    <w:rsid w:val="000F4F10"/>
    <w:rsid w:val="000F5B19"/>
    <w:rsid w:val="000F60A8"/>
    <w:rsid w:val="000F64F7"/>
    <w:rsid w:val="000F670A"/>
    <w:rsid w:val="000F6DA8"/>
    <w:rsid w:val="000F712B"/>
    <w:rsid w:val="000F76BB"/>
    <w:rsid w:val="001006D5"/>
    <w:rsid w:val="00101854"/>
    <w:rsid w:val="00101B1E"/>
    <w:rsid w:val="00101D74"/>
    <w:rsid w:val="0010218E"/>
    <w:rsid w:val="00102223"/>
    <w:rsid w:val="00103546"/>
    <w:rsid w:val="001037E1"/>
    <w:rsid w:val="00103BED"/>
    <w:rsid w:val="00104132"/>
    <w:rsid w:val="00104B02"/>
    <w:rsid w:val="00104BFF"/>
    <w:rsid w:val="0010510E"/>
    <w:rsid w:val="00105303"/>
    <w:rsid w:val="001056ED"/>
    <w:rsid w:val="001057C4"/>
    <w:rsid w:val="00105CBB"/>
    <w:rsid w:val="00106083"/>
    <w:rsid w:val="0010639A"/>
    <w:rsid w:val="00106ECE"/>
    <w:rsid w:val="00106F83"/>
    <w:rsid w:val="00106FBC"/>
    <w:rsid w:val="001071E0"/>
    <w:rsid w:val="00107787"/>
    <w:rsid w:val="00107998"/>
    <w:rsid w:val="00107C5A"/>
    <w:rsid w:val="001100F1"/>
    <w:rsid w:val="00111F00"/>
    <w:rsid w:val="00112565"/>
    <w:rsid w:val="0011361D"/>
    <w:rsid w:val="00113736"/>
    <w:rsid w:val="00113957"/>
    <w:rsid w:val="00114608"/>
    <w:rsid w:val="00115714"/>
    <w:rsid w:val="00115F98"/>
    <w:rsid w:val="00116629"/>
    <w:rsid w:val="00117825"/>
    <w:rsid w:val="00120010"/>
    <w:rsid w:val="0012074D"/>
    <w:rsid w:val="00120EAA"/>
    <w:rsid w:val="001217A0"/>
    <w:rsid w:val="001219A5"/>
    <w:rsid w:val="00121EE0"/>
    <w:rsid w:val="00121F37"/>
    <w:rsid w:val="00122872"/>
    <w:rsid w:val="0012304F"/>
    <w:rsid w:val="001232DE"/>
    <w:rsid w:val="0012505F"/>
    <w:rsid w:val="001250A6"/>
    <w:rsid w:val="001253C9"/>
    <w:rsid w:val="0012550C"/>
    <w:rsid w:val="0012581E"/>
    <w:rsid w:val="001258E5"/>
    <w:rsid w:val="001264E2"/>
    <w:rsid w:val="00127324"/>
    <w:rsid w:val="0012760A"/>
    <w:rsid w:val="00127A59"/>
    <w:rsid w:val="00127D2C"/>
    <w:rsid w:val="00127F7D"/>
    <w:rsid w:val="0013031D"/>
    <w:rsid w:val="001305F7"/>
    <w:rsid w:val="001309EA"/>
    <w:rsid w:val="00130F6F"/>
    <w:rsid w:val="00130FC0"/>
    <w:rsid w:val="001317CC"/>
    <w:rsid w:val="001318A3"/>
    <w:rsid w:val="00132915"/>
    <w:rsid w:val="00133383"/>
    <w:rsid w:val="00133C5B"/>
    <w:rsid w:val="00134457"/>
    <w:rsid w:val="0013460C"/>
    <w:rsid w:val="001346DA"/>
    <w:rsid w:val="001347B8"/>
    <w:rsid w:val="00134AE6"/>
    <w:rsid w:val="001352EE"/>
    <w:rsid w:val="00135654"/>
    <w:rsid w:val="00135B3A"/>
    <w:rsid w:val="00135F0E"/>
    <w:rsid w:val="00136090"/>
    <w:rsid w:val="00136EAE"/>
    <w:rsid w:val="001372D4"/>
    <w:rsid w:val="0013784E"/>
    <w:rsid w:val="00140167"/>
    <w:rsid w:val="00140AF6"/>
    <w:rsid w:val="00140EE4"/>
    <w:rsid w:val="0014118C"/>
    <w:rsid w:val="00141521"/>
    <w:rsid w:val="0014162D"/>
    <w:rsid w:val="00143429"/>
    <w:rsid w:val="00143C01"/>
    <w:rsid w:val="001448AB"/>
    <w:rsid w:val="00145B05"/>
    <w:rsid w:val="001465E2"/>
    <w:rsid w:val="00146ACB"/>
    <w:rsid w:val="00146B3B"/>
    <w:rsid w:val="0014796C"/>
    <w:rsid w:val="00147ACE"/>
    <w:rsid w:val="00147F27"/>
    <w:rsid w:val="00150976"/>
    <w:rsid w:val="0015135E"/>
    <w:rsid w:val="0015171F"/>
    <w:rsid w:val="00151AD3"/>
    <w:rsid w:val="001521F2"/>
    <w:rsid w:val="001525A9"/>
    <w:rsid w:val="0015290C"/>
    <w:rsid w:val="00152EAD"/>
    <w:rsid w:val="00153917"/>
    <w:rsid w:val="00153D5F"/>
    <w:rsid w:val="0015483F"/>
    <w:rsid w:val="0015493C"/>
    <w:rsid w:val="00154A96"/>
    <w:rsid w:val="00154C0F"/>
    <w:rsid w:val="00155948"/>
    <w:rsid w:val="0015618B"/>
    <w:rsid w:val="0015620C"/>
    <w:rsid w:val="0015668C"/>
    <w:rsid w:val="00156CF3"/>
    <w:rsid w:val="00157488"/>
    <w:rsid w:val="0015799D"/>
    <w:rsid w:val="00157C5B"/>
    <w:rsid w:val="0016073C"/>
    <w:rsid w:val="00160746"/>
    <w:rsid w:val="001608AD"/>
    <w:rsid w:val="00160920"/>
    <w:rsid w:val="00160AAC"/>
    <w:rsid w:val="00160F69"/>
    <w:rsid w:val="001621D7"/>
    <w:rsid w:val="001623CB"/>
    <w:rsid w:val="001625F5"/>
    <w:rsid w:val="0016270B"/>
    <w:rsid w:val="00162769"/>
    <w:rsid w:val="001627F4"/>
    <w:rsid w:val="00162A16"/>
    <w:rsid w:val="00162C50"/>
    <w:rsid w:val="00162FB1"/>
    <w:rsid w:val="00163269"/>
    <w:rsid w:val="001633B9"/>
    <w:rsid w:val="001635E1"/>
    <w:rsid w:val="00163BCD"/>
    <w:rsid w:val="00163E9B"/>
    <w:rsid w:val="00164674"/>
    <w:rsid w:val="00164BC1"/>
    <w:rsid w:val="00165118"/>
    <w:rsid w:val="001654AC"/>
    <w:rsid w:val="00165EB7"/>
    <w:rsid w:val="0016627A"/>
    <w:rsid w:val="001662BE"/>
    <w:rsid w:val="0016631B"/>
    <w:rsid w:val="00167021"/>
    <w:rsid w:val="00167791"/>
    <w:rsid w:val="00167CD4"/>
    <w:rsid w:val="00170A7A"/>
    <w:rsid w:val="00170DAE"/>
    <w:rsid w:val="001713DC"/>
    <w:rsid w:val="00171F81"/>
    <w:rsid w:val="0017247A"/>
    <w:rsid w:val="001725BF"/>
    <w:rsid w:val="001727FB"/>
    <w:rsid w:val="00172C05"/>
    <w:rsid w:val="0017344D"/>
    <w:rsid w:val="0017459D"/>
    <w:rsid w:val="001749F6"/>
    <w:rsid w:val="00174FC6"/>
    <w:rsid w:val="00176BF9"/>
    <w:rsid w:val="00177C95"/>
    <w:rsid w:val="001801A1"/>
    <w:rsid w:val="00180935"/>
    <w:rsid w:val="001809A9"/>
    <w:rsid w:val="00180F1A"/>
    <w:rsid w:val="001817DC"/>
    <w:rsid w:val="00181E15"/>
    <w:rsid w:val="001824A2"/>
    <w:rsid w:val="00182AC8"/>
    <w:rsid w:val="00183074"/>
    <w:rsid w:val="00183BEB"/>
    <w:rsid w:val="00183E9F"/>
    <w:rsid w:val="001840DA"/>
    <w:rsid w:val="001841EF"/>
    <w:rsid w:val="001842CF"/>
    <w:rsid w:val="001857A1"/>
    <w:rsid w:val="00185BDC"/>
    <w:rsid w:val="00186C09"/>
    <w:rsid w:val="001875CC"/>
    <w:rsid w:val="001876F3"/>
    <w:rsid w:val="00187783"/>
    <w:rsid w:val="00187B83"/>
    <w:rsid w:val="00190E2C"/>
    <w:rsid w:val="001911C9"/>
    <w:rsid w:val="00191517"/>
    <w:rsid w:val="00191AF9"/>
    <w:rsid w:val="00191C80"/>
    <w:rsid w:val="00192111"/>
    <w:rsid w:val="00192ED3"/>
    <w:rsid w:val="001930DF"/>
    <w:rsid w:val="001931C6"/>
    <w:rsid w:val="001935C2"/>
    <w:rsid w:val="001938AC"/>
    <w:rsid w:val="0019400E"/>
    <w:rsid w:val="00194101"/>
    <w:rsid w:val="00194265"/>
    <w:rsid w:val="001946B2"/>
    <w:rsid w:val="00194A49"/>
    <w:rsid w:val="00194A58"/>
    <w:rsid w:val="00194B86"/>
    <w:rsid w:val="00195862"/>
    <w:rsid w:val="00196045"/>
    <w:rsid w:val="00196B88"/>
    <w:rsid w:val="0019710E"/>
    <w:rsid w:val="00197F69"/>
    <w:rsid w:val="001A0B55"/>
    <w:rsid w:val="001A0EAF"/>
    <w:rsid w:val="001A1C5F"/>
    <w:rsid w:val="001A1DE5"/>
    <w:rsid w:val="001A238A"/>
    <w:rsid w:val="001A30FD"/>
    <w:rsid w:val="001A32A9"/>
    <w:rsid w:val="001A342D"/>
    <w:rsid w:val="001A4EDC"/>
    <w:rsid w:val="001A5136"/>
    <w:rsid w:val="001A54DE"/>
    <w:rsid w:val="001A5A2A"/>
    <w:rsid w:val="001A5A6B"/>
    <w:rsid w:val="001A65C3"/>
    <w:rsid w:val="001A6915"/>
    <w:rsid w:val="001A6A0A"/>
    <w:rsid w:val="001A6B7A"/>
    <w:rsid w:val="001A6F79"/>
    <w:rsid w:val="001A71EE"/>
    <w:rsid w:val="001A7408"/>
    <w:rsid w:val="001B0898"/>
    <w:rsid w:val="001B0B1E"/>
    <w:rsid w:val="001B1009"/>
    <w:rsid w:val="001B1619"/>
    <w:rsid w:val="001B1828"/>
    <w:rsid w:val="001B2127"/>
    <w:rsid w:val="001B2466"/>
    <w:rsid w:val="001B2707"/>
    <w:rsid w:val="001B2F94"/>
    <w:rsid w:val="001B2FB3"/>
    <w:rsid w:val="001B3AD8"/>
    <w:rsid w:val="001B420B"/>
    <w:rsid w:val="001B42FD"/>
    <w:rsid w:val="001B47AA"/>
    <w:rsid w:val="001B4D6C"/>
    <w:rsid w:val="001B4E23"/>
    <w:rsid w:val="001B4FEC"/>
    <w:rsid w:val="001B50D6"/>
    <w:rsid w:val="001B5E95"/>
    <w:rsid w:val="001B625E"/>
    <w:rsid w:val="001B6ED3"/>
    <w:rsid w:val="001B74C9"/>
    <w:rsid w:val="001B7617"/>
    <w:rsid w:val="001B7C94"/>
    <w:rsid w:val="001C00C0"/>
    <w:rsid w:val="001C08D9"/>
    <w:rsid w:val="001C0CEF"/>
    <w:rsid w:val="001C164C"/>
    <w:rsid w:val="001C1AE1"/>
    <w:rsid w:val="001C2A57"/>
    <w:rsid w:val="001C2D41"/>
    <w:rsid w:val="001C426E"/>
    <w:rsid w:val="001C463B"/>
    <w:rsid w:val="001C467F"/>
    <w:rsid w:val="001C4926"/>
    <w:rsid w:val="001C4B20"/>
    <w:rsid w:val="001C515B"/>
    <w:rsid w:val="001C5302"/>
    <w:rsid w:val="001C5A52"/>
    <w:rsid w:val="001C73D1"/>
    <w:rsid w:val="001D0151"/>
    <w:rsid w:val="001D06DA"/>
    <w:rsid w:val="001D12C1"/>
    <w:rsid w:val="001D194F"/>
    <w:rsid w:val="001D1952"/>
    <w:rsid w:val="001D1B7A"/>
    <w:rsid w:val="001D20B1"/>
    <w:rsid w:val="001D212E"/>
    <w:rsid w:val="001D22B8"/>
    <w:rsid w:val="001D2659"/>
    <w:rsid w:val="001D2A9F"/>
    <w:rsid w:val="001D2C68"/>
    <w:rsid w:val="001D30AE"/>
    <w:rsid w:val="001D353C"/>
    <w:rsid w:val="001D39AE"/>
    <w:rsid w:val="001D3F16"/>
    <w:rsid w:val="001D4909"/>
    <w:rsid w:val="001D4E81"/>
    <w:rsid w:val="001D4F58"/>
    <w:rsid w:val="001D599E"/>
    <w:rsid w:val="001D672C"/>
    <w:rsid w:val="001D6A93"/>
    <w:rsid w:val="001D7707"/>
    <w:rsid w:val="001D79B5"/>
    <w:rsid w:val="001E00EB"/>
    <w:rsid w:val="001E0892"/>
    <w:rsid w:val="001E0F56"/>
    <w:rsid w:val="001E19CC"/>
    <w:rsid w:val="001E1DEF"/>
    <w:rsid w:val="001E2C5A"/>
    <w:rsid w:val="001E3C04"/>
    <w:rsid w:val="001E3C44"/>
    <w:rsid w:val="001E41B5"/>
    <w:rsid w:val="001E4946"/>
    <w:rsid w:val="001E4F9C"/>
    <w:rsid w:val="001E62AC"/>
    <w:rsid w:val="001E65AE"/>
    <w:rsid w:val="001E6BBE"/>
    <w:rsid w:val="001E6D55"/>
    <w:rsid w:val="001E7917"/>
    <w:rsid w:val="001F02D3"/>
    <w:rsid w:val="001F0366"/>
    <w:rsid w:val="001F07D6"/>
    <w:rsid w:val="001F1F48"/>
    <w:rsid w:val="001F28C8"/>
    <w:rsid w:val="001F322F"/>
    <w:rsid w:val="001F3585"/>
    <w:rsid w:val="001F359C"/>
    <w:rsid w:val="001F37F0"/>
    <w:rsid w:val="001F3E07"/>
    <w:rsid w:val="001F4203"/>
    <w:rsid w:val="001F4BE8"/>
    <w:rsid w:val="001F4F79"/>
    <w:rsid w:val="001F5980"/>
    <w:rsid w:val="001F59A7"/>
    <w:rsid w:val="001F5CF1"/>
    <w:rsid w:val="001F5D9B"/>
    <w:rsid w:val="001F612D"/>
    <w:rsid w:val="001F6445"/>
    <w:rsid w:val="001F7273"/>
    <w:rsid w:val="001F7410"/>
    <w:rsid w:val="001F7B95"/>
    <w:rsid w:val="001F7E2F"/>
    <w:rsid w:val="0020023F"/>
    <w:rsid w:val="00200FE5"/>
    <w:rsid w:val="002011C2"/>
    <w:rsid w:val="00201648"/>
    <w:rsid w:val="00201851"/>
    <w:rsid w:val="00201B2B"/>
    <w:rsid w:val="00202439"/>
    <w:rsid w:val="002028A2"/>
    <w:rsid w:val="00202DAC"/>
    <w:rsid w:val="00202E2C"/>
    <w:rsid w:val="00203836"/>
    <w:rsid w:val="00203A85"/>
    <w:rsid w:val="002058C5"/>
    <w:rsid w:val="00205DAE"/>
    <w:rsid w:val="0020607A"/>
    <w:rsid w:val="00206236"/>
    <w:rsid w:val="00206D70"/>
    <w:rsid w:val="002072C2"/>
    <w:rsid w:val="00207E29"/>
    <w:rsid w:val="002102CC"/>
    <w:rsid w:val="002105BC"/>
    <w:rsid w:val="00210984"/>
    <w:rsid w:val="00210D3A"/>
    <w:rsid w:val="00211B9B"/>
    <w:rsid w:val="00211CB9"/>
    <w:rsid w:val="00212346"/>
    <w:rsid w:val="00212C9F"/>
    <w:rsid w:val="002132FB"/>
    <w:rsid w:val="0021375E"/>
    <w:rsid w:val="002138B5"/>
    <w:rsid w:val="002138D3"/>
    <w:rsid w:val="00214C2A"/>
    <w:rsid w:val="00214D87"/>
    <w:rsid w:val="002153EC"/>
    <w:rsid w:val="00215668"/>
    <w:rsid w:val="00215A93"/>
    <w:rsid w:val="00216DFF"/>
    <w:rsid w:val="002170AF"/>
    <w:rsid w:val="002177A3"/>
    <w:rsid w:val="00217F1C"/>
    <w:rsid w:val="002205C4"/>
    <w:rsid w:val="002207EB"/>
    <w:rsid w:val="002207FF"/>
    <w:rsid w:val="002209AD"/>
    <w:rsid w:val="00220D6C"/>
    <w:rsid w:val="00220FB1"/>
    <w:rsid w:val="00221000"/>
    <w:rsid w:val="00221B15"/>
    <w:rsid w:val="00222BFA"/>
    <w:rsid w:val="00223A15"/>
    <w:rsid w:val="00223EE8"/>
    <w:rsid w:val="00223FDE"/>
    <w:rsid w:val="00224444"/>
    <w:rsid w:val="00224465"/>
    <w:rsid w:val="00224EAD"/>
    <w:rsid w:val="002256FF"/>
    <w:rsid w:val="00225C47"/>
    <w:rsid w:val="00225EA6"/>
    <w:rsid w:val="00226531"/>
    <w:rsid w:val="00226C73"/>
    <w:rsid w:val="00226D5D"/>
    <w:rsid w:val="00226E0D"/>
    <w:rsid w:val="00226F7B"/>
    <w:rsid w:val="002270A6"/>
    <w:rsid w:val="002274B9"/>
    <w:rsid w:val="002277C6"/>
    <w:rsid w:val="00227A15"/>
    <w:rsid w:val="00227C57"/>
    <w:rsid w:val="00227FCA"/>
    <w:rsid w:val="0023048E"/>
    <w:rsid w:val="00230F9E"/>
    <w:rsid w:val="00231294"/>
    <w:rsid w:val="00231BD3"/>
    <w:rsid w:val="00231E46"/>
    <w:rsid w:val="0023237C"/>
    <w:rsid w:val="0023270C"/>
    <w:rsid w:val="00232787"/>
    <w:rsid w:val="00232808"/>
    <w:rsid w:val="00232963"/>
    <w:rsid w:val="00232B3A"/>
    <w:rsid w:val="0023302A"/>
    <w:rsid w:val="002330B0"/>
    <w:rsid w:val="00233F0F"/>
    <w:rsid w:val="00234577"/>
    <w:rsid w:val="0023492B"/>
    <w:rsid w:val="00235141"/>
    <w:rsid w:val="00235305"/>
    <w:rsid w:val="00236879"/>
    <w:rsid w:val="002369C3"/>
    <w:rsid w:val="00236B46"/>
    <w:rsid w:val="00237472"/>
    <w:rsid w:val="0023777C"/>
    <w:rsid w:val="0024078D"/>
    <w:rsid w:val="00240BBC"/>
    <w:rsid w:val="00240CDF"/>
    <w:rsid w:val="002418DB"/>
    <w:rsid w:val="00241BC6"/>
    <w:rsid w:val="00242974"/>
    <w:rsid w:val="00243939"/>
    <w:rsid w:val="00244218"/>
    <w:rsid w:val="0024442B"/>
    <w:rsid w:val="00244712"/>
    <w:rsid w:val="002451FA"/>
    <w:rsid w:val="00245613"/>
    <w:rsid w:val="0024569A"/>
    <w:rsid w:val="00245C99"/>
    <w:rsid w:val="00245DD8"/>
    <w:rsid w:val="0024613B"/>
    <w:rsid w:val="00246182"/>
    <w:rsid w:val="002461DF"/>
    <w:rsid w:val="002462F2"/>
    <w:rsid w:val="00246521"/>
    <w:rsid w:val="00246D7F"/>
    <w:rsid w:val="00247384"/>
    <w:rsid w:val="00247B72"/>
    <w:rsid w:val="0025004E"/>
    <w:rsid w:val="00250D38"/>
    <w:rsid w:val="00250F3D"/>
    <w:rsid w:val="0025174C"/>
    <w:rsid w:val="00251BB8"/>
    <w:rsid w:val="00252B76"/>
    <w:rsid w:val="00252F04"/>
    <w:rsid w:val="00253AF9"/>
    <w:rsid w:val="0025492A"/>
    <w:rsid w:val="0025520B"/>
    <w:rsid w:val="00255675"/>
    <w:rsid w:val="00255771"/>
    <w:rsid w:val="00255951"/>
    <w:rsid w:val="00255E4B"/>
    <w:rsid w:val="00256512"/>
    <w:rsid w:val="00256AC7"/>
    <w:rsid w:val="00256E91"/>
    <w:rsid w:val="0025763F"/>
    <w:rsid w:val="002576DD"/>
    <w:rsid w:val="00257D35"/>
    <w:rsid w:val="00257F9B"/>
    <w:rsid w:val="00257FEB"/>
    <w:rsid w:val="00260125"/>
    <w:rsid w:val="00260319"/>
    <w:rsid w:val="00260DAC"/>
    <w:rsid w:val="002611EC"/>
    <w:rsid w:val="00261326"/>
    <w:rsid w:val="0026135A"/>
    <w:rsid w:val="00261426"/>
    <w:rsid w:val="002619FA"/>
    <w:rsid w:val="00261C3A"/>
    <w:rsid w:val="00262321"/>
    <w:rsid w:val="00262A73"/>
    <w:rsid w:val="00262C2E"/>
    <w:rsid w:val="00263B6E"/>
    <w:rsid w:val="002654D5"/>
    <w:rsid w:val="00265F31"/>
    <w:rsid w:val="00265FE2"/>
    <w:rsid w:val="0026614E"/>
    <w:rsid w:val="002665C0"/>
    <w:rsid w:val="002666CD"/>
    <w:rsid w:val="002669D6"/>
    <w:rsid w:val="00266AA4"/>
    <w:rsid w:val="00267FF6"/>
    <w:rsid w:val="0027073E"/>
    <w:rsid w:val="00270928"/>
    <w:rsid w:val="00271B4E"/>
    <w:rsid w:val="00273955"/>
    <w:rsid w:val="00273EB3"/>
    <w:rsid w:val="00274092"/>
    <w:rsid w:val="00274139"/>
    <w:rsid w:val="0027445C"/>
    <w:rsid w:val="002745CC"/>
    <w:rsid w:val="002748C0"/>
    <w:rsid w:val="00275258"/>
    <w:rsid w:val="00275693"/>
    <w:rsid w:val="0027574E"/>
    <w:rsid w:val="00275B73"/>
    <w:rsid w:val="00275EDA"/>
    <w:rsid w:val="00276021"/>
    <w:rsid w:val="002765D8"/>
    <w:rsid w:val="002765E1"/>
    <w:rsid w:val="002769DC"/>
    <w:rsid w:val="00276AE3"/>
    <w:rsid w:val="00276C56"/>
    <w:rsid w:val="002770CD"/>
    <w:rsid w:val="0027758B"/>
    <w:rsid w:val="002776BD"/>
    <w:rsid w:val="002779B1"/>
    <w:rsid w:val="00277A9F"/>
    <w:rsid w:val="00280291"/>
    <w:rsid w:val="00281B00"/>
    <w:rsid w:val="0028215C"/>
    <w:rsid w:val="00282B58"/>
    <w:rsid w:val="00283247"/>
    <w:rsid w:val="00283FA4"/>
    <w:rsid w:val="002844F8"/>
    <w:rsid w:val="00284BCF"/>
    <w:rsid w:val="0028509A"/>
    <w:rsid w:val="00285B7E"/>
    <w:rsid w:val="00286496"/>
    <w:rsid w:val="00287A5E"/>
    <w:rsid w:val="0029020A"/>
    <w:rsid w:val="00290773"/>
    <w:rsid w:val="00290A97"/>
    <w:rsid w:val="00290AE3"/>
    <w:rsid w:val="00290DC4"/>
    <w:rsid w:val="00290E2D"/>
    <w:rsid w:val="002912ED"/>
    <w:rsid w:val="002919E2"/>
    <w:rsid w:val="00291DFA"/>
    <w:rsid w:val="002920CE"/>
    <w:rsid w:val="002924C1"/>
    <w:rsid w:val="00292AE5"/>
    <w:rsid w:val="00292BEE"/>
    <w:rsid w:val="00295195"/>
    <w:rsid w:val="002952C0"/>
    <w:rsid w:val="0029537C"/>
    <w:rsid w:val="00295CE2"/>
    <w:rsid w:val="00295F11"/>
    <w:rsid w:val="002960C6"/>
    <w:rsid w:val="002963FF"/>
    <w:rsid w:val="00296468"/>
    <w:rsid w:val="00296ECD"/>
    <w:rsid w:val="00296EF3"/>
    <w:rsid w:val="00297351"/>
    <w:rsid w:val="00297658"/>
    <w:rsid w:val="00297B35"/>
    <w:rsid w:val="00297BA7"/>
    <w:rsid w:val="002A00AF"/>
    <w:rsid w:val="002A0433"/>
    <w:rsid w:val="002A0AEE"/>
    <w:rsid w:val="002A177E"/>
    <w:rsid w:val="002A187F"/>
    <w:rsid w:val="002A2FED"/>
    <w:rsid w:val="002A36C3"/>
    <w:rsid w:val="002A42A2"/>
    <w:rsid w:val="002A5310"/>
    <w:rsid w:val="002A560E"/>
    <w:rsid w:val="002A565C"/>
    <w:rsid w:val="002A5ABC"/>
    <w:rsid w:val="002A6453"/>
    <w:rsid w:val="002A6A0E"/>
    <w:rsid w:val="002A6AD4"/>
    <w:rsid w:val="002A70FA"/>
    <w:rsid w:val="002A741A"/>
    <w:rsid w:val="002A7B3B"/>
    <w:rsid w:val="002A7E15"/>
    <w:rsid w:val="002B1177"/>
    <w:rsid w:val="002B1C9D"/>
    <w:rsid w:val="002B2020"/>
    <w:rsid w:val="002B225D"/>
    <w:rsid w:val="002B2286"/>
    <w:rsid w:val="002B33D8"/>
    <w:rsid w:val="002B40FD"/>
    <w:rsid w:val="002B475C"/>
    <w:rsid w:val="002B4A1E"/>
    <w:rsid w:val="002B4ABF"/>
    <w:rsid w:val="002B5091"/>
    <w:rsid w:val="002B5866"/>
    <w:rsid w:val="002B6234"/>
    <w:rsid w:val="002B6D52"/>
    <w:rsid w:val="002B78A2"/>
    <w:rsid w:val="002B7AD0"/>
    <w:rsid w:val="002C0667"/>
    <w:rsid w:val="002C0774"/>
    <w:rsid w:val="002C07A7"/>
    <w:rsid w:val="002C0A30"/>
    <w:rsid w:val="002C0B0E"/>
    <w:rsid w:val="002C0FB6"/>
    <w:rsid w:val="002C1BC2"/>
    <w:rsid w:val="002C28D1"/>
    <w:rsid w:val="002C2921"/>
    <w:rsid w:val="002C2DE4"/>
    <w:rsid w:val="002C39E7"/>
    <w:rsid w:val="002C3BCD"/>
    <w:rsid w:val="002C4A96"/>
    <w:rsid w:val="002C4B89"/>
    <w:rsid w:val="002C5A00"/>
    <w:rsid w:val="002C66F3"/>
    <w:rsid w:val="002C7325"/>
    <w:rsid w:val="002C76BC"/>
    <w:rsid w:val="002D0544"/>
    <w:rsid w:val="002D062B"/>
    <w:rsid w:val="002D0CC3"/>
    <w:rsid w:val="002D3B5F"/>
    <w:rsid w:val="002D42B7"/>
    <w:rsid w:val="002D4419"/>
    <w:rsid w:val="002D4643"/>
    <w:rsid w:val="002D488C"/>
    <w:rsid w:val="002D4C87"/>
    <w:rsid w:val="002D53F6"/>
    <w:rsid w:val="002D5FB4"/>
    <w:rsid w:val="002D6988"/>
    <w:rsid w:val="002D6C83"/>
    <w:rsid w:val="002D76A0"/>
    <w:rsid w:val="002D770E"/>
    <w:rsid w:val="002D7A72"/>
    <w:rsid w:val="002E0D1F"/>
    <w:rsid w:val="002E1018"/>
    <w:rsid w:val="002E1BA1"/>
    <w:rsid w:val="002E1DCA"/>
    <w:rsid w:val="002E25B7"/>
    <w:rsid w:val="002E2C0C"/>
    <w:rsid w:val="002E373D"/>
    <w:rsid w:val="002E3B86"/>
    <w:rsid w:val="002E460D"/>
    <w:rsid w:val="002E4C9A"/>
    <w:rsid w:val="002E4F81"/>
    <w:rsid w:val="002E5045"/>
    <w:rsid w:val="002E56F8"/>
    <w:rsid w:val="002E6071"/>
    <w:rsid w:val="002E6B1F"/>
    <w:rsid w:val="002E6D4E"/>
    <w:rsid w:val="002E7025"/>
    <w:rsid w:val="002E79C3"/>
    <w:rsid w:val="002E7D44"/>
    <w:rsid w:val="002F067F"/>
    <w:rsid w:val="002F0820"/>
    <w:rsid w:val="002F0D2F"/>
    <w:rsid w:val="002F0F6D"/>
    <w:rsid w:val="002F12E6"/>
    <w:rsid w:val="002F186C"/>
    <w:rsid w:val="002F2217"/>
    <w:rsid w:val="002F25D8"/>
    <w:rsid w:val="002F2B66"/>
    <w:rsid w:val="002F2F3F"/>
    <w:rsid w:val="002F327E"/>
    <w:rsid w:val="002F32C6"/>
    <w:rsid w:val="002F33C9"/>
    <w:rsid w:val="002F342F"/>
    <w:rsid w:val="002F3B4F"/>
    <w:rsid w:val="002F4346"/>
    <w:rsid w:val="002F443F"/>
    <w:rsid w:val="002F489F"/>
    <w:rsid w:val="002F50ED"/>
    <w:rsid w:val="002F5244"/>
    <w:rsid w:val="002F5455"/>
    <w:rsid w:val="002F5989"/>
    <w:rsid w:val="002F5D0C"/>
    <w:rsid w:val="002F602B"/>
    <w:rsid w:val="002F634D"/>
    <w:rsid w:val="002F6435"/>
    <w:rsid w:val="002F67CE"/>
    <w:rsid w:val="002F67F7"/>
    <w:rsid w:val="002F6AF0"/>
    <w:rsid w:val="002F763A"/>
    <w:rsid w:val="002F79B5"/>
    <w:rsid w:val="002F7B90"/>
    <w:rsid w:val="003008B8"/>
    <w:rsid w:val="0030117F"/>
    <w:rsid w:val="003016E5"/>
    <w:rsid w:val="00301A54"/>
    <w:rsid w:val="00301CB4"/>
    <w:rsid w:val="0030271A"/>
    <w:rsid w:val="00302D11"/>
    <w:rsid w:val="00302F41"/>
    <w:rsid w:val="00303AA1"/>
    <w:rsid w:val="00304A1B"/>
    <w:rsid w:val="00304A87"/>
    <w:rsid w:val="00305286"/>
    <w:rsid w:val="00305C3B"/>
    <w:rsid w:val="00306475"/>
    <w:rsid w:val="00306B7C"/>
    <w:rsid w:val="00306F77"/>
    <w:rsid w:val="0030704E"/>
    <w:rsid w:val="0030781A"/>
    <w:rsid w:val="003102E3"/>
    <w:rsid w:val="00310AA0"/>
    <w:rsid w:val="00310F6B"/>
    <w:rsid w:val="003113C3"/>
    <w:rsid w:val="00311681"/>
    <w:rsid w:val="00311849"/>
    <w:rsid w:val="00312805"/>
    <w:rsid w:val="00312A81"/>
    <w:rsid w:val="00312EF2"/>
    <w:rsid w:val="003130D4"/>
    <w:rsid w:val="00313299"/>
    <w:rsid w:val="00313579"/>
    <w:rsid w:val="00314396"/>
    <w:rsid w:val="003145D6"/>
    <w:rsid w:val="00314C18"/>
    <w:rsid w:val="0031515D"/>
    <w:rsid w:val="00315217"/>
    <w:rsid w:val="0031539B"/>
    <w:rsid w:val="003159F2"/>
    <w:rsid w:val="003159F3"/>
    <w:rsid w:val="00315FBC"/>
    <w:rsid w:val="00316302"/>
    <w:rsid w:val="00316D6E"/>
    <w:rsid w:val="00316F2C"/>
    <w:rsid w:val="00316FA0"/>
    <w:rsid w:val="003176F1"/>
    <w:rsid w:val="003207C3"/>
    <w:rsid w:val="0032106E"/>
    <w:rsid w:val="0032147C"/>
    <w:rsid w:val="0032171E"/>
    <w:rsid w:val="00322959"/>
    <w:rsid w:val="00322AFA"/>
    <w:rsid w:val="00322D2F"/>
    <w:rsid w:val="00322DDB"/>
    <w:rsid w:val="00322DEB"/>
    <w:rsid w:val="0032328D"/>
    <w:rsid w:val="0032436D"/>
    <w:rsid w:val="0032460A"/>
    <w:rsid w:val="0032497A"/>
    <w:rsid w:val="00324AF5"/>
    <w:rsid w:val="00324FFA"/>
    <w:rsid w:val="00325281"/>
    <w:rsid w:val="00325726"/>
    <w:rsid w:val="00326B1A"/>
    <w:rsid w:val="003278F0"/>
    <w:rsid w:val="003302E8"/>
    <w:rsid w:val="00330472"/>
    <w:rsid w:val="0033061B"/>
    <w:rsid w:val="00330A9F"/>
    <w:rsid w:val="003311D0"/>
    <w:rsid w:val="00331862"/>
    <w:rsid w:val="00331A41"/>
    <w:rsid w:val="00331D0F"/>
    <w:rsid w:val="00332297"/>
    <w:rsid w:val="00332382"/>
    <w:rsid w:val="00333248"/>
    <w:rsid w:val="003333A7"/>
    <w:rsid w:val="00333C54"/>
    <w:rsid w:val="00333DC7"/>
    <w:rsid w:val="003344AF"/>
    <w:rsid w:val="00335CE8"/>
    <w:rsid w:val="00335DB8"/>
    <w:rsid w:val="0033633F"/>
    <w:rsid w:val="003363A9"/>
    <w:rsid w:val="00336A63"/>
    <w:rsid w:val="00336A90"/>
    <w:rsid w:val="00336B01"/>
    <w:rsid w:val="00336F58"/>
    <w:rsid w:val="0033765D"/>
    <w:rsid w:val="00337EE6"/>
    <w:rsid w:val="0034065A"/>
    <w:rsid w:val="00340E92"/>
    <w:rsid w:val="00340EE8"/>
    <w:rsid w:val="00341A05"/>
    <w:rsid w:val="00341A7C"/>
    <w:rsid w:val="00342362"/>
    <w:rsid w:val="003425A3"/>
    <w:rsid w:val="003439C2"/>
    <w:rsid w:val="00343CE8"/>
    <w:rsid w:val="0034428C"/>
    <w:rsid w:val="00345B3A"/>
    <w:rsid w:val="0034676E"/>
    <w:rsid w:val="00346B3D"/>
    <w:rsid w:val="00347842"/>
    <w:rsid w:val="00347B26"/>
    <w:rsid w:val="0035017B"/>
    <w:rsid w:val="00350282"/>
    <w:rsid w:val="003509C6"/>
    <w:rsid w:val="00350AEB"/>
    <w:rsid w:val="00350F61"/>
    <w:rsid w:val="00351145"/>
    <w:rsid w:val="00351EC0"/>
    <w:rsid w:val="00352036"/>
    <w:rsid w:val="003532E9"/>
    <w:rsid w:val="00353D8B"/>
    <w:rsid w:val="00354678"/>
    <w:rsid w:val="003546DE"/>
    <w:rsid w:val="003549FD"/>
    <w:rsid w:val="00354C0D"/>
    <w:rsid w:val="003550CD"/>
    <w:rsid w:val="0035568A"/>
    <w:rsid w:val="00355775"/>
    <w:rsid w:val="00355BB5"/>
    <w:rsid w:val="00355DDA"/>
    <w:rsid w:val="003565ED"/>
    <w:rsid w:val="00356A08"/>
    <w:rsid w:val="00356F4D"/>
    <w:rsid w:val="003579B4"/>
    <w:rsid w:val="00357FBC"/>
    <w:rsid w:val="00360079"/>
    <w:rsid w:val="00360115"/>
    <w:rsid w:val="003613D6"/>
    <w:rsid w:val="0036182D"/>
    <w:rsid w:val="00361928"/>
    <w:rsid w:val="00362858"/>
    <w:rsid w:val="00362C47"/>
    <w:rsid w:val="003630DA"/>
    <w:rsid w:val="00363638"/>
    <w:rsid w:val="00363F27"/>
    <w:rsid w:val="00364263"/>
    <w:rsid w:val="003642C7"/>
    <w:rsid w:val="00364D39"/>
    <w:rsid w:val="00364EDB"/>
    <w:rsid w:val="00365841"/>
    <w:rsid w:val="0036597B"/>
    <w:rsid w:val="00365BEA"/>
    <w:rsid w:val="00366358"/>
    <w:rsid w:val="00366509"/>
    <w:rsid w:val="00366BE5"/>
    <w:rsid w:val="00366E74"/>
    <w:rsid w:val="00367645"/>
    <w:rsid w:val="00367755"/>
    <w:rsid w:val="00367756"/>
    <w:rsid w:val="003677C4"/>
    <w:rsid w:val="003701FC"/>
    <w:rsid w:val="0037026F"/>
    <w:rsid w:val="00370B72"/>
    <w:rsid w:val="00371667"/>
    <w:rsid w:val="00371F2A"/>
    <w:rsid w:val="00372187"/>
    <w:rsid w:val="00372516"/>
    <w:rsid w:val="00374759"/>
    <w:rsid w:val="00374A40"/>
    <w:rsid w:val="00374B21"/>
    <w:rsid w:val="00374B40"/>
    <w:rsid w:val="003752E6"/>
    <w:rsid w:val="00375567"/>
    <w:rsid w:val="003759E9"/>
    <w:rsid w:val="00376061"/>
    <w:rsid w:val="00376B3F"/>
    <w:rsid w:val="00376FBB"/>
    <w:rsid w:val="003773B4"/>
    <w:rsid w:val="0037787D"/>
    <w:rsid w:val="0037795B"/>
    <w:rsid w:val="00380302"/>
    <w:rsid w:val="00380486"/>
    <w:rsid w:val="003807C7"/>
    <w:rsid w:val="00380CCB"/>
    <w:rsid w:val="00380EBE"/>
    <w:rsid w:val="00380EE5"/>
    <w:rsid w:val="003819EE"/>
    <w:rsid w:val="003828ED"/>
    <w:rsid w:val="00382FAA"/>
    <w:rsid w:val="0038340C"/>
    <w:rsid w:val="00383874"/>
    <w:rsid w:val="00383F9A"/>
    <w:rsid w:val="0038402B"/>
    <w:rsid w:val="00384202"/>
    <w:rsid w:val="00384221"/>
    <w:rsid w:val="00385387"/>
    <w:rsid w:val="003857D3"/>
    <w:rsid w:val="00385972"/>
    <w:rsid w:val="003865BD"/>
    <w:rsid w:val="003872D0"/>
    <w:rsid w:val="003879A0"/>
    <w:rsid w:val="00387C63"/>
    <w:rsid w:val="00387DE1"/>
    <w:rsid w:val="00387FAB"/>
    <w:rsid w:val="00390473"/>
    <w:rsid w:val="0039050F"/>
    <w:rsid w:val="00391468"/>
    <w:rsid w:val="003914FD"/>
    <w:rsid w:val="00391D5A"/>
    <w:rsid w:val="003925E3"/>
    <w:rsid w:val="00392694"/>
    <w:rsid w:val="003938C3"/>
    <w:rsid w:val="00393C10"/>
    <w:rsid w:val="00393E2A"/>
    <w:rsid w:val="00394B40"/>
    <w:rsid w:val="00394C1D"/>
    <w:rsid w:val="00394FD4"/>
    <w:rsid w:val="0039564E"/>
    <w:rsid w:val="003958CB"/>
    <w:rsid w:val="00395C3B"/>
    <w:rsid w:val="003967E7"/>
    <w:rsid w:val="00396A99"/>
    <w:rsid w:val="00397852"/>
    <w:rsid w:val="003A00B4"/>
    <w:rsid w:val="003A054C"/>
    <w:rsid w:val="003A087E"/>
    <w:rsid w:val="003A0A79"/>
    <w:rsid w:val="003A0E88"/>
    <w:rsid w:val="003A106E"/>
    <w:rsid w:val="003A107D"/>
    <w:rsid w:val="003A1080"/>
    <w:rsid w:val="003A1A63"/>
    <w:rsid w:val="003A2548"/>
    <w:rsid w:val="003A2C7C"/>
    <w:rsid w:val="003A2CFD"/>
    <w:rsid w:val="003A3F53"/>
    <w:rsid w:val="003A4983"/>
    <w:rsid w:val="003A4DF7"/>
    <w:rsid w:val="003A4EBC"/>
    <w:rsid w:val="003A5988"/>
    <w:rsid w:val="003A5EA6"/>
    <w:rsid w:val="003A6A37"/>
    <w:rsid w:val="003A72A8"/>
    <w:rsid w:val="003B10D4"/>
    <w:rsid w:val="003B14B7"/>
    <w:rsid w:val="003B2727"/>
    <w:rsid w:val="003B31BA"/>
    <w:rsid w:val="003B34CA"/>
    <w:rsid w:val="003B3BD8"/>
    <w:rsid w:val="003B4F01"/>
    <w:rsid w:val="003B552F"/>
    <w:rsid w:val="003B5BCD"/>
    <w:rsid w:val="003B64BE"/>
    <w:rsid w:val="003B6EF9"/>
    <w:rsid w:val="003B71A6"/>
    <w:rsid w:val="003B728D"/>
    <w:rsid w:val="003B771E"/>
    <w:rsid w:val="003B7BBD"/>
    <w:rsid w:val="003C0B77"/>
    <w:rsid w:val="003C0D39"/>
    <w:rsid w:val="003C0DB7"/>
    <w:rsid w:val="003C0EEF"/>
    <w:rsid w:val="003C15A7"/>
    <w:rsid w:val="003C1A94"/>
    <w:rsid w:val="003C1C4F"/>
    <w:rsid w:val="003C1E25"/>
    <w:rsid w:val="003C212D"/>
    <w:rsid w:val="003C25DE"/>
    <w:rsid w:val="003C2D9B"/>
    <w:rsid w:val="003C4AAA"/>
    <w:rsid w:val="003C4CF4"/>
    <w:rsid w:val="003C543B"/>
    <w:rsid w:val="003C580F"/>
    <w:rsid w:val="003C5883"/>
    <w:rsid w:val="003C58CE"/>
    <w:rsid w:val="003C63C4"/>
    <w:rsid w:val="003C6527"/>
    <w:rsid w:val="003C6AB5"/>
    <w:rsid w:val="003C705F"/>
    <w:rsid w:val="003D04C7"/>
    <w:rsid w:val="003D05CD"/>
    <w:rsid w:val="003D0E53"/>
    <w:rsid w:val="003D1854"/>
    <w:rsid w:val="003D1BBF"/>
    <w:rsid w:val="003D1F16"/>
    <w:rsid w:val="003D2E04"/>
    <w:rsid w:val="003D310A"/>
    <w:rsid w:val="003D39D7"/>
    <w:rsid w:val="003D3D73"/>
    <w:rsid w:val="003D402B"/>
    <w:rsid w:val="003D53DE"/>
    <w:rsid w:val="003D58CD"/>
    <w:rsid w:val="003D5997"/>
    <w:rsid w:val="003D6344"/>
    <w:rsid w:val="003D67E8"/>
    <w:rsid w:val="003D6B85"/>
    <w:rsid w:val="003D7150"/>
    <w:rsid w:val="003D764F"/>
    <w:rsid w:val="003E00D3"/>
    <w:rsid w:val="003E086D"/>
    <w:rsid w:val="003E1515"/>
    <w:rsid w:val="003E1684"/>
    <w:rsid w:val="003E1C43"/>
    <w:rsid w:val="003E1CB3"/>
    <w:rsid w:val="003E24F7"/>
    <w:rsid w:val="003E3A0E"/>
    <w:rsid w:val="003E43E5"/>
    <w:rsid w:val="003E4CE8"/>
    <w:rsid w:val="003E5A82"/>
    <w:rsid w:val="003E5D48"/>
    <w:rsid w:val="003E5D5F"/>
    <w:rsid w:val="003E5E6C"/>
    <w:rsid w:val="003E6461"/>
    <w:rsid w:val="003E65A2"/>
    <w:rsid w:val="003E6694"/>
    <w:rsid w:val="003E67A7"/>
    <w:rsid w:val="003E7127"/>
    <w:rsid w:val="003E778D"/>
    <w:rsid w:val="003E7EEB"/>
    <w:rsid w:val="003F0810"/>
    <w:rsid w:val="003F0E6D"/>
    <w:rsid w:val="003F0F72"/>
    <w:rsid w:val="003F1DF6"/>
    <w:rsid w:val="003F270A"/>
    <w:rsid w:val="003F2D01"/>
    <w:rsid w:val="003F2FEE"/>
    <w:rsid w:val="003F31D7"/>
    <w:rsid w:val="003F370E"/>
    <w:rsid w:val="003F3C84"/>
    <w:rsid w:val="003F4164"/>
    <w:rsid w:val="003F4204"/>
    <w:rsid w:val="003F423D"/>
    <w:rsid w:val="003F471A"/>
    <w:rsid w:val="003F48A9"/>
    <w:rsid w:val="003F4B6D"/>
    <w:rsid w:val="003F4E6B"/>
    <w:rsid w:val="003F4EFC"/>
    <w:rsid w:val="003F4F0A"/>
    <w:rsid w:val="003F6CD3"/>
    <w:rsid w:val="003F6E55"/>
    <w:rsid w:val="003F7427"/>
    <w:rsid w:val="003F7D11"/>
    <w:rsid w:val="00400104"/>
    <w:rsid w:val="0040056F"/>
    <w:rsid w:val="004009E0"/>
    <w:rsid w:val="00400D64"/>
    <w:rsid w:val="00400EF0"/>
    <w:rsid w:val="004013B7"/>
    <w:rsid w:val="004014B5"/>
    <w:rsid w:val="0040185F"/>
    <w:rsid w:val="0040195E"/>
    <w:rsid w:val="004022D5"/>
    <w:rsid w:val="00402392"/>
    <w:rsid w:val="0040281C"/>
    <w:rsid w:val="00402A81"/>
    <w:rsid w:val="00402A96"/>
    <w:rsid w:val="00402C39"/>
    <w:rsid w:val="0040370E"/>
    <w:rsid w:val="00403836"/>
    <w:rsid w:val="00403A6B"/>
    <w:rsid w:val="00403C0B"/>
    <w:rsid w:val="00403CDF"/>
    <w:rsid w:val="00404B1F"/>
    <w:rsid w:val="00404FBF"/>
    <w:rsid w:val="0040535F"/>
    <w:rsid w:val="00405DB7"/>
    <w:rsid w:val="00406703"/>
    <w:rsid w:val="00406753"/>
    <w:rsid w:val="0040784F"/>
    <w:rsid w:val="00410135"/>
    <w:rsid w:val="0041097C"/>
    <w:rsid w:val="00410B4F"/>
    <w:rsid w:val="004114BA"/>
    <w:rsid w:val="00411CFF"/>
    <w:rsid w:val="0041259A"/>
    <w:rsid w:val="00412798"/>
    <w:rsid w:val="00412C04"/>
    <w:rsid w:val="00413BD1"/>
    <w:rsid w:val="00414460"/>
    <w:rsid w:val="00414F60"/>
    <w:rsid w:val="00414FA9"/>
    <w:rsid w:val="004152C3"/>
    <w:rsid w:val="00415A83"/>
    <w:rsid w:val="00415F4B"/>
    <w:rsid w:val="00416B51"/>
    <w:rsid w:val="00416E15"/>
    <w:rsid w:val="00417706"/>
    <w:rsid w:val="00417BE7"/>
    <w:rsid w:val="00420D77"/>
    <w:rsid w:val="00422023"/>
    <w:rsid w:val="00422828"/>
    <w:rsid w:val="00423779"/>
    <w:rsid w:val="00424497"/>
    <w:rsid w:val="00424A8E"/>
    <w:rsid w:val="00424F0A"/>
    <w:rsid w:val="004252C5"/>
    <w:rsid w:val="00425B6B"/>
    <w:rsid w:val="00425F6B"/>
    <w:rsid w:val="00426142"/>
    <w:rsid w:val="00427724"/>
    <w:rsid w:val="00430429"/>
    <w:rsid w:val="004308E7"/>
    <w:rsid w:val="00430A56"/>
    <w:rsid w:val="00430B13"/>
    <w:rsid w:val="004315BF"/>
    <w:rsid w:val="0043181A"/>
    <w:rsid w:val="004322E3"/>
    <w:rsid w:val="00433223"/>
    <w:rsid w:val="00433DD7"/>
    <w:rsid w:val="0043479A"/>
    <w:rsid w:val="004361C1"/>
    <w:rsid w:val="004373D0"/>
    <w:rsid w:val="0043752A"/>
    <w:rsid w:val="004376AE"/>
    <w:rsid w:val="00437932"/>
    <w:rsid w:val="004403F3"/>
    <w:rsid w:val="0044109B"/>
    <w:rsid w:val="00441291"/>
    <w:rsid w:val="00442213"/>
    <w:rsid w:val="0044256E"/>
    <w:rsid w:val="004427FC"/>
    <w:rsid w:val="00442A8F"/>
    <w:rsid w:val="00442BDD"/>
    <w:rsid w:val="004431B9"/>
    <w:rsid w:val="0044323B"/>
    <w:rsid w:val="00443CB5"/>
    <w:rsid w:val="00443CEA"/>
    <w:rsid w:val="0044475A"/>
    <w:rsid w:val="00444848"/>
    <w:rsid w:val="00444944"/>
    <w:rsid w:val="00444EA8"/>
    <w:rsid w:val="004464FD"/>
    <w:rsid w:val="00446848"/>
    <w:rsid w:val="00446D92"/>
    <w:rsid w:val="00446FFD"/>
    <w:rsid w:val="00447309"/>
    <w:rsid w:val="00447462"/>
    <w:rsid w:val="00447F0B"/>
    <w:rsid w:val="00447FD5"/>
    <w:rsid w:val="00450791"/>
    <w:rsid w:val="004515EB"/>
    <w:rsid w:val="00451D5F"/>
    <w:rsid w:val="00452107"/>
    <w:rsid w:val="004529A8"/>
    <w:rsid w:val="00452A64"/>
    <w:rsid w:val="0045327D"/>
    <w:rsid w:val="004535CA"/>
    <w:rsid w:val="00454ABF"/>
    <w:rsid w:val="004559A9"/>
    <w:rsid w:val="00455E69"/>
    <w:rsid w:val="00455F0E"/>
    <w:rsid w:val="00456269"/>
    <w:rsid w:val="00456511"/>
    <w:rsid w:val="00456C9C"/>
    <w:rsid w:val="00457211"/>
    <w:rsid w:val="00457261"/>
    <w:rsid w:val="004576C2"/>
    <w:rsid w:val="00457C1D"/>
    <w:rsid w:val="00460F3C"/>
    <w:rsid w:val="0046144C"/>
    <w:rsid w:val="0046173A"/>
    <w:rsid w:val="00461AD3"/>
    <w:rsid w:val="0046290E"/>
    <w:rsid w:val="00462F79"/>
    <w:rsid w:val="00463154"/>
    <w:rsid w:val="0046334F"/>
    <w:rsid w:val="0046374F"/>
    <w:rsid w:val="00463FB2"/>
    <w:rsid w:val="00464CED"/>
    <w:rsid w:val="004650E1"/>
    <w:rsid w:val="004658F3"/>
    <w:rsid w:val="00465CD0"/>
    <w:rsid w:val="00465DB4"/>
    <w:rsid w:val="00466366"/>
    <w:rsid w:val="00466980"/>
    <w:rsid w:val="00467033"/>
    <w:rsid w:val="0046753D"/>
    <w:rsid w:val="004678F5"/>
    <w:rsid w:val="00467BA4"/>
    <w:rsid w:val="00467F5D"/>
    <w:rsid w:val="00470665"/>
    <w:rsid w:val="00470F40"/>
    <w:rsid w:val="00470F99"/>
    <w:rsid w:val="00471021"/>
    <w:rsid w:val="00471701"/>
    <w:rsid w:val="00471DE4"/>
    <w:rsid w:val="00471E18"/>
    <w:rsid w:val="004723D0"/>
    <w:rsid w:val="00472CB9"/>
    <w:rsid w:val="0047399A"/>
    <w:rsid w:val="00474559"/>
    <w:rsid w:val="0047550A"/>
    <w:rsid w:val="00475732"/>
    <w:rsid w:val="0047599A"/>
    <w:rsid w:val="00475A1A"/>
    <w:rsid w:val="0047685B"/>
    <w:rsid w:val="00476D36"/>
    <w:rsid w:val="00476F2C"/>
    <w:rsid w:val="00477006"/>
    <w:rsid w:val="004770F4"/>
    <w:rsid w:val="00477232"/>
    <w:rsid w:val="00477444"/>
    <w:rsid w:val="004777DE"/>
    <w:rsid w:val="00477A60"/>
    <w:rsid w:val="00477B29"/>
    <w:rsid w:val="004800B4"/>
    <w:rsid w:val="00480683"/>
    <w:rsid w:val="004809AD"/>
    <w:rsid w:val="00480C7D"/>
    <w:rsid w:val="00481104"/>
    <w:rsid w:val="004817A2"/>
    <w:rsid w:val="004817D4"/>
    <w:rsid w:val="00481A9F"/>
    <w:rsid w:val="00482179"/>
    <w:rsid w:val="00482A67"/>
    <w:rsid w:val="00482FAE"/>
    <w:rsid w:val="004831A2"/>
    <w:rsid w:val="00483BC3"/>
    <w:rsid w:val="00483C83"/>
    <w:rsid w:val="004847A1"/>
    <w:rsid w:val="004848D9"/>
    <w:rsid w:val="00484BD0"/>
    <w:rsid w:val="00484C48"/>
    <w:rsid w:val="00484F54"/>
    <w:rsid w:val="00484FDA"/>
    <w:rsid w:val="00485A0F"/>
    <w:rsid w:val="00485B48"/>
    <w:rsid w:val="00485E6D"/>
    <w:rsid w:val="00486A42"/>
    <w:rsid w:val="00486A6D"/>
    <w:rsid w:val="004873DC"/>
    <w:rsid w:val="0048785D"/>
    <w:rsid w:val="00490B30"/>
    <w:rsid w:val="00490DD6"/>
    <w:rsid w:val="00491146"/>
    <w:rsid w:val="004914B1"/>
    <w:rsid w:val="004921DB"/>
    <w:rsid w:val="004921E3"/>
    <w:rsid w:val="00492946"/>
    <w:rsid w:val="004932C6"/>
    <w:rsid w:val="004937C1"/>
    <w:rsid w:val="00493C39"/>
    <w:rsid w:val="00493EA9"/>
    <w:rsid w:val="0049415A"/>
    <w:rsid w:val="0049492E"/>
    <w:rsid w:val="0049496E"/>
    <w:rsid w:val="0049551D"/>
    <w:rsid w:val="004956CA"/>
    <w:rsid w:val="00495BBF"/>
    <w:rsid w:val="00496F4E"/>
    <w:rsid w:val="0049735A"/>
    <w:rsid w:val="00497749"/>
    <w:rsid w:val="004979AC"/>
    <w:rsid w:val="00497A9B"/>
    <w:rsid w:val="00497BF9"/>
    <w:rsid w:val="00497C5D"/>
    <w:rsid w:val="004A00EB"/>
    <w:rsid w:val="004A00F4"/>
    <w:rsid w:val="004A0460"/>
    <w:rsid w:val="004A0759"/>
    <w:rsid w:val="004A10FD"/>
    <w:rsid w:val="004A1AEB"/>
    <w:rsid w:val="004A1ECF"/>
    <w:rsid w:val="004A2693"/>
    <w:rsid w:val="004A2B01"/>
    <w:rsid w:val="004A3049"/>
    <w:rsid w:val="004A32A9"/>
    <w:rsid w:val="004A3340"/>
    <w:rsid w:val="004A39A5"/>
    <w:rsid w:val="004A472C"/>
    <w:rsid w:val="004A5360"/>
    <w:rsid w:val="004A59C3"/>
    <w:rsid w:val="004A5C28"/>
    <w:rsid w:val="004A6AC1"/>
    <w:rsid w:val="004A6BB0"/>
    <w:rsid w:val="004B0402"/>
    <w:rsid w:val="004B08C7"/>
    <w:rsid w:val="004B22FA"/>
    <w:rsid w:val="004B2DB1"/>
    <w:rsid w:val="004B2ECA"/>
    <w:rsid w:val="004B3293"/>
    <w:rsid w:val="004B38C3"/>
    <w:rsid w:val="004B3C37"/>
    <w:rsid w:val="004B3D95"/>
    <w:rsid w:val="004B3ECF"/>
    <w:rsid w:val="004B3FCA"/>
    <w:rsid w:val="004B4FCF"/>
    <w:rsid w:val="004B5227"/>
    <w:rsid w:val="004B5C88"/>
    <w:rsid w:val="004B5FBB"/>
    <w:rsid w:val="004B60C8"/>
    <w:rsid w:val="004B7077"/>
    <w:rsid w:val="004B730E"/>
    <w:rsid w:val="004B7474"/>
    <w:rsid w:val="004B7C4B"/>
    <w:rsid w:val="004C05EF"/>
    <w:rsid w:val="004C08C1"/>
    <w:rsid w:val="004C0C85"/>
    <w:rsid w:val="004C34B5"/>
    <w:rsid w:val="004C3615"/>
    <w:rsid w:val="004C3D6F"/>
    <w:rsid w:val="004C3E91"/>
    <w:rsid w:val="004C41CE"/>
    <w:rsid w:val="004C49B7"/>
    <w:rsid w:val="004C532C"/>
    <w:rsid w:val="004C55E7"/>
    <w:rsid w:val="004C5A24"/>
    <w:rsid w:val="004C6FCD"/>
    <w:rsid w:val="004C728F"/>
    <w:rsid w:val="004C762B"/>
    <w:rsid w:val="004C7B75"/>
    <w:rsid w:val="004D0084"/>
    <w:rsid w:val="004D0220"/>
    <w:rsid w:val="004D029F"/>
    <w:rsid w:val="004D0499"/>
    <w:rsid w:val="004D0F65"/>
    <w:rsid w:val="004D1369"/>
    <w:rsid w:val="004D136A"/>
    <w:rsid w:val="004D20FE"/>
    <w:rsid w:val="004D292F"/>
    <w:rsid w:val="004D2E67"/>
    <w:rsid w:val="004D2EE1"/>
    <w:rsid w:val="004D2F41"/>
    <w:rsid w:val="004D3573"/>
    <w:rsid w:val="004D4872"/>
    <w:rsid w:val="004D4E67"/>
    <w:rsid w:val="004D5693"/>
    <w:rsid w:val="004D6255"/>
    <w:rsid w:val="004D632C"/>
    <w:rsid w:val="004D6B28"/>
    <w:rsid w:val="004D6F85"/>
    <w:rsid w:val="004D724F"/>
    <w:rsid w:val="004D7302"/>
    <w:rsid w:val="004D7C6B"/>
    <w:rsid w:val="004E0222"/>
    <w:rsid w:val="004E0A3C"/>
    <w:rsid w:val="004E0C81"/>
    <w:rsid w:val="004E1223"/>
    <w:rsid w:val="004E1606"/>
    <w:rsid w:val="004E16C8"/>
    <w:rsid w:val="004E1B0C"/>
    <w:rsid w:val="004E2163"/>
    <w:rsid w:val="004E2318"/>
    <w:rsid w:val="004E248A"/>
    <w:rsid w:val="004E2509"/>
    <w:rsid w:val="004E2A97"/>
    <w:rsid w:val="004E2E8F"/>
    <w:rsid w:val="004E32E9"/>
    <w:rsid w:val="004E44BF"/>
    <w:rsid w:val="004E4E73"/>
    <w:rsid w:val="004E4FE4"/>
    <w:rsid w:val="004E5089"/>
    <w:rsid w:val="004E5498"/>
    <w:rsid w:val="004E5E15"/>
    <w:rsid w:val="004E6883"/>
    <w:rsid w:val="004E6BEF"/>
    <w:rsid w:val="004E7A4B"/>
    <w:rsid w:val="004F0C57"/>
    <w:rsid w:val="004F127D"/>
    <w:rsid w:val="004F18F4"/>
    <w:rsid w:val="004F19C8"/>
    <w:rsid w:val="004F1F45"/>
    <w:rsid w:val="004F2253"/>
    <w:rsid w:val="004F26DB"/>
    <w:rsid w:val="004F39D3"/>
    <w:rsid w:val="004F4163"/>
    <w:rsid w:val="004F4B87"/>
    <w:rsid w:val="004F4C83"/>
    <w:rsid w:val="004F583B"/>
    <w:rsid w:val="004F5A13"/>
    <w:rsid w:val="004F5D7C"/>
    <w:rsid w:val="004F6101"/>
    <w:rsid w:val="004F6B43"/>
    <w:rsid w:val="004F7571"/>
    <w:rsid w:val="004F7CA1"/>
    <w:rsid w:val="005001A7"/>
    <w:rsid w:val="005002B1"/>
    <w:rsid w:val="00500666"/>
    <w:rsid w:val="005012ED"/>
    <w:rsid w:val="005021E9"/>
    <w:rsid w:val="00503757"/>
    <w:rsid w:val="00503F1D"/>
    <w:rsid w:val="00504916"/>
    <w:rsid w:val="00506241"/>
    <w:rsid w:val="0050707D"/>
    <w:rsid w:val="005075B9"/>
    <w:rsid w:val="005105E1"/>
    <w:rsid w:val="00510F75"/>
    <w:rsid w:val="00510FB3"/>
    <w:rsid w:val="0051133F"/>
    <w:rsid w:val="005117D8"/>
    <w:rsid w:val="00511991"/>
    <w:rsid w:val="00512D25"/>
    <w:rsid w:val="00512EA5"/>
    <w:rsid w:val="00512ECD"/>
    <w:rsid w:val="00513058"/>
    <w:rsid w:val="0051344F"/>
    <w:rsid w:val="0051374D"/>
    <w:rsid w:val="00513F41"/>
    <w:rsid w:val="00514299"/>
    <w:rsid w:val="0051471F"/>
    <w:rsid w:val="005150C3"/>
    <w:rsid w:val="0051510E"/>
    <w:rsid w:val="00515988"/>
    <w:rsid w:val="00515B3D"/>
    <w:rsid w:val="00516540"/>
    <w:rsid w:val="00516D1A"/>
    <w:rsid w:val="0051771B"/>
    <w:rsid w:val="00517963"/>
    <w:rsid w:val="00517FF2"/>
    <w:rsid w:val="00520863"/>
    <w:rsid w:val="005210FC"/>
    <w:rsid w:val="0052112C"/>
    <w:rsid w:val="0052164F"/>
    <w:rsid w:val="00521CA9"/>
    <w:rsid w:val="0052203F"/>
    <w:rsid w:val="00522F4B"/>
    <w:rsid w:val="005230D9"/>
    <w:rsid w:val="005231D6"/>
    <w:rsid w:val="0052332F"/>
    <w:rsid w:val="005256B6"/>
    <w:rsid w:val="00525CFC"/>
    <w:rsid w:val="0052617D"/>
    <w:rsid w:val="00526672"/>
    <w:rsid w:val="00526D7E"/>
    <w:rsid w:val="0052718B"/>
    <w:rsid w:val="0052768B"/>
    <w:rsid w:val="00527CFA"/>
    <w:rsid w:val="00527D00"/>
    <w:rsid w:val="00527F53"/>
    <w:rsid w:val="005300A1"/>
    <w:rsid w:val="00530686"/>
    <w:rsid w:val="00530B42"/>
    <w:rsid w:val="005315EA"/>
    <w:rsid w:val="0053187C"/>
    <w:rsid w:val="005318EF"/>
    <w:rsid w:val="00531CC4"/>
    <w:rsid w:val="00531F03"/>
    <w:rsid w:val="005323EE"/>
    <w:rsid w:val="0053280C"/>
    <w:rsid w:val="00532F92"/>
    <w:rsid w:val="0053343D"/>
    <w:rsid w:val="005339AE"/>
    <w:rsid w:val="00534462"/>
    <w:rsid w:val="00534A17"/>
    <w:rsid w:val="005356A9"/>
    <w:rsid w:val="0053599C"/>
    <w:rsid w:val="005360B6"/>
    <w:rsid w:val="00536364"/>
    <w:rsid w:val="005363DA"/>
    <w:rsid w:val="00536920"/>
    <w:rsid w:val="00537368"/>
    <w:rsid w:val="005376FB"/>
    <w:rsid w:val="00537D61"/>
    <w:rsid w:val="00537F94"/>
    <w:rsid w:val="00540332"/>
    <w:rsid w:val="005406CE"/>
    <w:rsid w:val="00540D49"/>
    <w:rsid w:val="00540EAC"/>
    <w:rsid w:val="005411A2"/>
    <w:rsid w:val="00541D01"/>
    <w:rsid w:val="00542BC6"/>
    <w:rsid w:val="00542EE2"/>
    <w:rsid w:val="0054475B"/>
    <w:rsid w:val="00545078"/>
    <w:rsid w:val="005450B7"/>
    <w:rsid w:val="00545BA9"/>
    <w:rsid w:val="005467A0"/>
    <w:rsid w:val="005469F1"/>
    <w:rsid w:val="00546C22"/>
    <w:rsid w:val="00546C90"/>
    <w:rsid w:val="00546D25"/>
    <w:rsid w:val="0054700D"/>
    <w:rsid w:val="0054748D"/>
    <w:rsid w:val="00547C35"/>
    <w:rsid w:val="00547F0E"/>
    <w:rsid w:val="00550173"/>
    <w:rsid w:val="0055086E"/>
    <w:rsid w:val="00550BC1"/>
    <w:rsid w:val="00550C57"/>
    <w:rsid w:val="00550CF5"/>
    <w:rsid w:val="00550EEE"/>
    <w:rsid w:val="005514FA"/>
    <w:rsid w:val="005518D0"/>
    <w:rsid w:val="00551AAB"/>
    <w:rsid w:val="00551CC5"/>
    <w:rsid w:val="00552438"/>
    <w:rsid w:val="00552DB5"/>
    <w:rsid w:val="005537F5"/>
    <w:rsid w:val="00554ADF"/>
    <w:rsid w:val="00555477"/>
    <w:rsid w:val="00555A4B"/>
    <w:rsid w:val="00555AF4"/>
    <w:rsid w:val="0055621D"/>
    <w:rsid w:val="0055735C"/>
    <w:rsid w:val="00557B13"/>
    <w:rsid w:val="00557D6F"/>
    <w:rsid w:val="00557E1D"/>
    <w:rsid w:val="005606F7"/>
    <w:rsid w:val="00560EA0"/>
    <w:rsid w:val="00561AD9"/>
    <w:rsid w:val="00562D52"/>
    <w:rsid w:val="0056376B"/>
    <w:rsid w:val="00563CDC"/>
    <w:rsid w:val="00563D7B"/>
    <w:rsid w:val="00563D8D"/>
    <w:rsid w:val="00563EE3"/>
    <w:rsid w:val="00564159"/>
    <w:rsid w:val="005647FD"/>
    <w:rsid w:val="005649F7"/>
    <w:rsid w:val="00564F6B"/>
    <w:rsid w:val="00565A09"/>
    <w:rsid w:val="00565BB1"/>
    <w:rsid w:val="00565CF1"/>
    <w:rsid w:val="00565E01"/>
    <w:rsid w:val="005676C6"/>
    <w:rsid w:val="00567C0A"/>
    <w:rsid w:val="00567C57"/>
    <w:rsid w:val="005702A9"/>
    <w:rsid w:val="00570371"/>
    <w:rsid w:val="0057045A"/>
    <w:rsid w:val="005705F9"/>
    <w:rsid w:val="005714C1"/>
    <w:rsid w:val="00571743"/>
    <w:rsid w:val="005720CE"/>
    <w:rsid w:val="00572836"/>
    <w:rsid w:val="00572A88"/>
    <w:rsid w:val="00574574"/>
    <w:rsid w:val="00574602"/>
    <w:rsid w:val="00574980"/>
    <w:rsid w:val="00574C05"/>
    <w:rsid w:val="00575054"/>
    <w:rsid w:val="005751A2"/>
    <w:rsid w:val="005753F7"/>
    <w:rsid w:val="00575713"/>
    <w:rsid w:val="005759EA"/>
    <w:rsid w:val="00576266"/>
    <w:rsid w:val="00576A19"/>
    <w:rsid w:val="00576BB9"/>
    <w:rsid w:val="00577B26"/>
    <w:rsid w:val="00580048"/>
    <w:rsid w:val="005809E0"/>
    <w:rsid w:val="00580C9D"/>
    <w:rsid w:val="00580D79"/>
    <w:rsid w:val="00580DE9"/>
    <w:rsid w:val="00581230"/>
    <w:rsid w:val="00581348"/>
    <w:rsid w:val="0058141B"/>
    <w:rsid w:val="005820E4"/>
    <w:rsid w:val="0058215B"/>
    <w:rsid w:val="005829CD"/>
    <w:rsid w:val="005843E2"/>
    <w:rsid w:val="00584D3B"/>
    <w:rsid w:val="00585748"/>
    <w:rsid w:val="00585969"/>
    <w:rsid w:val="00585A5A"/>
    <w:rsid w:val="00585AC6"/>
    <w:rsid w:val="00585E67"/>
    <w:rsid w:val="00585FD3"/>
    <w:rsid w:val="00586457"/>
    <w:rsid w:val="00586634"/>
    <w:rsid w:val="005866A1"/>
    <w:rsid w:val="00586D19"/>
    <w:rsid w:val="00586F66"/>
    <w:rsid w:val="00587C63"/>
    <w:rsid w:val="00587DD0"/>
    <w:rsid w:val="00587DDB"/>
    <w:rsid w:val="00590ACE"/>
    <w:rsid w:val="00590B5A"/>
    <w:rsid w:val="00590E6C"/>
    <w:rsid w:val="0059103E"/>
    <w:rsid w:val="005917B5"/>
    <w:rsid w:val="0059227C"/>
    <w:rsid w:val="0059237C"/>
    <w:rsid w:val="005925BA"/>
    <w:rsid w:val="00592602"/>
    <w:rsid w:val="005929CD"/>
    <w:rsid w:val="0059339B"/>
    <w:rsid w:val="00593EE9"/>
    <w:rsid w:val="0059400C"/>
    <w:rsid w:val="005947A7"/>
    <w:rsid w:val="00594836"/>
    <w:rsid w:val="00595710"/>
    <w:rsid w:val="00596A46"/>
    <w:rsid w:val="00596B15"/>
    <w:rsid w:val="00596C3C"/>
    <w:rsid w:val="00596CA5"/>
    <w:rsid w:val="00596FE8"/>
    <w:rsid w:val="005A0589"/>
    <w:rsid w:val="005A1486"/>
    <w:rsid w:val="005A177A"/>
    <w:rsid w:val="005A1F06"/>
    <w:rsid w:val="005A33E1"/>
    <w:rsid w:val="005A4566"/>
    <w:rsid w:val="005A4DB0"/>
    <w:rsid w:val="005A5CD8"/>
    <w:rsid w:val="005A6E21"/>
    <w:rsid w:val="005A6FCE"/>
    <w:rsid w:val="005A7241"/>
    <w:rsid w:val="005B04D5"/>
    <w:rsid w:val="005B101E"/>
    <w:rsid w:val="005B1349"/>
    <w:rsid w:val="005B1C5E"/>
    <w:rsid w:val="005B2A7C"/>
    <w:rsid w:val="005B2DCB"/>
    <w:rsid w:val="005B333E"/>
    <w:rsid w:val="005B4F30"/>
    <w:rsid w:val="005B5167"/>
    <w:rsid w:val="005B5B99"/>
    <w:rsid w:val="005B6618"/>
    <w:rsid w:val="005B6942"/>
    <w:rsid w:val="005B6A06"/>
    <w:rsid w:val="005B6A57"/>
    <w:rsid w:val="005B6B69"/>
    <w:rsid w:val="005B7003"/>
    <w:rsid w:val="005B71F5"/>
    <w:rsid w:val="005B75F7"/>
    <w:rsid w:val="005B7B33"/>
    <w:rsid w:val="005C054E"/>
    <w:rsid w:val="005C0AD9"/>
    <w:rsid w:val="005C16FB"/>
    <w:rsid w:val="005C27CF"/>
    <w:rsid w:val="005C344E"/>
    <w:rsid w:val="005C34F8"/>
    <w:rsid w:val="005C3F8D"/>
    <w:rsid w:val="005C400B"/>
    <w:rsid w:val="005C40E9"/>
    <w:rsid w:val="005C4393"/>
    <w:rsid w:val="005C43AB"/>
    <w:rsid w:val="005C5163"/>
    <w:rsid w:val="005C5508"/>
    <w:rsid w:val="005C582B"/>
    <w:rsid w:val="005C6DE4"/>
    <w:rsid w:val="005C7C6B"/>
    <w:rsid w:val="005D03BA"/>
    <w:rsid w:val="005D0454"/>
    <w:rsid w:val="005D0620"/>
    <w:rsid w:val="005D06A5"/>
    <w:rsid w:val="005D0886"/>
    <w:rsid w:val="005D14CB"/>
    <w:rsid w:val="005D19F0"/>
    <w:rsid w:val="005D1F8B"/>
    <w:rsid w:val="005D28C6"/>
    <w:rsid w:val="005D2AFC"/>
    <w:rsid w:val="005D2D06"/>
    <w:rsid w:val="005D30B4"/>
    <w:rsid w:val="005D3259"/>
    <w:rsid w:val="005D3D57"/>
    <w:rsid w:val="005D60D3"/>
    <w:rsid w:val="005D6531"/>
    <w:rsid w:val="005D6BA0"/>
    <w:rsid w:val="005D6DEF"/>
    <w:rsid w:val="005D70DC"/>
    <w:rsid w:val="005D75DC"/>
    <w:rsid w:val="005D7BE6"/>
    <w:rsid w:val="005D7CB3"/>
    <w:rsid w:val="005D7D92"/>
    <w:rsid w:val="005E041D"/>
    <w:rsid w:val="005E0447"/>
    <w:rsid w:val="005E0E44"/>
    <w:rsid w:val="005E1062"/>
    <w:rsid w:val="005E1AC3"/>
    <w:rsid w:val="005E329F"/>
    <w:rsid w:val="005E3D1F"/>
    <w:rsid w:val="005E4406"/>
    <w:rsid w:val="005E474E"/>
    <w:rsid w:val="005E4C4A"/>
    <w:rsid w:val="005E4E03"/>
    <w:rsid w:val="005E5D21"/>
    <w:rsid w:val="005E79A3"/>
    <w:rsid w:val="005E7AD1"/>
    <w:rsid w:val="005E7AD9"/>
    <w:rsid w:val="005F0159"/>
    <w:rsid w:val="005F0491"/>
    <w:rsid w:val="005F0980"/>
    <w:rsid w:val="005F1527"/>
    <w:rsid w:val="005F1A26"/>
    <w:rsid w:val="005F1BBF"/>
    <w:rsid w:val="005F1BE7"/>
    <w:rsid w:val="005F2068"/>
    <w:rsid w:val="005F2391"/>
    <w:rsid w:val="005F476C"/>
    <w:rsid w:val="005F496E"/>
    <w:rsid w:val="005F4B95"/>
    <w:rsid w:val="005F61E3"/>
    <w:rsid w:val="005F652C"/>
    <w:rsid w:val="005F65AA"/>
    <w:rsid w:val="005F705D"/>
    <w:rsid w:val="005F7E34"/>
    <w:rsid w:val="006004FD"/>
    <w:rsid w:val="00600DFB"/>
    <w:rsid w:val="00600E5C"/>
    <w:rsid w:val="00600F4F"/>
    <w:rsid w:val="00600F6F"/>
    <w:rsid w:val="00601557"/>
    <w:rsid w:val="0060244C"/>
    <w:rsid w:val="00602DEF"/>
    <w:rsid w:val="00602F08"/>
    <w:rsid w:val="00602F57"/>
    <w:rsid w:val="00603063"/>
    <w:rsid w:val="00603C17"/>
    <w:rsid w:val="00604FB1"/>
    <w:rsid w:val="00605827"/>
    <w:rsid w:val="00605890"/>
    <w:rsid w:val="00606682"/>
    <w:rsid w:val="00606AE6"/>
    <w:rsid w:val="00606F23"/>
    <w:rsid w:val="0060721E"/>
    <w:rsid w:val="006075D1"/>
    <w:rsid w:val="00607ADE"/>
    <w:rsid w:val="00607D6E"/>
    <w:rsid w:val="00610EF3"/>
    <w:rsid w:val="00610F28"/>
    <w:rsid w:val="0061187B"/>
    <w:rsid w:val="00612459"/>
    <w:rsid w:val="006129AC"/>
    <w:rsid w:val="00612E3C"/>
    <w:rsid w:val="00613091"/>
    <w:rsid w:val="006135BE"/>
    <w:rsid w:val="00614266"/>
    <w:rsid w:val="006146D1"/>
    <w:rsid w:val="006153ED"/>
    <w:rsid w:val="006165D6"/>
    <w:rsid w:val="00616894"/>
    <w:rsid w:val="00616B12"/>
    <w:rsid w:val="0061705F"/>
    <w:rsid w:val="006179E4"/>
    <w:rsid w:val="006179FE"/>
    <w:rsid w:val="00617D71"/>
    <w:rsid w:val="00620314"/>
    <w:rsid w:val="00620712"/>
    <w:rsid w:val="006207CF"/>
    <w:rsid w:val="0062151E"/>
    <w:rsid w:val="00621D0B"/>
    <w:rsid w:val="00621FF7"/>
    <w:rsid w:val="00622082"/>
    <w:rsid w:val="00622853"/>
    <w:rsid w:val="00623528"/>
    <w:rsid w:val="00623DA4"/>
    <w:rsid w:val="00624030"/>
    <w:rsid w:val="00624275"/>
    <w:rsid w:val="006242DA"/>
    <w:rsid w:val="006243D0"/>
    <w:rsid w:val="00624C2E"/>
    <w:rsid w:val="006257B6"/>
    <w:rsid w:val="00626094"/>
    <w:rsid w:val="00626231"/>
    <w:rsid w:val="0062629D"/>
    <w:rsid w:val="00627A09"/>
    <w:rsid w:val="00627C12"/>
    <w:rsid w:val="00627D35"/>
    <w:rsid w:val="00630175"/>
    <w:rsid w:val="006304A4"/>
    <w:rsid w:val="00630A37"/>
    <w:rsid w:val="00630ADF"/>
    <w:rsid w:val="006314DC"/>
    <w:rsid w:val="0063218E"/>
    <w:rsid w:val="00633CED"/>
    <w:rsid w:val="00634146"/>
    <w:rsid w:val="00634682"/>
    <w:rsid w:val="00634759"/>
    <w:rsid w:val="00634A80"/>
    <w:rsid w:val="0063561A"/>
    <w:rsid w:val="00635674"/>
    <w:rsid w:val="006360F5"/>
    <w:rsid w:val="006363A6"/>
    <w:rsid w:val="006364AF"/>
    <w:rsid w:val="00636880"/>
    <w:rsid w:val="00636E06"/>
    <w:rsid w:val="00636E90"/>
    <w:rsid w:val="00636F94"/>
    <w:rsid w:val="00637055"/>
    <w:rsid w:val="00637A46"/>
    <w:rsid w:val="00637A65"/>
    <w:rsid w:val="00637EF4"/>
    <w:rsid w:val="00640453"/>
    <w:rsid w:val="00641374"/>
    <w:rsid w:val="00642038"/>
    <w:rsid w:val="0064253E"/>
    <w:rsid w:val="00642EDA"/>
    <w:rsid w:val="0064362A"/>
    <w:rsid w:val="00643B07"/>
    <w:rsid w:val="00643E4D"/>
    <w:rsid w:val="006449B3"/>
    <w:rsid w:val="00644D1A"/>
    <w:rsid w:val="00645A51"/>
    <w:rsid w:val="00647B0F"/>
    <w:rsid w:val="00650C12"/>
    <w:rsid w:val="00651A15"/>
    <w:rsid w:val="00651ABF"/>
    <w:rsid w:val="006524B3"/>
    <w:rsid w:val="00652567"/>
    <w:rsid w:val="006527FF"/>
    <w:rsid w:val="00652829"/>
    <w:rsid w:val="00652AA4"/>
    <w:rsid w:val="0065333B"/>
    <w:rsid w:val="00653FBC"/>
    <w:rsid w:val="0065463C"/>
    <w:rsid w:val="00654673"/>
    <w:rsid w:val="00654947"/>
    <w:rsid w:val="00655057"/>
    <w:rsid w:val="00655D28"/>
    <w:rsid w:val="00655E24"/>
    <w:rsid w:val="006564A5"/>
    <w:rsid w:val="00656518"/>
    <w:rsid w:val="0065704C"/>
    <w:rsid w:val="006577B2"/>
    <w:rsid w:val="00657A3C"/>
    <w:rsid w:val="006602D8"/>
    <w:rsid w:val="006603AA"/>
    <w:rsid w:val="00660E6D"/>
    <w:rsid w:val="00660FFF"/>
    <w:rsid w:val="006611B7"/>
    <w:rsid w:val="00661D76"/>
    <w:rsid w:val="0066223B"/>
    <w:rsid w:val="00662A6D"/>
    <w:rsid w:val="00663294"/>
    <w:rsid w:val="00663744"/>
    <w:rsid w:val="00663AC6"/>
    <w:rsid w:val="00664519"/>
    <w:rsid w:val="006645FD"/>
    <w:rsid w:val="00664F0D"/>
    <w:rsid w:val="00665198"/>
    <w:rsid w:val="00666470"/>
    <w:rsid w:val="00666494"/>
    <w:rsid w:val="00666C87"/>
    <w:rsid w:val="00667392"/>
    <w:rsid w:val="006676E9"/>
    <w:rsid w:val="00667AC5"/>
    <w:rsid w:val="00667D7E"/>
    <w:rsid w:val="00667F47"/>
    <w:rsid w:val="00667FC5"/>
    <w:rsid w:val="00670006"/>
    <w:rsid w:val="00670812"/>
    <w:rsid w:val="006718DB"/>
    <w:rsid w:val="00672BBB"/>
    <w:rsid w:val="006754AC"/>
    <w:rsid w:val="00675859"/>
    <w:rsid w:val="00675F09"/>
    <w:rsid w:val="006765A1"/>
    <w:rsid w:val="00676BCD"/>
    <w:rsid w:val="00676D25"/>
    <w:rsid w:val="00677220"/>
    <w:rsid w:val="006772F3"/>
    <w:rsid w:val="006777C0"/>
    <w:rsid w:val="006810FA"/>
    <w:rsid w:val="006814DF"/>
    <w:rsid w:val="006817E7"/>
    <w:rsid w:val="00681BC0"/>
    <w:rsid w:val="00681F18"/>
    <w:rsid w:val="00682167"/>
    <w:rsid w:val="00682259"/>
    <w:rsid w:val="0068251A"/>
    <w:rsid w:val="0068252C"/>
    <w:rsid w:val="0068276D"/>
    <w:rsid w:val="006828F1"/>
    <w:rsid w:val="00683540"/>
    <w:rsid w:val="00684903"/>
    <w:rsid w:val="00684BE6"/>
    <w:rsid w:val="0068578E"/>
    <w:rsid w:val="00685B14"/>
    <w:rsid w:val="006860DD"/>
    <w:rsid w:val="006862AF"/>
    <w:rsid w:val="006869BF"/>
    <w:rsid w:val="00686FC0"/>
    <w:rsid w:val="00690299"/>
    <w:rsid w:val="00691341"/>
    <w:rsid w:val="00691770"/>
    <w:rsid w:val="0069178D"/>
    <w:rsid w:val="0069201F"/>
    <w:rsid w:val="00692BB6"/>
    <w:rsid w:val="006935F4"/>
    <w:rsid w:val="00693827"/>
    <w:rsid w:val="0069384B"/>
    <w:rsid w:val="00693BDA"/>
    <w:rsid w:val="0069424C"/>
    <w:rsid w:val="0069559C"/>
    <w:rsid w:val="00695A63"/>
    <w:rsid w:val="00696CFD"/>
    <w:rsid w:val="00697047"/>
    <w:rsid w:val="006970BE"/>
    <w:rsid w:val="0069721B"/>
    <w:rsid w:val="00697E22"/>
    <w:rsid w:val="00697E71"/>
    <w:rsid w:val="006A0A53"/>
    <w:rsid w:val="006A0FD5"/>
    <w:rsid w:val="006A1ECA"/>
    <w:rsid w:val="006A29FC"/>
    <w:rsid w:val="006A3295"/>
    <w:rsid w:val="006A3DBA"/>
    <w:rsid w:val="006A40EC"/>
    <w:rsid w:val="006A44F5"/>
    <w:rsid w:val="006A4662"/>
    <w:rsid w:val="006A4B2B"/>
    <w:rsid w:val="006A509F"/>
    <w:rsid w:val="006A52FC"/>
    <w:rsid w:val="006A5BE3"/>
    <w:rsid w:val="006A6383"/>
    <w:rsid w:val="006A6B32"/>
    <w:rsid w:val="006A7121"/>
    <w:rsid w:val="006A74DC"/>
    <w:rsid w:val="006B06AC"/>
    <w:rsid w:val="006B0897"/>
    <w:rsid w:val="006B0DEF"/>
    <w:rsid w:val="006B0F2E"/>
    <w:rsid w:val="006B0FA5"/>
    <w:rsid w:val="006B132C"/>
    <w:rsid w:val="006B1BFF"/>
    <w:rsid w:val="006B20F4"/>
    <w:rsid w:val="006B23B7"/>
    <w:rsid w:val="006B2722"/>
    <w:rsid w:val="006B3273"/>
    <w:rsid w:val="006B3A6A"/>
    <w:rsid w:val="006B4A4B"/>
    <w:rsid w:val="006B4BAD"/>
    <w:rsid w:val="006B5255"/>
    <w:rsid w:val="006B5406"/>
    <w:rsid w:val="006B5911"/>
    <w:rsid w:val="006B5EA1"/>
    <w:rsid w:val="006B68BB"/>
    <w:rsid w:val="006B7789"/>
    <w:rsid w:val="006B77BE"/>
    <w:rsid w:val="006B7962"/>
    <w:rsid w:val="006B7C8A"/>
    <w:rsid w:val="006C01CE"/>
    <w:rsid w:val="006C0B52"/>
    <w:rsid w:val="006C0C28"/>
    <w:rsid w:val="006C17D5"/>
    <w:rsid w:val="006C3135"/>
    <w:rsid w:val="006C3731"/>
    <w:rsid w:val="006C39C7"/>
    <w:rsid w:val="006C411E"/>
    <w:rsid w:val="006C4315"/>
    <w:rsid w:val="006C4602"/>
    <w:rsid w:val="006C484A"/>
    <w:rsid w:val="006C49FC"/>
    <w:rsid w:val="006C4B05"/>
    <w:rsid w:val="006C4B43"/>
    <w:rsid w:val="006C4B81"/>
    <w:rsid w:val="006C4C22"/>
    <w:rsid w:val="006C56E6"/>
    <w:rsid w:val="006C57AB"/>
    <w:rsid w:val="006C6080"/>
    <w:rsid w:val="006C62D1"/>
    <w:rsid w:val="006C62FF"/>
    <w:rsid w:val="006C6444"/>
    <w:rsid w:val="006C66EA"/>
    <w:rsid w:val="006C6886"/>
    <w:rsid w:val="006C68C2"/>
    <w:rsid w:val="006C6F96"/>
    <w:rsid w:val="006D003B"/>
    <w:rsid w:val="006D01FC"/>
    <w:rsid w:val="006D0363"/>
    <w:rsid w:val="006D07B1"/>
    <w:rsid w:val="006D09AA"/>
    <w:rsid w:val="006D15EF"/>
    <w:rsid w:val="006D177C"/>
    <w:rsid w:val="006D19B1"/>
    <w:rsid w:val="006D1D7A"/>
    <w:rsid w:val="006D28B5"/>
    <w:rsid w:val="006D2AF2"/>
    <w:rsid w:val="006D3300"/>
    <w:rsid w:val="006D3FF5"/>
    <w:rsid w:val="006D443A"/>
    <w:rsid w:val="006D484F"/>
    <w:rsid w:val="006D4BFC"/>
    <w:rsid w:val="006D4FD8"/>
    <w:rsid w:val="006D506A"/>
    <w:rsid w:val="006D58FB"/>
    <w:rsid w:val="006D739F"/>
    <w:rsid w:val="006D76DB"/>
    <w:rsid w:val="006D780B"/>
    <w:rsid w:val="006D7FFD"/>
    <w:rsid w:val="006E0935"/>
    <w:rsid w:val="006E0B0F"/>
    <w:rsid w:val="006E0D4A"/>
    <w:rsid w:val="006E18E9"/>
    <w:rsid w:val="006E1E1C"/>
    <w:rsid w:val="006E1E74"/>
    <w:rsid w:val="006E1EC9"/>
    <w:rsid w:val="006E21C4"/>
    <w:rsid w:val="006E241C"/>
    <w:rsid w:val="006E244E"/>
    <w:rsid w:val="006E2683"/>
    <w:rsid w:val="006E30AD"/>
    <w:rsid w:val="006E34DC"/>
    <w:rsid w:val="006E3C24"/>
    <w:rsid w:val="006E45CB"/>
    <w:rsid w:val="006E4B94"/>
    <w:rsid w:val="006E5240"/>
    <w:rsid w:val="006E5368"/>
    <w:rsid w:val="006E5F14"/>
    <w:rsid w:val="006E6EF0"/>
    <w:rsid w:val="006E6F56"/>
    <w:rsid w:val="006E6F7C"/>
    <w:rsid w:val="006E7F7C"/>
    <w:rsid w:val="006F0C81"/>
    <w:rsid w:val="006F0E00"/>
    <w:rsid w:val="006F0E21"/>
    <w:rsid w:val="006F1744"/>
    <w:rsid w:val="006F1C60"/>
    <w:rsid w:val="006F20B1"/>
    <w:rsid w:val="006F2437"/>
    <w:rsid w:val="006F247D"/>
    <w:rsid w:val="006F29C1"/>
    <w:rsid w:val="006F346B"/>
    <w:rsid w:val="006F39E3"/>
    <w:rsid w:val="006F41A7"/>
    <w:rsid w:val="006F4B16"/>
    <w:rsid w:val="006F4E79"/>
    <w:rsid w:val="006F4FFD"/>
    <w:rsid w:val="006F5224"/>
    <w:rsid w:val="006F572D"/>
    <w:rsid w:val="006F6352"/>
    <w:rsid w:val="006F66B1"/>
    <w:rsid w:val="006F6AB1"/>
    <w:rsid w:val="006F6DE7"/>
    <w:rsid w:val="006F7B95"/>
    <w:rsid w:val="006F7DD9"/>
    <w:rsid w:val="006F7E13"/>
    <w:rsid w:val="006F7E9F"/>
    <w:rsid w:val="0070041C"/>
    <w:rsid w:val="007005BC"/>
    <w:rsid w:val="007006D3"/>
    <w:rsid w:val="00700B21"/>
    <w:rsid w:val="00700EBD"/>
    <w:rsid w:val="007018EC"/>
    <w:rsid w:val="00701A3A"/>
    <w:rsid w:val="00701D65"/>
    <w:rsid w:val="00702299"/>
    <w:rsid w:val="00702425"/>
    <w:rsid w:val="0070243B"/>
    <w:rsid w:val="007026D0"/>
    <w:rsid w:val="00702B5B"/>
    <w:rsid w:val="0070300E"/>
    <w:rsid w:val="007030E3"/>
    <w:rsid w:val="007036D5"/>
    <w:rsid w:val="00703DF6"/>
    <w:rsid w:val="00704ECB"/>
    <w:rsid w:val="00705102"/>
    <w:rsid w:val="007055E7"/>
    <w:rsid w:val="00706260"/>
    <w:rsid w:val="00706502"/>
    <w:rsid w:val="00707022"/>
    <w:rsid w:val="00707181"/>
    <w:rsid w:val="00707BA6"/>
    <w:rsid w:val="00707BAA"/>
    <w:rsid w:val="00707FB2"/>
    <w:rsid w:val="007110EA"/>
    <w:rsid w:val="00711A72"/>
    <w:rsid w:val="00711E89"/>
    <w:rsid w:val="007120E8"/>
    <w:rsid w:val="0071256C"/>
    <w:rsid w:val="00713057"/>
    <w:rsid w:val="0071363B"/>
    <w:rsid w:val="00714E8F"/>
    <w:rsid w:val="007157C4"/>
    <w:rsid w:val="00715A13"/>
    <w:rsid w:val="00715A33"/>
    <w:rsid w:val="00716319"/>
    <w:rsid w:val="0071650D"/>
    <w:rsid w:val="0071667C"/>
    <w:rsid w:val="00716835"/>
    <w:rsid w:val="00716AB4"/>
    <w:rsid w:val="00716CFC"/>
    <w:rsid w:val="00716F25"/>
    <w:rsid w:val="00717076"/>
    <w:rsid w:val="007176E6"/>
    <w:rsid w:val="00717733"/>
    <w:rsid w:val="007178C2"/>
    <w:rsid w:val="0072057A"/>
    <w:rsid w:val="00720D63"/>
    <w:rsid w:val="0072190C"/>
    <w:rsid w:val="00721B4A"/>
    <w:rsid w:val="00721E77"/>
    <w:rsid w:val="00721E7E"/>
    <w:rsid w:val="00721F62"/>
    <w:rsid w:val="00722429"/>
    <w:rsid w:val="007228E0"/>
    <w:rsid w:val="00722D1B"/>
    <w:rsid w:val="00723B26"/>
    <w:rsid w:val="00724459"/>
    <w:rsid w:val="00724A6C"/>
    <w:rsid w:val="00724F59"/>
    <w:rsid w:val="0072506D"/>
    <w:rsid w:val="00725EF9"/>
    <w:rsid w:val="00726FE0"/>
    <w:rsid w:val="00727B23"/>
    <w:rsid w:val="0073024B"/>
    <w:rsid w:val="007304F8"/>
    <w:rsid w:val="00730D5E"/>
    <w:rsid w:val="00730FF3"/>
    <w:rsid w:val="00732327"/>
    <w:rsid w:val="0073241D"/>
    <w:rsid w:val="00732BC7"/>
    <w:rsid w:val="00732D33"/>
    <w:rsid w:val="00734989"/>
    <w:rsid w:val="00734AD5"/>
    <w:rsid w:val="00734DE2"/>
    <w:rsid w:val="00735B07"/>
    <w:rsid w:val="0073614A"/>
    <w:rsid w:val="00736237"/>
    <w:rsid w:val="00737325"/>
    <w:rsid w:val="00737565"/>
    <w:rsid w:val="00737823"/>
    <w:rsid w:val="00737CD1"/>
    <w:rsid w:val="00737FAA"/>
    <w:rsid w:val="007401E9"/>
    <w:rsid w:val="007411F6"/>
    <w:rsid w:val="0074149D"/>
    <w:rsid w:val="00741F6F"/>
    <w:rsid w:val="0074368E"/>
    <w:rsid w:val="0074430A"/>
    <w:rsid w:val="00744D0A"/>
    <w:rsid w:val="007454DA"/>
    <w:rsid w:val="0074553B"/>
    <w:rsid w:val="0074567C"/>
    <w:rsid w:val="007461D6"/>
    <w:rsid w:val="0074635A"/>
    <w:rsid w:val="00746F02"/>
    <w:rsid w:val="0074702E"/>
    <w:rsid w:val="00747335"/>
    <w:rsid w:val="00747A03"/>
    <w:rsid w:val="007503B6"/>
    <w:rsid w:val="007503F1"/>
    <w:rsid w:val="00750783"/>
    <w:rsid w:val="007508F1"/>
    <w:rsid w:val="00750C75"/>
    <w:rsid w:val="00750C99"/>
    <w:rsid w:val="007516E5"/>
    <w:rsid w:val="007517D5"/>
    <w:rsid w:val="00751EB8"/>
    <w:rsid w:val="00752223"/>
    <w:rsid w:val="00752412"/>
    <w:rsid w:val="0075243E"/>
    <w:rsid w:val="00752908"/>
    <w:rsid w:val="0075305C"/>
    <w:rsid w:val="00753131"/>
    <w:rsid w:val="007538FB"/>
    <w:rsid w:val="00753909"/>
    <w:rsid w:val="00753D69"/>
    <w:rsid w:val="00753DBE"/>
    <w:rsid w:val="0075410B"/>
    <w:rsid w:val="00754929"/>
    <w:rsid w:val="00754A20"/>
    <w:rsid w:val="00754FBB"/>
    <w:rsid w:val="00755203"/>
    <w:rsid w:val="007553C5"/>
    <w:rsid w:val="0075544D"/>
    <w:rsid w:val="00755699"/>
    <w:rsid w:val="00755880"/>
    <w:rsid w:val="00755F5B"/>
    <w:rsid w:val="0075664B"/>
    <w:rsid w:val="00756A5B"/>
    <w:rsid w:val="007575A7"/>
    <w:rsid w:val="00757642"/>
    <w:rsid w:val="007576AE"/>
    <w:rsid w:val="0075799A"/>
    <w:rsid w:val="00757B32"/>
    <w:rsid w:val="00760230"/>
    <w:rsid w:val="007604ED"/>
    <w:rsid w:val="00760C1E"/>
    <w:rsid w:val="00761214"/>
    <w:rsid w:val="00761678"/>
    <w:rsid w:val="007616A1"/>
    <w:rsid w:val="00762BA8"/>
    <w:rsid w:val="00762BCE"/>
    <w:rsid w:val="00763C4C"/>
    <w:rsid w:val="00764167"/>
    <w:rsid w:val="00764218"/>
    <w:rsid w:val="007644C6"/>
    <w:rsid w:val="00765023"/>
    <w:rsid w:val="00765A48"/>
    <w:rsid w:val="00765BC4"/>
    <w:rsid w:val="00765CBF"/>
    <w:rsid w:val="00765E81"/>
    <w:rsid w:val="00765F98"/>
    <w:rsid w:val="00765FC2"/>
    <w:rsid w:val="007660FC"/>
    <w:rsid w:val="007661E5"/>
    <w:rsid w:val="007676F6"/>
    <w:rsid w:val="007678A9"/>
    <w:rsid w:val="00767A5A"/>
    <w:rsid w:val="00770569"/>
    <w:rsid w:val="00770815"/>
    <w:rsid w:val="00770AB1"/>
    <w:rsid w:val="00770F06"/>
    <w:rsid w:val="007719F1"/>
    <w:rsid w:val="00771DC1"/>
    <w:rsid w:val="00771ED4"/>
    <w:rsid w:val="00772358"/>
    <w:rsid w:val="007727ED"/>
    <w:rsid w:val="00772FB2"/>
    <w:rsid w:val="0077308A"/>
    <w:rsid w:val="007737C8"/>
    <w:rsid w:val="007747BC"/>
    <w:rsid w:val="00774D25"/>
    <w:rsid w:val="007757A5"/>
    <w:rsid w:val="007768A4"/>
    <w:rsid w:val="007768AB"/>
    <w:rsid w:val="00776B34"/>
    <w:rsid w:val="00776B6A"/>
    <w:rsid w:val="00776E2E"/>
    <w:rsid w:val="00776E35"/>
    <w:rsid w:val="00776FC9"/>
    <w:rsid w:val="00777707"/>
    <w:rsid w:val="0078095E"/>
    <w:rsid w:val="00780AED"/>
    <w:rsid w:val="00781262"/>
    <w:rsid w:val="00781426"/>
    <w:rsid w:val="00781499"/>
    <w:rsid w:val="0078186F"/>
    <w:rsid w:val="00781938"/>
    <w:rsid w:val="00781C91"/>
    <w:rsid w:val="00781D0F"/>
    <w:rsid w:val="00782EC8"/>
    <w:rsid w:val="0078354D"/>
    <w:rsid w:val="00783AEE"/>
    <w:rsid w:val="00783B58"/>
    <w:rsid w:val="00783F49"/>
    <w:rsid w:val="00784403"/>
    <w:rsid w:val="007846F1"/>
    <w:rsid w:val="00784827"/>
    <w:rsid w:val="0078520B"/>
    <w:rsid w:val="0078559B"/>
    <w:rsid w:val="00785723"/>
    <w:rsid w:val="00786057"/>
    <w:rsid w:val="00786CD2"/>
    <w:rsid w:val="00787208"/>
    <w:rsid w:val="007873F8"/>
    <w:rsid w:val="00787779"/>
    <w:rsid w:val="007877E3"/>
    <w:rsid w:val="00787C3C"/>
    <w:rsid w:val="00790187"/>
    <w:rsid w:val="00790488"/>
    <w:rsid w:val="00790950"/>
    <w:rsid w:val="00790B22"/>
    <w:rsid w:val="00792822"/>
    <w:rsid w:val="00792A68"/>
    <w:rsid w:val="00792CE1"/>
    <w:rsid w:val="007931B2"/>
    <w:rsid w:val="0079365D"/>
    <w:rsid w:val="0079365E"/>
    <w:rsid w:val="00793B36"/>
    <w:rsid w:val="00793BE8"/>
    <w:rsid w:val="00793F42"/>
    <w:rsid w:val="0079413F"/>
    <w:rsid w:val="00795018"/>
    <w:rsid w:val="00795894"/>
    <w:rsid w:val="00795B40"/>
    <w:rsid w:val="00795EEE"/>
    <w:rsid w:val="00795FDD"/>
    <w:rsid w:val="00797F88"/>
    <w:rsid w:val="007A1360"/>
    <w:rsid w:val="007A150A"/>
    <w:rsid w:val="007A18BD"/>
    <w:rsid w:val="007A29C1"/>
    <w:rsid w:val="007A2C32"/>
    <w:rsid w:val="007A3507"/>
    <w:rsid w:val="007A3AB1"/>
    <w:rsid w:val="007A3E41"/>
    <w:rsid w:val="007A43F8"/>
    <w:rsid w:val="007A4727"/>
    <w:rsid w:val="007A4777"/>
    <w:rsid w:val="007A4792"/>
    <w:rsid w:val="007A4E39"/>
    <w:rsid w:val="007A506B"/>
    <w:rsid w:val="007A5085"/>
    <w:rsid w:val="007A57A8"/>
    <w:rsid w:val="007A6546"/>
    <w:rsid w:val="007A6704"/>
    <w:rsid w:val="007A6E14"/>
    <w:rsid w:val="007A765C"/>
    <w:rsid w:val="007A7670"/>
    <w:rsid w:val="007A775A"/>
    <w:rsid w:val="007A7D8A"/>
    <w:rsid w:val="007B04C2"/>
    <w:rsid w:val="007B078B"/>
    <w:rsid w:val="007B0FB6"/>
    <w:rsid w:val="007B1074"/>
    <w:rsid w:val="007B16AC"/>
    <w:rsid w:val="007B17FC"/>
    <w:rsid w:val="007B245E"/>
    <w:rsid w:val="007B2B4D"/>
    <w:rsid w:val="007B329B"/>
    <w:rsid w:val="007B36D7"/>
    <w:rsid w:val="007B3994"/>
    <w:rsid w:val="007B4F81"/>
    <w:rsid w:val="007B4FD2"/>
    <w:rsid w:val="007B52C9"/>
    <w:rsid w:val="007B5704"/>
    <w:rsid w:val="007B5A84"/>
    <w:rsid w:val="007B5E9D"/>
    <w:rsid w:val="007B6477"/>
    <w:rsid w:val="007B64E0"/>
    <w:rsid w:val="007B6A60"/>
    <w:rsid w:val="007B6EBD"/>
    <w:rsid w:val="007B746D"/>
    <w:rsid w:val="007B78E6"/>
    <w:rsid w:val="007B7F48"/>
    <w:rsid w:val="007C0118"/>
    <w:rsid w:val="007C15CD"/>
    <w:rsid w:val="007C17FD"/>
    <w:rsid w:val="007C1A03"/>
    <w:rsid w:val="007C1F5A"/>
    <w:rsid w:val="007C354E"/>
    <w:rsid w:val="007C3ABB"/>
    <w:rsid w:val="007C4240"/>
    <w:rsid w:val="007C60BE"/>
    <w:rsid w:val="007C6962"/>
    <w:rsid w:val="007C6C33"/>
    <w:rsid w:val="007C70A2"/>
    <w:rsid w:val="007C72E5"/>
    <w:rsid w:val="007C7BFB"/>
    <w:rsid w:val="007C7DA0"/>
    <w:rsid w:val="007D034E"/>
    <w:rsid w:val="007D06F5"/>
    <w:rsid w:val="007D0748"/>
    <w:rsid w:val="007D0C5B"/>
    <w:rsid w:val="007D1269"/>
    <w:rsid w:val="007D14C7"/>
    <w:rsid w:val="007D15CC"/>
    <w:rsid w:val="007D182A"/>
    <w:rsid w:val="007D1BB6"/>
    <w:rsid w:val="007D2054"/>
    <w:rsid w:val="007D206D"/>
    <w:rsid w:val="007D20BE"/>
    <w:rsid w:val="007D2209"/>
    <w:rsid w:val="007D2406"/>
    <w:rsid w:val="007D2B61"/>
    <w:rsid w:val="007D3537"/>
    <w:rsid w:val="007D3988"/>
    <w:rsid w:val="007D3B73"/>
    <w:rsid w:val="007D3EDC"/>
    <w:rsid w:val="007D45CB"/>
    <w:rsid w:val="007D532B"/>
    <w:rsid w:val="007D6425"/>
    <w:rsid w:val="007D64D7"/>
    <w:rsid w:val="007D66E7"/>
    <w:rsid w:val="007D6AE7"/>
    <w:rsid w:val="007D6C04"/>
    <w:rsid w:val="007D6D46"/>
    <w:rsid w:val="007D6FE8"/>
    <w:rsid w:val="007D72B8"/>
    <w:rsid w:val="007D7356"/>
    <w:rsid w:val="007D740D"/>
    <w:rsid w:val="007D75EE"/>
    <w:rsid w:val="007D76AC"/>
    <w:rsid w:val="007E029A"/>
    <w:rsid w:val="007E0AE1"/>
    <w:rsid w:val="007E0B48"/>
    <w:rsid w:val="007E1168"/>
    <w:rsid w:val="007E1253"/>
    <w:rsid w:val="007E1A6F"/>
    <w:rsid w:val="007E1B8B"/>
    <w:rsid w:val="007E2113"/>
    <w:rsid w:val="007E25F7"/>
    <w:rsid w:val="007E2E94"/>
    <w:rsid w:val="007E304D"/>
    <w:rsid w:val="007E30EF"/>
    <w:rsid w:val="007E331D"/>
    <w:rsid w:val="007E4793"/>
    <w:rsid w:val="007E494A"/>
    <w:rsid w:val="007E4CC8"/>
    <w:rsid w:val="007E509D"/>
    <w:rsid w:val="007E538F"/>
    <w:rsid w:val="007E5894"/>
    <w:rsid w:val="007E5AF3"/>
    <w:rsid w:val="007E5C97"/>
    <w:rsid w:val="007E60CF"/>
    <w:rsid w:val="007E645E"/>
    <w:rsid w:val="007E6718"/>
    <w:rsid w:val="007E6EC0"/>
    <w:rsid w:val="007E6FF2"/>
    <w:rsid w:val="007E751A"/>
    <w:rsid w:val="007E7A75"/>
    <w:rsid w:val="007F02DB"/>
    <w:rsid w:val="007F04F2"/>
    <w:rsid w:val="007F0F69"/>
    <w:rsid w:val="007F13DE"/>
    <w:rsid w:val="007F1F89"/>
    <w:rsid w:val="007F2029"/>
    <w:rsid w:val="007F2293"/>
    <w:rsid w:val="007F2CC0"/>
    <w:rsid w:val="007F2FF3"/>
    <w:rsid w:val="007F3561"/>
    <w:rsid w:val="007F386A"/>
    <w:rsid w:val="007F3D5E"/>
    <w:rsid w:val="007F40C2"/>
    <w:rsid w:val="007F41D0"/>
    <w:rsid w:val="007F4533"/>
    <w:rsid w:val="007F4648"/>
    <w:rsid w:val="007F5896"/>
    <w:rsid w:val="007F5F54"/>
    <w:rsid w:val="007F6418"/>
    <w:rsid w:val="007F6745"/>
    <w:rsid w:val="007F6EF2"/>
    <w:rsid w:val="007F721A"/>
    <w:rsid w:val="007F748C"/>
    <w:rsid w:val="007F77AF"/>
    <w:rsid w:val="007F79BA"/>
    <w:rsid w:val="007F7F7A"/>
    <w:rsid w:val="007F7F98"/>
    <w:rsid w:val="008007C2"/>
    <w:rsid w:val="008016AD"/>
    <w:rsid w:val="00801730"/>
    <w:rsid w:val="00801FD9"/>
    <w:rsid w:val="0080231D"/>
    <w:rsid w:val="0080252E"/>
    <w:rsid w:val="00803DFB"/>
    <w:rsid w:val="00804441"/>
    <w:rsid w:val="00804719"/>
    <w:rsid w:val="00805079"/>
    <w:rsid w:val="00805173"/>
    <w:rsid w:val="008051B3"/>
    <w:rsid w:val="00806018"/>
    <w:rsid w:val="00806710"/>
    <w:rsid w:val="008067D2"/>
    <w:rsid w:val="00807102"/>
    <w:rsid w:val="00807A1C"/>
    <w:rsid w:val="00807AF3"/>
    <w:rsid w:val="00810192"/>
    <w:rsid w:val="00810FF6"/>
    <w:rsid w:val="008124CC"/>
    <w:rsid w:val="008142C1"/>
    <w:rsid w:val="00815C85"/>
    <w:rsid w:val="00816190"/>
    <w:rsid w:val="0081681B"/>
    <w:rsid w:val="008169DD"/>
    <w:rsid w:val="008176A1"/>
    <w:rsid w:val="00817AB9"/>
    <w:rsid w:val="00820241"/>
    <w:rsid w:val="00820BA9"/>
    <w:rsid w:val="00820CD2"/>
    <w:rsid w:val="00821802"/>
    <w:rsid w:val="008219EE"/>
    <w:rsid w:val="0082202B"/>
    <w:rsid w:val="0082273D"/>
    <w:rsid w:val="0082274E"/>
    <w:rsid w:val="00822AB9"/>
    <w:rsid w:val="00822CDC"/>
    <w:rsid w:val="00822E0A"/>
    <w:rsid w:val="00823282"/>
    <w:rsid w:val="008243C9"/>
    <w:rsid w:val="00824669"/>
    <w:rsid w:val="00824715"/>
    <w:rsid w:val="008247B6"/>
    <w:rsid w:val="00824ADE"/>
    <w:rsid w:val="00824CB6"/>
    <w:rsid w:val="00824D3C"/>
    <w:rsid w:val="00824EA1"/>
    <w:rsid w:val="0082519D"/>
    <w:rsid w:val="00825B5B"/>
    <w:rsid w:val="008260EA"/>
    <w:rsid w:val="008265BF"/>
    <w:rsid w:val="00826740"/>
    <w:rsid w:val="00827205"/>
    <w:rsid w:val="00827850"/>
    <w:rsid w:val="00827B10"/>
    <w:rsid w:val="00831275"/>
    <w:rsid w:val="00831656"/>
    <w:rsid w:val="00831753"/>
    <w:rsid w:val="00832282"/>
    <w:rsid w:val="00832508"/>
    <w:rsid w:val="008326C1"/>
    <w:rsid w:val="00832BB3"/>
    <w:rsid w:val="0083326A"/>
    <w:rsid w:val="008335EE"/>
    <w:rsid w:val="00833DD8"/>
    <w:rsid w:val="00834098"/>
    <w:rsid w:val="008346F1"/>
    <w:rsid w:val="00834C53"/>
    <w:rsid w:val="0083507B"/>
    <w:rsid w:val="0083594D"/>
    <w:rsid w:val="00835989"/>
    <w:rsid w:val="00835D9F"/>
    <w:rsid w:val="00835EEA"/>
    <w:rsid w:val="008364A2"/>
    <w:rsid w:val="0083707A"/>
    <w:rsid w:val="008372A8"/>
    <w:rsid w:val="00837978"/>
    <w:rsid w:val="0084015D"/>
    <w:rsid w:val="0084077D"/>
    <w:rsid w:val="00840780"/>
    <w:rsid w:val="00841331"/>
    <w:rsid w:val="00842287"/>
    <w:rsid w:val="008437AA"/>
    <w:rsid w:val="00843D74"/>
    <w:rsid w:val="008444F0"/>
    <w:rsid w:val="0084489E"/>
    <w:rsid w:val="0084491C"/>
    <w:rsid w:val="00844DD0"/>
    <w:rsid w:val="00845469"/>
    <w:rsid w:val="00846119"/>
    <w:rsid w:val="0084629B"/>
    <w:rsid w:val="00846B3D"/>
    <w:rsid w:val="00847237"/>
    <w:rsid w:val="0084764F"/>
    <w:rsid w:val="008478FD"/>
    <w:rsid w:val="0085008D"/>
    <w:rsid w:val="008508C2"/>
    <w:rsid w:val="00850E23"/>
    <w:rsid w:val="00850EAB"/>
    <w:rsid w:val="00851A4C"/>
    <w:rsid w:val="00851B86"/>
    <w:rsid w:val="008521E0"/>
    <w:rsid w:val="008523F1"/>
    <w:rsid w:val="008527BC"/>
    <w:rsid w:val="00854282"/>
    <w:rsid w:val="00854E88"/>
    <w:rsid w:val="00854FEF"/>
    <w:rsid w:val="008551D6"/>
    <w:rsid w:val="008552EC"/>
    <w:rsid w:val="008558B1"/>
    <w:rsid w:val="00855BA0"/>
    <w:rsid w:val="008563D8"/>
    <w:rsid w:val="00856519"/>
    <w:rsid w:val="0085665D"/>
    <w:rsid w:val="00856BB7"/>
    <w:rsid w:val="00856D20"/>
    <w:rsid w:val="0085705F"/>
    <w:rsid w:val="00857C1B"/>
    <w:rsid w:val="00857D68"/>
    <w:rsid w:val="00860D11"/>
    <w:rsid w:val="008613BA"/>
    <w:rsid w:val="00861AF7"/>
    <w:rsid w:val="00861BF8"/>
    <w:rsid w:val="00862749"/>
    <w:rsid w:val="00863448"/>
    <w:rsid w:val="00863466"/>
    <w:rsid w:val="00863B07"/>
    <w:rsid w:val="00864AF4"/>
    <w:rsid w:val="008661C3"/>
    <w:rsid w:val="00866866"/>
    <w:rsid w:val="00867132"/>
    <w:rsid w:val="00867802"/>
    <w:rsid w:val="008705E2"/>
    <w:rsid w:val="00870618"/>
    <w:rsid w:val="00870708"/>
    <w:rsid w:val="008707AF"/>
    <w:rsid w:val="00870CD6"/>
    <w:rsid w:val="00870D74"/>
    <w:rsid w:val="00871653"/>
    <w:rsid w:val="00872CC0"/>
    <w:rsid w:val="008731B8"/>
    <w:rsid w:val="00873339"/>
    <w:rsid w:val="008735EC"/>
    <w:rsid w:val="008736CD"/>
    <w:rsid w:val="00873B2B"/>
    <w:rsid w:val="008745EB"/>
    <w:rsid w:val="00874A9F"/>
    <w:rsid w:val="00875339"/>
    <w:rsid w:val="0087538C"/>
    <w:rsid w:val="008754C4"/>
    <w:rsid w:val="00875C19"/>
    <w:rsid w:val="0087623A"/>
    <w:rsid w:val="008766AE"/>
    <w:rsid w:val="00876CD1"/>
    <w:rsid w:val="0087779F"/>
    <w:rsid w:val="00877D48"/>
    <w:rsid w:val="00880C00"/>
    <w:rsid w:val="00880FEB"/>
    <w:rsid w:val="008814CD"/>
    <w:rsid w:val="00881ED1"/>
    <w:rsid w:val="00882CB2"/>
    <w:rsid w:val="0088306E"/>
    <w:rsid w:val="008835CE"/>
    <w:rsid w:val="008836A1"/>
    <w:rsid w:val="00883E2C"/>
    <w:rsid w:val="008844EE"/>
    <w:rsid w:val="00884B9B"/>
    <w:rsid w:val="00884E51"/>
    <w:rsid w:val="008850FE"/>
    <w:rsid w:val="008855E8"/>
    <w:rsid w:val="0088571E"/>
    <w:rsid w:val="00885B28"/>
    <w:rsid w:val="00885E85"/>
    <w:rsid w:val="008860E8"/>
    <w:rsid w:val="008876E5"/>
    <w:rsid w:val="00887EF8"/>
    <w:rsid w:val="008900B7"/>
    <w:rsid w:val="00890203"/>
    <w:rsid w:val="00890A40"/>
    <w:rsid w:val="0089292A"/>
    <w:rsid w:val="00893BAC"/>
    <w:rsid w:val="00893D4D"/>
    <w:rsid w:val="00895918"/>
    <w:rsid w:val="00896161"/>
    <w:rsid w:val="00896863"/>
    <w:rsid w:val="00896E2E"/>
    <w:rsid w:val="008971CF"/>
    <w:rsid w:val="008971FD"/>
    <w:rsid w:val="008A06A1"/>
    <w:rsid w:val="008A0856"/>
    <w:rsid w:val="008A1946"/>
    <w:rsid w:val="008A1DC2"/>
    <w:rsid w:val="008A20AF"/>
    <w:rsid w:val="008A2130"/>
    <w:rsid w:val="008A23D3"/>
    <w:rsid w:val="008A2822"/>
    <w:rsid w:val="008A28C5"/>
    <w:rsid w:val="008A2B7F"/>
    <w:rsid w:val="008A3012"/>
    <w:rsid w:val="008A3402"/>
    <w:rsid w:val="008A3940"/>
    <w:rsid w:val="008A3AFF"/>
    <w:rsid w:val="008A402E"/>
    <w:rsid w:val="008A44E3"/>
    <w:rsid w:val="008A4899"/>
    <w:rsid w:val="008A507F"/>
    <w:rsid w:val="008A591B"/>
    <w:rsid w:val="008A5B2E"/>
    <w:rsid w:val="008A700A"/>
    <w:rsid w:val="008A7A3B"/>
    <w:rsid w:val="008B020F"/>
    <w:rsid w:val="008B09BE"/>
    <w:rsid w:val="008B0B57"/>
    <w:rsid w:val="008B0C5C"/>
    <w:rsid w:val="008B0E82"/>
    <w:rsid w:val="008B166F"/>
    <w:rsid w:val="008B19F5"/>
    <w:rsid w:val="008B2213"/>
    <w:rsid w:val="008B31A0"/>
    <w:rsid w:val="008B37FA"/>
    <w:rsid w:val="008B38B8"/>
    <w:rsid w:val="008B3FCC"/>
    <w:rsid w:val="008B5553"/>
    <w:rsid w:val="008B572F"/>
    <w:rsid w:val="008B5ED3"/>
    <w:rsid w:val="008B64BA"/>
    <w:rsid w:val="008B68B2"/>
    <w:rsid w:val="008B69AA"/>
    <w:rsid w:val="008B7394"/>
    <w:rsid w:val="008B798E"/>
    <w:rsid w:val="008B7B56"/>
    <w:rsid w:val="008B7D40"/>
    <w:rsid w:val="008B7D42"/>
    <w:rsid w:val="008C0008"/>
    <w:rsid w:val="008C0656"/>
    <w:rsid w:val="008C0A40"/>
    <w:rsid w:val="008C0DC4"/>
    <w:rsid w:val="008C0F33"/>
    <w:rsid w:val="008C2147"/>
    <w:rsid w:val="008C2645"/>
    <w:rsid w:val="008C268B"/>
    <w:rsid w:val="008C2A87"/>
    <w:rsid w:val="008C3266"/>
    <w:rsid w:val="008C3339"/>
    <w:rsid w:val="008C38E2"/>
    <w:rsid w:val="008C3A64"/>
    <w:rsid w:val="008C3D6C"/>
    <w:rsid w:val="008C3F05"/>
    <w:rsid w:val="008C4726"/>
    <w:rsid w:val="008C4E59"/>
    <w:rsid w:val="008C5207"/>
    <w:rsid w:val="008C5827"/>
    <w:rsid w:val="008C5D9F"/>
    <w:rsid w:val="008C64A8"/>
    <w:rsid w:val="008C724A"/>
    <w:rsid w:val="008C7AB1"/>
    <w:rsid w:val="008C7BF8"/>
    <w:rsid w:val="008D020F"/>
    <w:rsid w:val="008D09E6"/>
    <w:rsid w:val="008D0ADC"/>
    <w:rsid w:val="008D148A"/>
    <w:rsid w:val="008D151B"/>
    <w:rsid w:val="008D18FF"/>
    <w:rsid w:val="008D28D3"/>
    <w:rsid w:val="008D3F82"/>
    <w:rsid w:val="008D41BE"/>
    <w:rsid w:val="008D49F4"/>
    <w:rsid w:val="008D5D9F"/>
    <w:rsid w:val="008D5E91"/>
    <w:rsid w:val="008D6E70"/>
    <w:rsid w:val="008D73E1"/>
    <w:rsid w:val="008D7710"/>
    <w:rsid w:val="008D775A"/>
    <w:rsid w:val="008D7790"/>
    <w:rsid w:val="008E04E1"/>
    <w:rsid w:val="008E2225"/>
    <w:rsid w:val="008E28A7"/>
    <w:rsid w:val="008E32FC"/>
    <w:rsid w:val="008E3629"/>
    <w:rsid w:val="008E3FA5"/>
    <w:rsid w:val="008E40F1"/>
    <w:rsid w:val="008E4761"/>
    <w:rsid w:val="008E4780"/>
    <w:rsid w:val="008E498A"/>
    <w:rsid w:val="008E49DE"/>
    <w:rsid w:val="008E57DA"/>
    <w:rsid w:val="008E59B1"/>
    <w:rsid w:val="008E59E5"/>
    <w:rsid w:val="008E683C"/>
    <w:rsid w:val="008E70E3"/>
    <w:rsid w:val="008E7381"/>
    <w:rsid w:val="008E7AA3"/>
    <w:rsid w:val="008F053E"/>
    <w:rsid w:val="008F05B3"/>
    <w:rsid w:val="008F0EA6"/>
    <w:rsid w:val="008F1152"/>
    <w:rsid w:val="008F11D0"/>
    <w:rsid w:val="008F1735"/>
    <w:rsid w:val="008F1B3B"/>
    <w:rsid w:val="008F1C12"/>
    <w:rsid w:val="008F1EBD"/>
    <w:rsid w:val="008F2094"/>
    <w:rsid w:val="008F23EE"/>
    <w:rsid w:val="008F2D35"/>
    <w:rsid w:val="008F3812"/>
    <w:rsid w:val="008F38D2"/>
    <w:rsid w:val="008F3A68"/>
    <w:rsid w:val="008F3C12"/>
    <w:rsid w:val="008F3E7E"/>
    <w:rsid w:val="008F407D"/>
    <w:rsid w:val="008F4385"/>
    <w:rsid w:val="008F45C7"/>
    <w:rsid w:val="008F46A0"/>
    <w:rsid w:val="008F4B16"/>
    <w:rsid w:val="008F4F5A"/>
    <w:rsid w:val="008F550F"/>
    <w:rsid w:val="008F5C8E"/>
    <w:rsid w:val="008F5E29"/>
    <w:rsid w:val="008F66E5"/>
    <w:rsid w:val="008F7931"/>
    <w:rsid w:val="009000CC"/>
    <w:rsid w:val="009004D9"/>
    <w:rsid w:val="00900653"/>
    <w:rsid w:val="00900665"/>
    <w:rsid w:val="00900A61"/>
    <w:rsid w:val="00900D09"/>
    <w:rsid w:val="00902AC6"/>
    <w:rsid w:val="00902C94"/>
    <w:rsid w:val="00902EC6"/>
    <w:rsid w:val="00903121"/>
    <w:rsid w:val="00903A75"/>
    <w:rsid w:val="00903E51"/>
    <w:rsid w:val="00903F5A"/>
    <w:rsid w:val="0090431A"/>
    <w:rsid w:val="00904406"/>
    <w:rsid w:val="009047BB"/>
    <w:rsid w:val="0090592F"/>
    <w:rsid w:val="00905C58"/>
    <w:rsid w:val="00905E00"/>
    <w:rsid w:val="00906766"/>
    <w:rsid w:val="0090683E"/>
    <w:rsid w:val="0090692A"/>
    <w:rsid w:val="00906E4B"/>
    <w:rsid w:val="00906EC9"/>
    <w:rsid w:val="0090779D"/>
    <w:rsid w:val="00910A10"/>
    <w:rsid w:val="009111E4"/>
    <w:rsid w:val="00912EB4"/>
    <w:rsid w:val="00913CB9"/>
    <w:rsid w:val="00913CE6"/>
    <w:rsid w:val="00913EF0"/>
    <w:rsid w:val="009149A4"/>
    <w:rsid w:val="00914A23"/>
    <w:rsid w:val="00914CD7"/>
    <w:rsid w:val="00914D1A"/>
    <w:rsid w:val="00915013"/>
    <w:rsid w:val="00916C89"/>
    <w:rsid w:val="00917938"/>
    <w:rsid w:val="00917B09"/>
    <w:rsid w:val="00917C7D"/>
    <w:rsid w:val="00920C71"/>
    <w:rsid w:val="009210B3"/>
    <w:rsid w:val="00921945"/>
    <w:rsid w:val="00921C03"/>
    <w:rsid w:val="00921DC2"/>
    <w:rsid w:val="00922B7B"/>
    <w:rsid w:val="00922EF5"/>
    <w:rsid w:val="00923CA5"/>
    <w:rsid w:val="00924055"/>
    <w:rsid w:val="009241A7"/>
    <w:rsid w:val="00924A5D"/>
    <w:rsid w:val="00924B49"/>
    <w:rsid w:val="00925BB8"/>
    <w:rsid w:val="00925CAF"/>
    <w:rsid w:val="00926459"/>
    <w:rsid w:val="00926A8F"/>
    <w:rsid w:val="00926EEE"/>
    <w:rsid w:val="00926FDB"/>
    <w:rsid w:val="00927948"/>
    <w:rsid w:val="00927ACF"/>
    <w:rsid w:val="0093004F"/>
    <w:rsid w:val="00930525"/>
    <w:rsid w:val="00930717"/>
    <w:rsid w:val="0093096A"/>
    <w:rsid w:val="00930C7C"/>
    <w:rsid w:val="00930EDC"/>
    <w:rsid w:val="0093140A"/>
    <w:rsid w:val="00932555"/>
    <w:rsid w:val="00932EF3"/>
    <w:rsid w:val="0093319B"/>
    <w:rsid w:val="009335C2"/>
    <w:rsid w:val="009336AE"/>
    <w:rsid w:val="00933E1D"/>
    <w:rsid w:val="00934208"/>
    <w:rsid w:val="009348BC"/>
    <w:rsid w:val="009349E4"/>
    <w:rsid w:val="00934CCA"/>
    <w:rsid w:val="00936033"/>
    <w:rsid w:val="00937836"/>
    <w:rsid w:val="00940184"/>
    <w:rsid w:val="009401BD"/>
    <w:rsid w:val="009412A9"/>
    <w:rsid w:val="00941AF5"/>
    <w:rsid w:val="00941ED4"/>
    <w:rsid w:val="009424A5"/>
    <w:rsid w:val="00942514"/>
    <w:rsid w:val="00942732"/>
    <w:rsid w:val="009428DE"/>
    <w:rsid w:val="009428E1"/>
    <w:rsid w:val="00942AC8"/>
    <w:rsid w:val="00943805"/>
    <w:rsid w:val="00943B10"/>
    <w:rsid w:val="009440B8"/>
    <w:rsid w:val="0094546E"/>
    <w:rsid w:val="009454B0"/>
    <w:rsid w:val="00945AAF"/>
    <w:rsid w:val="00945F2E"/>
    <w:rsid w:val="0094672E"/>
    <w:rsid w:val="009467AD"/>
    <w:rsid w:val="00946FE9"/>
    <w:rsid w:val="00947B81"/>
    <w:rsid w:val="00947C47"/>
    <w:rsid w:val="009500A1"/>
    <w:rsid w:val="00950539"/>
    <w:rsid w:val="009509D3"/>
    <w:rsid w:val="00951020"/>
    <w:rsid w:val="00951703"/>
    <w:rsid w:val="00951BCF"/>
    <w:rsid w:val="00952AEB"/>
    <w:rsid w:val="00953914"/>
    <w:rsid w:val="00954816"/>
    <w:rsid w:val="009553DF"/>
    <w:rsid w:val="00955BA0"/>
    <w:rsid w:val="009568CE"/>
    <w:rsid w:val="009568DD"/>
    <w:rsid w:val="009569DE"/>
    <w:rsid w:val="009577C4"/>
    <w:rsid w:val="009578E7"/>
    <w:rsid w:val="00957D82"/>
    <w:rsid w:val="00957DC2"/>
    <w:rsid w:val="009601D6"/>
    <w:rsid w:val="009605B9"/>
    <w:rsid w:val="00960A99"/>
    <w:rsid w:val="00961CBE"/>
    <w:rsid w:val="00961DA7"/>
    <w:rsid w:val="00962154"/>
    <w:rsid w:val="00962C94"/>
    <w:rsid w:val="00962EA3"/>
    <w:rsid w:val="0096325D"/>
    <w:rsid w:val="009633F3"/>
    <w:rsid w:val="00963587"/>
    <w:rsid w:val="0096362F"/>
    <w:rsid w:val="00963AF7"/>
    <w:rsid w:val="00963D92"/>
    <w:rsid w:val="00964498"/>
    <w:rsid w:val="00964B8F"/>
    <w:rsid w:val="0096533D"/>
    <w:rsid w:val="00965B06"/>
    <w:rsid w:val="00965FE1"/>
    <w:rsid w:val="00967E04"/>
    <w:rsid w:val="00967F02"/>
    <w:rsid w:val="0097006D"/>
    <w:rsid w:val="0097049A"/>
    <w:rsid w:val="00970A33"/>
    <w:rsid w:val="00970AA4"/>
    <w:rsid w:val="00971CAE"/>
    <w:rsid w:val="00971E88"/>
    <w:rsid w:val="0097386B"/>
    <w:rsid w:val="0097392F"/>
    <w:rsid w:val="00974488"/>
    <w:rsid w:val="009747D3"/>
    <w:rsid w:val="0097487E"/>
    <w:rsid w:val="00974B0D"/>
    <w:rsid w:val="00974C34"/>
    <w:rsid w:val="0097559C"/>
    <w:rsid w:val="00975B26"/>
    <w:rsid w:val="00975F55"/>
    <w:rsid w:val="00976084"/>
    <w:rsid w:val="009768B3"/>
    <w:rsid w:val="00976B3E"/>
    <w:rsid w:val="00976E95"/>
    <w:rsid w:val="0098004C"/>
    <w:rsid w:val="0098095A"/>
    <w:rsid w:val="00980B96"/>
    <w:rsid w:val="00981E3B"/>
    <w:rsid w:val="00981FDB"/>
    <w:rsid w:val="009829FA"/>
    <w:rsid w:val="00983004"/>
    <w:rsid w:val="009832E5"/>
    <w:rsid w:val="0098427C"/>
    <w:rsid w:val="00984318"/>
    <w:rsid w:val="00984555"/>
    <w:rsid w:val="00984898"/>
    <w:rsid w:val="00985695"/>
    <w:rsid w:val="00985757"/>
    <w:rsid w:val="009859AE"/>
    <w:rsid w:val="00985A8E"/>
    <w:rsid w:val="0098675E"/>
    <w:rsid w:val="009868E5"/>
    <w:rsid w:val="00986AF1"/>
    <w:rsid w:val="009875C3"/>
    <w:rsid w:val="00987A3E"/>
    <w:rsid w:val="00987C33"/>
    <w:rsid w:val="00987C3A"/>
    <w:rsid w:val="00987E37"/>
    <w:rsid w:val="00990AB4"/>
    <w:rsid w:val="0099121F"/>
    <w:rsid w:val="009912A6"/>
    <w:rsid w:val="009918B5"/>
    <w:rsid w:val="009918C7"/>
    <w:rsid w:val="00991B87"/>
    <w:rsid w:val="00992361"/>
    <w:rsid w:val="00992F1A"/>
    <w:rsid w:val="00993C84"/>
    <w:rsid w:val="00993EEA"/>
    <w:rsid w:val="00993F53"/>
    <w:rsid w:val="0099432A"/>
    <w:rsid w:val="009948C1"/>
    <w:rsid w:val="00994D6E"/>
    <w:rsid w:val="00995E83"/>
    <w:rsid w:val="00996493"/>
    <w:rsid w:val="00996536"/>
    <w:rsid w:val="00996540"/>
    <w:rsid w:val="00996865"/>
    <w:rsid w:val="009974E4"/>
    <w:rsid w:val="0099773C"/>
    <w:rsid w:val="0099780D"/>
    <w:rsid w:val="00997C1E"/>
    <w:rsid w:val="009A01E8"/>
    <w:rsid w:val="009A0352"/>
    <w:rsid w:val="009A0785"/>
    <w:rsid w:val="009A0D66"/>
    <w:rsid w:val="009A1B30"/>
    <w:rsid w:val="009A1B60"/>
    <w:rsid w:val="009A2004"/>
    <w:rsid w:val="009A2011"/>
    <w:rsid w:val="009A2518"/>
    <w:rsid w:val="009A26CF"/>
    <w:rsid w:val="009A3321"/>
    <w:rsid w:val="009A3BDD"/>
    <w:rsid w:val="009A3CFF"/>
    <w:rsid w:val="009A3F76"/>
    <w:rsid w:val="009A42D4"/>
    <w:rsid w:val="009A449D"/>
    <w:rsid w:val="009A4645"/>
    <w:rsid w:val="009A4779"/>
    <w:rsid w:val="009A4926"/>
    <w:rsid w:val="009A497B"/>
    <w:rsid w:val="009A5005"/>
    <w:rsid w:val="009A5290"/>
    <w:rsid w:val="009A5799"/>
    <w:rsid w:val="009A6842"/>
    <w:rsid w:val="009A68CD"/>
    <w:rsid w:val="009A69E3"/>
    <w:rsid w:val="009A706F"/>
    <w:rsid w:val="009A7396"/>
    <w:rsid w:val="009A7C3A"/>
    <w:rsid w:val="009A7D9A"/>
    <w:rsid w:val="009B05E3"/>
    <w:rsid w:val="009B0F5A"/>
    <w:rsid w:val="009B1FBE"/>
    <w:rsid w:val="009B2E4A"/>
    <w:rsid w:val="009B68BC"/>
    <w:rsid w:val="009B7CC9"/>
    <w:rsid w:val="009B7D3C"/>
    <w:rsid w:val="009C0148"/>
    <w:rsid w:val="009C0235"/>
    <w:rsid w:val="009C0C4E"/>
    <w:rsid w:val="009C1BC3"/>
    <w:rsid w:val="009C1E0C"/>
    <w:rsid w:val="009C1F71"/>
    <w:rsid w:val="009C261B"/>
    <w:rsid w:val="009C287C"/>
    <w:rsid w:val="009C2DB9"/>
    <w:rsid w:val="009C2E1D"/>
    <w:rsid w:val="009C3097"/>
    <w:rsid w:val="009C3125"/>
    <w:rsid w:val="009C3305"/>
    <w:rsid w:val="009C33BD"/>
    <w:rsid w:val="009C3431"/>
    <w:rsid w:val="009C386B"/>
    <w:rsid w:val="009C399D"/>
    <w:rsid w:val="009C3CA8"/>
    <w:rsid w:val="009C4C85"/>
    <w:rsid w:val="009C54AE"/>
    <w:rsid w:val="009C5997"/>
    <w:rsid w:val="009C65DF"/>
    <w:rsid w:val="009C6D2B"/>
    <w:rsid w:val="009C7AA5"/>
    <w:rsid w:val="009C7AD6"/>
    <w:rsid w:val="009C7EB6"/>
    <w:rsid w:val="009C7F52"/>
    <w:rsid w:val="009D035D"/>
    <w:rsid w:val="009D1415"/>
    <w:rsid w:val="009D2393"/>
    <w:rsid w:val="009D2D2E"/>
    <w:rsid w:val="009D3653"/>
    <w:rsid w:val="009D3B96"/>
    <w:rsid w:val="009D3EE7"/>
    <w:rsid w:val="009D42D1"/>
    <w:rsid w:val="009D4585"/>
    <w:rsid w:val="009D4D38"/>
    <w:rsid w:val="009D4DC2"/>
    <w:rsid w:val="009D5405"/>
    <w:rsid w:val="009D58CF"/>
    <w:rsid w:val="009D6216"/>
    <w:rsid w:val="009D7073"/>
    <w:rsid w:val="009D730A"/>
    <w:rsid w:val="009D753F"/>
    <w:rsid w:val="009D7738"/>
    <w:rsid w:val="009D7AB9"/>
    <w:rsid w:val="009E01FB"/>
    <w:rsid w:val="009E050A"/>
    <w:rsid w:val="009E113D"/>
    <w:rsid w:val="009E1B4F"/>
    <w:rsid w:val="009E24FA"/>
    <w:rsid w:val="009E27A7"/>
    <w:rsid w:val="009E367B"/>
    <w:rsid w:val="009E3FCE"/>
    <w:rsid w:val="009E492B"/>
    <w:rsid w:val="009E4C51"/>
    <w:rsid w:val="009E5176"/>
    <w:rsid w:val="009E53EF"/>
    <w:rsid w:val="009E5AA0"/>
    <w:rsid w:val="009E5B2F"/>
    <w:rsid w:val="009E5F44"/>
    <w:rsid w:val="009E615C"/>
    <w:rsid w:val="009E65A9"/>
    <w:rsid w:val="009E69E3"/>
    <w:rsid w:val="009E712A"/>
    <w:rsid w:val="009E7654"/>
    <w:rsid w:val="009E7E20"/>
    <w:rsid w:val="009F0013"/>
    <w:rsid w:val="009F0905"/>
    <w:rsid w:val="009F0EB0"/>
    <w:rsid w:val="009F17B3"/>
    <w:rsid w:val="009F27A5"/>
    <w:rsid w:val="009F2B64"/>
    <w:rsid w:val="009F3FD1"/>
    <w:rsid w:val="009F4373"/>
    <w:rsid w:val="009F5B31"/>
    <w:rsid w:val="009F5C2E"/>
    <w:rsid w:val="009F5F96"/>
    <w:rsid w:val="009F61ED"/>
    <w:rsid w:val="009F6AC7"/>
    <w:rsid w:val="009F6C1B"/>
    <w:rsid w:val="009F6C4E"/>
    <w:rsid w:val="009F7CCD"/>
    <w:rsid w:val="00A00052"/>
    <w:rsid w:val="00A005E0"/>
    <w:rsid w:val="00A007C7"/>
    <w:rsid w:val="00A01AC9"/>
    <w:rsid w:val="00A01CA3"/>
    <w:rsid w:val="00A025E6"/>
    <w:rsid w:val="00A02D90"/>
    <w:rsid w:val="00A040F0"/>
    <w:rsid w:val="00A042DF"/>
    <w:rsid w:val="00A043D4"/>
    <w:rsid w:val="00A049EC"/>
    <w:rsid w:val="00A049EF"/>
    <w:rsid w:val="00A04CBC"/>
    <w:rsid w:val="00A04F64"/>
    <w:rsid w:val="00A05649"/>
    <w:rsid w:val="00A06718"/>
    <w:rsid w:val="00A06939"/>
    <w:rsid w:val="00A069F0"/>
    <w:rsid w:val="00A06CC3"/>
    <w:rsid w:val="00A071EB"/>
    <w:rsid w:val="00A0737C"/>
    <w:rsid w:val="00A07517"/>
    <w:rsid w:val="00A101C7"/>
    <w:rsid w:val="00A106B7"/>
    <w:rsid w:val="00A10977"/>
    <w:rsid w:val="00A123F9"/>
    <w:rsid w:val="00A12E86"/>
    <w:rsid w:val="00A12F1F"/>
    <w:rsid w:val="00A13CC2"/>
    <w:rsid w:val="00A13D9A"/>
    <w:rsid w:val="00A13E34"/>
    <w:rsid w:val="00A14673"/>
    <w:rsid w:val="00A14DAF"/>
    <w:rsid w:val="00A15006"/>
    <w:rsid w:val="00A1576F"/>
    <w:rsid w:val="00A15C66"/>
    <w:rsid w:val="00A16128"/>
    <w:rsid w:val="00A16658"/>
    <w:rsid w:val="00A16F25"/>
    <w:rsid w:val="00A203ED"/>
    <w:rsid w:val="00A208B6"/>
    <w:rsid w:val="00A20C7B"/>
    <w:rsid w:val="00A20CEC"/>
    <w:rsid w:val="00A215EC"/>
    <w:rsid w:val="00A217E6"/>
    <w:rsid w:val="00A22617"/>
    <w:rsid w:val="00A229D3"/>
    <w:rsid w:val="00A23221"/>
    <w:rsid w:val="00A2345D"/>
    <w:rsid w:val="00A23830"/>
    <w:rsid w:val="00A23A82"/>
    <w:rsid w:val="00A23CBC"/>
    <w:rsid w:val="00A23E84"/>
    <w:rsid w:val="00A2416D"/>
    <w:rsid w:val="00A2417F"/>
    <w:rsid w:val="00A24C24"/>
    <w:rsid w:val="00A24C89"/>
    <w:rsid w:val="00A25CC2"/>
    <w:rsid w:val="00A27269"/>
    <w:rsid w:val="00A27D9D"/>
    <w:rsid w:val="00A30320"/>
    <w:rsid w:val="00A30453"/>
    <w:rsid w:val="00A30A33"/>
    <w:rsid w:val="00A312B7"/>
    <w:rsid w:val="00A31499"/>
    <w:rsid w:val="00A314BE"/>
    <w:rsid w:val="00A314DA"/>
    <w:rsid w:val="00A318CC"/>
    <w:rsid w:val="00A31D62"/>
    <w:rsid w:val="00A31E12"/>
    <w:rsid w:val="00A326D4"/>
    <w:rsid w:val="00A32F19"/>
    <w:rsid w:val="00A34623"/>
    <w:rsid w:val="00A34E47"/>
    <w:rsid w:val="00A3543D"/>
    <w:rsid w:val="00A36387"/>
    <w:rsid w:val="00A367C6"/>
    <w:rsid w:val="00A36CFE"/>
    <w:rsid w:val="00A36EA6"/>
    <w:rsid w:val="00A3761D"/>
    <w:rsid w:val="00A41C93"/>
    <w:rsid w:val="00A41FD6"/>
    <w:rsid w:val="00A4289D"/>
    <w:rsid w:val="00A429CA"/>
    <w:rsid w:val="00A42F64"/>
    <w:rsid w:val="00A43259"/>
    <w:rsid w:val="00A44CC1"/>
    <w:rsid w:val="00A45378"/>
    <w:rsid w:val="00A453CE"/>
    <w:rsid w:val="00A45622"/>
    <w:rsid w:val="00A4566D"/>
    <w:rsid w:val="00A45EC9"/>
    <w:rsid w:val="00A46039"/>
    <w:rsid w:val="00A46200"/>
    <w:rsid w:val="00A46C47"/>
    <w:rsid w:val="00A47288"/>
    <w:rsid w:val="00A4767D"/>
    <w:rsid w:val="00A47C8C"/>
    <w:rsid w:val="00A47D09"/>
    <w:rsid w:val="00A47F9A"/>
    <w:rsid w:val="00A500F3"/>
    <w:rsid w:val="00A50518"/>
    <w:rsid w:val="00A50779"/>
    <w:rsid w:val="00A50EF8"/>
    <w:rsid w:val="00A51F21"/>
    <w:rsid w:val="00A52043"/>
    <w:rsid w:val="00A53268"/>
    <w:rsid w:val="00A533DA"/>
    <w:rsid w:val="00A546AC"/>
    <w:rsid w:val="00A548DB"/>
    <w:rsid w:val="00A54E4C"/>
    <w:rsid w:val="00A55FC4"/>
    <w:rsid w:val="00A56660"/>
    <w:rsid w:val="00A5677E"/>
    <w:rsid w:val="00A56E9F"/>
    <w:rsid w:val="00A57842"/>
    <w:rsid w:val="00A57908"/>
    <w:rsid w:val="00A57B6C"/>
    <w:rsid w:val="00A57F35"/>
    <w:rsid w:val="00A60003"/>
    <w:rsid w:val="00A602D8"/>
    <w:rsid w:val="00A60E53"/>
    <w:rsid w:val="00A61D23"/>
    <w:rsid w:val="00A627D1"/>
    <w:rsid w:val="00A62C91"/>
    <w:rsid w:val="00A63384"/>
    <w:rsid w:val="00A64309"/>
    <w:rsid w:val="00A64DD4"/>
    <w:rsid w:val="00A6555B"/>
    <w:rsid w:val="00A655A8"/>
    <w:rsid w:val="00A65705"/>
    <w:rsid w:val="00A6599F"/>
    <w:rsid w:val="00A65AB5"/>
    <w:rsid w:val="00A66D1C"/>
    <w:rsid w:val="00A67706"/>
    <w:rsid w:val="00A678CB"/>
    <w:rsid w:val="00A67A2D"/>
    <w:rsid w:val="00A67DEC"/>
    <w:rsid w:val="00A705AB"/>
    <w:rsid w:val="00A70C11"/>
    <w:rsid w:val="00A71263"/>
    <w:rsid w:val="00A72412"/>
    <w:rsid w:val="00A72B67"/>
    <w:rsid w:val="00A72F6C"/>
    <w:rsid w:val="00A7310B"/>
    <w:rsid w:val="00A73246"/>
    <w:rsid w:val="00A73A72"/>
    <w:rsid w:val="00A73C65"/>
    <w:rsid w:val="00A74B4C"/>
    <w:rsid w:val="00A74BD2"/>
    <w:rsid w:val="00A74E3E"/>
    <w:rsid w:val="00A750CB"/>
    <w:rsid w:val="00A75C4B"/>
    <w:rsid w:val="00A75F3F"/>
    <w:rsid w:val="00A76022"/>
    <w:rsid w:val="00A76C0A"/>
    <w:rsid w:val="00A76EF7"/>
    <w:rsid w:val="00A776D9"/>
    <w:rsid w:val="00A779AA"/>
    <w:rsid w:val="00A80830"/>
    <w:rsid w:val="00A80912"/>
    <w:rsid w:val="00A80E39"/>
    <w:rsid w:val="00A81518"/>
    <w:rsid w:val="00A8258C"/>
    <w:rsid w:val="00A83574"/>
    <w:rsid w:val="00A83712"/>
    <w:rsid w:val="00A83901"/>
    <w:rsid w:val="00A83BED"/>
    <w:rsid w:val="00A8469D"/>
    <w:rsid w:val="00A84947"/>
    <w:rsid w:val="00A84C63"/>
    <w:rsid w:val="00A8509A"/>
    <w:rsid w:val="00A85405"/>
    <w:rsid w:val="00A854EE"/>
    <w:rsid w:val="00A8585D"/>
    <w:rsid w:val="00A85B80"/>
    <w:rsid w:val="00A85BE9"/>
    <w:rsid w:val="00A85C69"/>
    <w:rsid w:val="00A86717"/>
    <w:rsid w:val="00A87001"/>
    <w:rsid w:val="00A8781F"/>
    <w:rsid w:val="00A87B3B"/>
    <w:rsid w:val="00A87F76"/>
    <w:rsid w:val="00A87FB0"/>
    <w:rsid w:val="00A9019D"/>
    <w:rsid w:val="00A907DD"/>
    <w:rsid w:val="00A90972"/>
    <w:rsid w:val="00A91000"/>
    <w:rsid w:val="00A91022"/>
    <w:rsid w:val="00A91591"/>
    <w:rsid w:val="00A91EFF"/>
    <w:rsid w:val="00A921CA"/>
    <w:rsid w:val="00A939AF"/>
    <w:rsid w:val="00A944CF"/>
    <w:rsid w:val="00A94600"/>
    <w:rsid w:val="00A947B2"/>
    <w:rsid w:val="00A94B3B"/>
    <w:rsid w:val="00A94BE6"/>
    <w:rsid w:val="00A950E0"/>
    <w:rsid w:val="00A959B6"/>
    <w:rsid w:val="00A95F38"/>
    <w:rsid w:val="00A961EC"/>
    <w:rsid w:val="00A9676C"/>
    <w:rsid w:val="00A977B3"/>
    <w:rsid w:val="00AA0C52"/>
    <w:rsid w:val="00AA107C"/>
    <w:rsid w:val="00AA1644"/>
    <w:rsid w:val="00AA1ED4"/>
    <w:rsid w:val="00AA2083"/>
    <w:rsid w:val="00AA2B0F"/>
    <w:rsid w:val="00AA38E3"/>
    <w:rsid w:val="00AA3AA7"/>
    <w:rsid w:val="00AA427A"/>
    <w:rsid w:val="00AA45CF"/>
    <w:rsid w:val="00AA45DE"/>
    <w:rsid w:val="00AA483A"/>
    <w:rsid w:val="00AA4878"/>
    <w:rsid w:val="00AA5503"/>
    <w:rsid w:val="00AA5EE1"/>
    <w:rsid w:val="00AA62C9"/>
    <w:rsid w:val="00AA705C"/>
    <w:rsid w:val="00AA74E2"/>
    <w:rsid w:val="00AA77D3"/>
    <w:rsid w:val="00AA7816"/>
    <w:rsid w:val="00AA7C7C"/>
    <w:rsid w:val="00AB034A"/>
    <w:rsid w:val="00AB0637"/>
    <w:rsid w:val="00AB0E7B"/>
    <w:rsid w:val="00AB127E"/>
    <w:rsid w:val="00AB15DB"/>
    <w:rsid w:val="00AB1E2B"/>
    <w:rsid w:val="00AB21F5"/>
    <w:rsid w:val="00AB2D62"/>
    <w:rsid w:val="00AB2D8E"/>
    <w:rsid w:val="00AB3068"/>
    <w:rsid w:val="00AB3C69"/>
    <w:rsid w:val="00AB3D3D"/>
    <w:rsid w:val="00AB451A"/>
    <w:rsid w:val="00AB4715"/>
    <w:rsid w:val="00AB4973"/>
    <w:rsid w:val="00AB543D"/>
    <w:rsid w:val="00AB624A"/>
    <w:rsid w:val="00AB6C21"/>
    <w:rsid w:val="00AB77AB"/>
    <w:rsid w:val="00AC09F1"/>
    <w:rsid w:val="00AC12C7"/>
    <w:rsid w:val="00AC12D0"/>
    <w:rsid w:val="00AC1719"/>
    <w:rsid w:val="00AC1B8A"/>
    <w:rsid w:val="00AC2B2F"/>
    <w:rsid w:val="00AC3B51"/>
    <w:rsid w:val="00AC5073"/>
    <w:rsid w:val="00AC5168"/>
    <w:rsid w:val="00AC5181"/>
    <w:rsid w:val="00AC577F"/>
    <w:rsid w:val="00AC5AF0"/>
    <w:rsid w:val="00AC5C31"/>
    <w:rsid w:val="00AC6109"/>
    <w:rsid w:val="00AC7B5F"/>
    <w:rsid w:val="00AD0464"/>
    <w:rsid w:val="00AD0989"/>
    <w:rsid w:val="00AD1373"/>
    <w:rsid w:val="00AD1EC3"/>
    <w:rsid w:val="00AD2295"/>
    <w:rsid w:val="00AD24DD"/>
    <w:rsid w:val="00AD26A3"/>
    <w:rsid w:val="00AD2770"/>
    <w:rsid w:val="00AD2C20"/>
    <w:rsid w:val="00AD336E"/>
    <w:rsid w:val="00AD3ADB"/>
    <w:rsid w:val="00AD3D01"/>
    <w:rsid w:val="00AD4AD8"/>
    <w:rsid w:val="00AD4FA3"/>
    <w:rsid w:val="00AD53CC"/>
    <w:rsid w:val="00AD5424"/>
    <w:rsid w:val="00AD5997"/>
    <w:rsid w:val="00AD5C38"/>
    <w:rsid w:val="00AD71B1"/>
    <w:rsid w:val="00AD72E3"/>
    <w:rsid w:val="00AD7500"/>
    <w:rsid w:val="00AE03E3"/>
    <w:rsid w:val="00AE0D08"/>
    <w:rsid w:val="00AE0E15"/>
    <w:rsid w:val="00AE0E20"/>
    <w:rsid w:val="00AE155A"/>
    <w:rsid w:val="00AE1C34"/>
    <w:rsid w:val="00AE1DD5"/>
    <w:rsid w:val="00AE2D0A"/>
    <w:rsid w:val="00AE2DE2"/>
    <w:rsid w:val="00AE38B5"/>
    <w:rsid w:val="00AE3F7A"/>
    <w:rsid w:val="00AE5065"/>
    <w:rsid w:val="00AE5EF7"/>
    <w:rsid w:val="00AE6AC8"/>
    <w:rsid w:val="00AE6FEF"/>
    <w:rsid w:val="00AE75DF"/>
    <w:rsid w:val="00AE774E"/>
    <w:rsid w:val="00AE7796"/>
    <w:rsid w:val="00AE7B73"/>
    <w:rsid w:val="00AE7D18"/>
    <w:rsid w:val="00AF022B"/>
    <w:rsid w:val="00AF0B2C"/>
    <w:rsid w:val="00AF0BEC"/>
    <w:rsid w:val="00AF0DCB"/>
    <w:rsid w:val="00AF14DD"/>
    <w:rsid w:val="00AF1A92"/>
    <w:rsid w:val="00AF219E"/>
    <w:rsid w:val="00AF368E"/>
    <w:rsid w:val="00AF3978"/>
    <w:rsid w:val="00AF3E96"/>
    <w:rsid w:val="00AF42FF"/>
    <w:rsid w:val="00AF4720"/>
    <w:rsid w:val="00AF47A4"/>
    <w:rsid w:val="00AF4E68"/>
    <w:rsid w:val="00AF4F0D"/>
    <w:rsid w:val="00AF5043"/>
    <w:rsid w:val="00AF546B"/>
    <w:rsid w:val="00AF5785"/>
    <w:rsid w:val="00AF5BBF"/>
    <w:rsid w:val="00AF641A"/>
    <w:rsid w:val="00AF659A"/>
    <w:rsid w:val="00AF6644"/>
    <w:rsid w:val="00AF66E1"/>
    <w:rsid w:val="00AF6719"/>
    <w:rsid w:val="00AF6CB0"/>
    <w:rsid w:val="00AF7028"/>
    <w:rsid w:val="00AF7E1B"/>
    <w:rsid w:val="00AF7F34"/>
    <w:rsid w:val="00B00A11"/>
    <w:rsid w:val="00B00CE9"/>
    <w:rsid w:val="00B017F4"/>
    <w:rsid w:val="00B022CB"/>
    <w:rsid w:val="00B022DE"/>
    <w:rsid w:val="00B02A2C"/>
    <w:rsid w:val="00B02CFE"/>
    <w:rsid w:val="00B0337C"/>
    <w:rsid w:val="00B038A9"/>
    <w:rsid w:val="00B03F89"/>
    <w:rsid w:val="00B0425F"/>
    <w:rsid w:val="00B04CF1"/>
    <w:rsid w:val="00B05054"/>
    <w:rsid w:val="00B05A03"/>
    <w:rsid w:val="00B07AFC"/>
    <w:rsid w:val="00B07CC6"/>
    <w:rsid w:val="00B07F1B"/>
    <w:rsid w:val="00B10058"/>
    <w:rsid w:val="00B1033D"/>
    <w:rsid w:val="00B105AC"/>
    <w:rsid w:val="00B1069D"/>
    <w:rsid w:val="00B107BB"/>
    <w:rsid w:val="00B10AC5"/>
    <w:rsid w:val="00B10EB6"/>
    <w:rsid w:val="00B11ED8"/>
    <w:rsid w:val="00B1270A"/>
    <w:rsid w:val="00B139A4"/>
    <w:rsid w:val="00B13CD2"/>
    <w:rsid w:val="00B140D1"/>
    <w:rsid w:val="00B142EA"/>
    <w:rsid w:val="00B148EF"/>
    <w:rsid w:val="00B151B7"/>
    <w:rsid w:val="00B1525B"/>
    <w:rsid w:val="00B15878"/>
    <w:rsid w:val="00B1597A"/>
    <w:rsid w:val="00B15EAB"/>
    <w:rsid w:val="00B16579"/>
    <w:rsid w:val="00B169F2"/>
    <w:rsid w:val="00B16B59"/>
    <w:rsid w:val="00B16CFE"/>
    <w:rsid w:val="00B16D52"/>
    <w:rsid w:val="00B170E2"/>
    <w:rsid w:val="00B17442"/>
    <w:rsid w:val="00B17544"/>
    <w:rsid w:val="00B17813"/>
    <w:rsid w:val="00B17B5F"/>
    <w:rsid w:val="00B17B90"/>
    <w:rsid w:val="00B20D54"/>
    <w:rsid w:val="00B2173C"/>
    <w:rsid w:val="00B2220A"/>
    <w:rsid w:val="00B22277"/>
    <w:rsid w:val="00B225A4"/>
    <w:rsid w:val="00B2276A"/>
    <w:rsid w:val="00B2278C"/>
    <w:rsid w:val="00B22B0F"/>
    <w:rsid w:val="00B256F4"/>
    <w:rsid w:val="00B258A6"/>
    <w:rsid w:val="00B258F9"/>
    <w:rsid w:val="00B25D8D"/>
    <w:rsid w:val="00B262DC"/>
    <w:rsid w:val="00B27276"/>
    <w:rsid w:val="00B27B20"/>
    <w:rsid w:val="00B27DEE"/>
    <w:rsid w:val="00B30302"/>
    <w:rsid w:val="00B3032D"/>
    <w:rsid w:val="00B30674"/>
    <w:rsid w:val="00B30905"/>
    <w:rsid w:val="00B312A8"/>
    <w:rsid w:val="00B3130C"/>
    <w:rsid w:val="00B321A4"/>
    <w:rsid w:val="00B32773"/>
    <w:rsid w:val="00B33446"/>
    <w:rsid w:val="00B3350D"/>
    <w:rsid w:val="00B33540"/>
    <w:rsid w:val="00B3367E"/>
    <w:rsid w:val="00B33D27"/>
    <w:rsid w:val="00B34185"/>
    <w:rsid w:val="00B34676"/>
    <w:rsid w:val="00B348AE"/>
    <w:rsid w:val="00B34BFE"/>
    <w:rsid w:val="00B355F5"/>
    <w:rsid w:val="00B35B88"/>
    <w:rsid w:val="00B35D01"/>
    <w:rsid w:val="00B361EE"/>
    <w:rsid w:val="00B366D8"/>
    <w:rsid w:val="00B3691F"/>
    <w:rsid w:val="00B36E50"/>
    <w:rsid w:val="00B3796F"/>
    <w:rsid w:val="00B379B3"/>
    <w:rsid w:val="00B40544"/>
    <w:rsid w:val="00B40A77"/>
    <w:rsid w:val="00B40C40"/>
    <w:rsid w:val="00B41589"/>
    <w:rsid w:val="00B41A95"/>
    <w:rsid w:val="00B41E22"/>
    <w:rsid w:val="00B41E53"/>
    <w:rsid w:val="00B42D6D"/>
    <w:rsid w:val="00B43284"/>
    <w:rsid w:val="00B43E53"/>
    <w:rsid w:val="00B4476F"/>
    <w:rsid w:val="00B46274"/>
    <w:rsid w:val="00B465C0"/>
    <w:rsid w:val="00B468B6"/>
    <w:rsid w:val="00B46900"/>
    <w:rsid w:val="00B46DCD"/>
    <w:rsid w:val="00B46F4E"/>
    <w:rsid w:val="00B473CE"/>
    <w:rsid w:val="00B47BF9"/>
    <w:rsid w:val="00B50004"/>
    <w:rsid w:val="00B50853"/>
    <w:rsid w:val="00B516EB"/>
    <w:rsid w:val="00B522A6"/>
    <w:rsid w:val="00B52708"/>
    <w:rsid w:val="00B52ADD"/>
    <w:rsid w:val="00B52FE3"/>
    <w:rsid w:val="00B53496"/>
    <w:rsid w:val="00B54834"/>
    <w:rsid w:val="00B54997"/>
    <w:rsid w:val="00B54D77"/>
    <w:rsid w:val="00B54FC6"/>
    <w:rsid w:val="00B556C9"/>
    <w:rsid w:val="00B5576C"/>
    <w:rsid w:val="00B55FCD"/>
    <w:rsid w:val="00B56268"/>
    <w:rsid w:val="00B56791"/>
    <w:rsid w:val="00B568B8"/>
    <w:rsid w:val="00B56EC3"/>
    <w:rsid w:val="00B573D7"/>
    <w:rsid w:val="00B601C0"/>
    <w:rsid w:val="00B60660"/>
    <w:rsid w:val="00B60C0C"/>
    <w:rsid w:val="00B60FE6"/>
    <w:rsid w:val="00B61AA6"/>
    <w:rsid w:val="00B61E93"/>
    <w:rsid w:val="00B6212D"/>
    <w:rsid w:val="00B62191"/>
    <w:rsid w:val="00B6235B"/>
    <w:rsid w:val="00B62E3D"/>
    <w:rsid w:val="00B63202"/>
    <w:rsid w:val="00B645C6"/>
    <w:rsid w:val="00B6465F"/>
    <w:rsid w:val="00B64664"/>
    <w:rsid w:val="00B653EF"/>
    <w:rsid w:val="00B6540B"/>
    <w:rsid w:val="00B659C8"/>
    <w:rsid w:val="00B664E5"/>
    <w:rsid w:val="00B6666D"/>
    <w:rsid w:val="00B668FC"/>
    <w:rsid w:val="00B66AD9"/>
    <w:rsid w:val="00B66ADE"/>
    <w:rsid w:val="00B673A2"/>
    <w:rsid w:val="00B67846"/>
    <w:rsid w:val="00B67B60"/>
    <w:rsid w:val="00B7014B"/>
    <w:rsid w:val="00B702F1"/>
    <w:rsid w:val="00B70E41"/>
    <w:rsid w:val="00B710ED"/>
    <w:rsid w:val="00B71624"/>
    <w:rsid w:val="00B71C38"/>
    <w:rsid w:val="00B721EE"/>
    <w:rsid w:val="00B7222B"/>
    <w:rsid w:val="00B724A2"/>
    <w:rsid w:val="00B7272A"/>
    <w:rsid w:val="00B72799"/>
    <w:rsid w:val="00B72802"/>
    <w:rsid w:val="00B72F10"/>
    <w:rsid w:val="00B7302E"/>
    <w:rsid w:val="00B74221"/>
    <w:rsid w:val="00B744C4"/>
    <w:rsid w:val="00B75AB4"/>
    <w:rsid w:val="00B76347"/>
    <w:rsid w:val="00B763AC"/>
    <w:rsid w:val="00B76790"/>
    <w:rsid w:val="00B769F5"/>
    <w:rsid w:val="00B77031"/>
    <w:rsid w:val="00B7781B"/>
    <w:rsid w:val="00B7799A"/>
    <w:rsid w:val="00B77DF5"/>
    <w:rsid w:val="00B77FED"/>
    <w:rsid w:val="00B80497"/>
    <w:rsid w:val="00B80B4C"/>
    <w:rsid w:val="00B81134"/>
    <w:rsid w:val="00B812FC"/>
    <w:rsid w:val="00B815AD"/>
    <w:rsid w:val="00B8184E"/>
    <w:rsid w:val="00B82B62"/>
    <w:rsid w:val="00B82F4A"/>
    <w:rsid w:val="00B834A8"/>
    <w:rsid w:val="00B8358D"/>
    <w:rsid w:val="00B84365"/>
    <w:rsid w:val="00B8471C"/>
    <w:rsid w:val="00B8495B"/>
    <w:rsid w:val="00B852A9"/>
    <w:rsid w:val="00B85BF7"/>
    <w:rsid w:val="00B860AF"/>
    <w:rsid w:val="00B863B4"/>
    <w:rsid w:val="00B86A33"/>
    <w:rsid w:val="00B9004D"/>
    <w:rsid w:val="00B90476"/>
    <w:rsid w:val="00B904A6"/>
    <w:rsid w:val="00B904D2"/>
    <w:rsid w:val="00B906EF"/>
    <w:rsid w:val="00B906F3"/>
    <w:rsid w:val="00B90891"/>
    <w:rsid w:val="00B90B0B"/>
    <w:rsid w:val="00B91B93"/>
    <w:rsid w:val="00B9207F"/>
    <w:rsid w:val="00B92822"/>
    <w:rsid w:val="00B92D0F"/>
    <w:rsid w:val="00B94155"/>
    <w:rsid w:val="00B94684"/>
    <w:rsid w:val="00B94BF1"/>
    <w:rsid w:val="00B94BF8"/>
    <w:rsid w:val="00B94E12"/>
    <w:rsid w:val="00B9507D"/>
    <w:rsid w:val="00B950CB"/>
    <w:rsid w:val="00B952D8"/>
    <w:rsid w:val="00B95726"/>
    <w:rsid w:val="00B95A00"/>
    <w:rsid w:val="00B95AC0"/>
    <w:rsid w:val="00B95F01"/>
    <w:rsid w:val="00B96763"/>
    <w:rsid w:val="00B96B5B"/>
    <w:rsid w:val="00B96E1D"/>
    <w:rsid w:val="00B9787D"/>
    <w:rsid w:val="00BA0157"/>
    <w:rsid w:val="00BA08C8"/>
    <w:rsid w:val="00BA09BF"/>
    <w:rsid w:val="00BA11EE"/>
    <w:rsid w:val="00BA177B"/>
    <w:rsid w:val="00BA2A37"/>
    <w:rsid w:val="00BA2D82"/>
    <w:rsid w:val="00BA4F2C"/>
    <w:rsid w:val="00BA556D"/>
    <w:rsid w:val="00BA57BF"/>
    <w:rsid w:val="00BA75D3"/>
    <w:rsid w:val="00BA7DA4"/>
    <w:rsid w:val="00BA7F29"/>
    <w:rsid w:val="00BB07EE"/>
    <w:rsid w:val="00BB0D9E"/>
    <w:rsid w:val="00BB171E"/>
    <w:rsid w:val="00BB2756"/>
    <w:rsid w:val="00BB2C40"/>
    <w:rsid w:val="00BB306C"/>
    <w:rsid w:val="00BB3347"/>
    <w:rsid w:val="00BB34F2"/>
    <w:rsid w:val="00BB35BA"/>
    <w:rsid w:val="00BB3986"/>
    <w:rsid w:val="00BB4123"/>
    <w:rsid w:val="00BB47F4"/>
    <w:rsid w:val="00BB4965"/>
    <w:rsid w:val="00BB4CCD"/>
    <w:rsid w:val="00BB5046"/>
    <w:rsid w:val="00BB52C0"/>
    <w:rsid w:val="00BB5342"/>
    <w:rsid w:val="00BB53F3"/>
    <w:rsid w:val="00BB5980"/>
    <w:rsid w:val="00BB5EAC"/>
    <w:rsid w:val="00BB69C2"/>
    <w:rsid w:val="00BB6B1C"/>
    <w:rsid w:val="00BC01E0"/>
    <w:rsid w:val="00BC0F43"/>
    <w:rsid w:val="00BC1078"/>
    <w:rsid w:val="00BC35BA"/>
    <w:rsid w:val="00BC3E91"/>
    <w:rsid w:val="00BC4024"/>
    <w:rsid w:val="00BC46D7"/>
    <w:rsid w:val="00BC4F3B"/>
    <w:rsid w:val="00BC4FB9"/>
    <w:rsid w:val="00BC4FEB"/>
    <w:rsid w:val="00BC6228"/>
    <w:rsid w:val="00BC6B40"/>
    <w:rsid w:val="00BC748D"/>
    <w:rsid w:val="00BC7929"/>
    <w:rsid w:val="00BC7A29"/>
    <w:rsid w:val="00BC7A55"/>
    <w:rsid w:val="00BC7A6A"/>
    <w:rsid w:val="00BC7EE1"/>
    <w:rsid w:val="00BD0867"/>
    <w:rsid w:val="00BD11AC"/>
    <w:rsid w:val="00BD1236"/>
    <w:rsid w:val="00BD142F"/>
    <w:rsid w:val="00BD1AE8"/>
    <w:rsid w:val="00BD1D01"/>
    <w:rsid w:val="00BD22C7"/>
    <w:rsid w:val="00BD244D"/>
    <w:rsid w:val="00BD24AA"/>
    <w:rsid w:val="00BD25F8"/>
    <w:rsid w:val="00BD2B01"/>
    <w:rsid w:val="00BD2C67"/>
    <w:rsid w:val="00BD2CE0"/>
    <w:rsid w:val="00BD2E18"/>
    <w:rsid w:val="00BD336E"/>
    <w:rsid w:val="00BD3576"/>
    <w:rsid w:val="00BD366A"/>
    <w:rsid w:val="00BD3F36"/>
    <w:rsid w:val="00BD43BB"/>
    <w:rsid w:val="00BD4F26"/>
    <w:rsid w:val="00BD579F"/>
    <w:rsid w:val="00BD6DCE"/>
    <w:rsid w:val="00BD71E8"/>
    <w:rsid w:val="00BD7502"/>
    <w:rsid w:val="00BD77B5"/>
    <w:rsid w:val="00BD7D4A"/>
    <w:rsid w:val="00BE3B4B"/>
    <w:rsid w:val="00BE3C59"/>
    <w:rsid w:val="00BE41BF"/>
    <w:rsid w:val="00BE4405"/>
    <w:rsid w:val="00BE486B"/>
    <w:rsid w:val="00BE55A3"/>
    <w:rsid w:val="00BE5B93"/>
    <w:rsid w:val="00BE5D13"/>
    <w:rsid w:val="00BE60EC"/>
    <w:rsid w:val="00BE6D93"/>
    <w:rsid w:val="00BE6D9B"/>
    <w:rsid w:val="00BE6E1E"/>
    <w:rsid w:val="00BF027A"/>
    <w:rsid w:val="00BF031D"/>
    <w:rsid w:val="00BF13C6"/>
    <w:rsid w:val="00BF1515"/>
    <w:rsid w:val="00BF234A"/>
    <w:rsid w:val="00BF235A"/>
    <w:rsid w:val="00BF2737"/>
    <w:rsid w:val="00BF2C7C"/>
    <w:rsid w:val="00BF30BD"/>
    <w:rsid w:val="00BF39CD"/>
    <w:rsid w:val="00BF465F"/>
    <w:rsid w:val="00BF475E"/>
    <w:rsid w:val="00BF47A3"/>
    <w:rsid w:val="00BF4C35"/>
    <w:rsid w:val="00BF4D4E"/>
    <w:rsid w:val="00BF5227"/>
    <w:rsid w:val="00BF5333"/>
    <w:rsid w:val="00BF631E"/>
    <w:rsid w:val="00BF64B4"/>
    <w:rsid w:val="00BF68A3"/>
    <w:rsid w:val="00BF6AFF"/>
    <w:rsid w:val="00BF7169"/>
    <w:rsid w:val="00BF7227"/>
    <w:rsid w:val="00BF7371"/>
    <w:rsid w:val="00BF7577"/>
    <w:rsid w:val="00BF77CF"/>
    <w:rsid w:val="00BF7DBF"/>
    <w:rsid w:val="00C00252"/>
    <w:rsid w:val="00C002D1"/>
    <w:rsid w:val="00C00602"/>
    <w:rsid w:val="00C00896"/>
    <w:rsid w:val="00C014CA"/>
    <w:rsid w:val="00C01AA9"/>
    <w:rsid w:val="00C01BC8"/>
    <w:rsid w:val="00C02027"/>
    <w:rsid w:val="00C02167"/>
    <w:rsid w:val="00C02407"/>
    <w:rsid w:val="00C02E63"/>
    <w:rsid w:val="00C034C5"/>
    <w:rsid w:val="00C039B6"/>
    <w:rsid w:val="00C03A96"/>
    <w:rsid w:val="00C03D48"/>
    <w:rsid w:val="00C040F6"/>
    <w:rsid w:val="00C042E9"/>
    <w:rsid w:val="00C0499F"/>
    <w:rsid w:val="00C04A09"/>
    <w:rsid w:val="00C04BA7"/>
    <w:rsid w:val="00C04C8F"/>
    <w:rsid w:val="00C055D3"/>
    <w:rsid w:val="00C05FCD"/>
    <w:rsid w:val="00C063F9"/>
    <w:rsid w:val="00C078DC"/>
    <w:rsid w:val="00C07A79"/>
    <w:rsid w:val="00C10378"/>
    <w:rsid w:val="00C10AD5"/>
    <w:rsid w:val="00C10BA9"/>
    <w:rsid w:val="00C111B0"/>
    <w:rsid w:val="00C114A6"/>
    <w:rsid w:val="00C1164A"/>
    <w:rsid w:val="00C14421"/>
    <w:rsid w:val="00C1497A"/>
    <w:rsid w:val="00C14B36"/>
    <w:rsid w:val="00C14E57"/>
    <w:rsid w:val="00C14F71"/>
    <w:rsid w:val="00C14F93"/>
    <w:rsid w:val="00C1589D"/>
    <w:rsid w:val="00C15A43"/>
    <w:rsid w:val="00C15BA5"/>
    <w:rsid w:val="00C15D34"/>
    <w:rsid w:val="00C161A6"/>
    <w:rsid w:val="00C16270"/>
    <w:rsid w:val="00C1685E"/>
    <w:rsid w:val="00C16D17"/>
    <w:rsid w:val="00C17755"/>
    <w:rsid w:val="00C179C7"/>
    <w:rsid w:val="00C17AEC"/>
    <w:rsid w:val="00C17DE1"/>
    <w:rsid w:val="00C20047"/>
    <w:rsid w:val="00C20108"/>
    <w:rsid w:val="00C201E5"/>
    <w:rsid w:val="00C2026A"/>
    <w:rsid w:val="00C20657"/>
    <w:rsid w:val="00C21247"/>
    <w:rsid w:val="00C2155D"/>
    <w:rsid w:val="00C22BF0"/>
    <w:rsid w:val="00C22C7F"/>
    <w:rsid w:val="00C23080"/>
    <w:rsid w:val="00C23C70"/>
    <w:rsid w:val="00C24384"/>
    <w:rsid w:val="00C2454D"/>
    <w:rsid w:val="00C2494D"/>
    <w:rsid w:val="00C24DA5"/>
    <w:rsid w:val="00C25102"/>
    <w:rsid w:val="00C254AC"/>
    <w:rsid w:val="00C25E0A"/>
    <w:rsid w:val="00C25E16"/>
    <w:rsid w:val="00C25E44"/>
    <w:rsid w:val="00C2649D"/>
    <w:rsid w:val="00C26716"/>
    <w:rsid w:val="00C26FEA"/>
    <w:rsid w:val="00C27365"/>
    <w:rsid w:val="00C27FC2"/>
    <w:rsid w:val="00C30297"/>
    <w:rsid w:val="00C306D3"/>
    <w:rsid w:val="00C30950"/>
    <w:rsid w:val="00C3150E"/>
    <w:rsid w:val="00C3167D"/>
    <w:rsid w:val="00C31ECD"/>
    <w:rsid w:val="00C31F83"/>
    <w:rsid w:val="00C31F89"/>
    <w:rsid w:val="00C32476"/>
    <w:rsid w:val="00C32688"/>
    <w:rsid w:val="00C32FA2"/>
    <w:rsid w:val="00C330F5"/>
    <w:rsid w:val="00C33129"/>
    <w:rsid w:val="00C3369E"/>
    <w:rsid w:val="00C33779"/>
    <w:rsid w:val="00C33B8B"/>
    <w:rsid w:val="00C33CD8"/>
    <w:rsid w:val="00C3520A"/>
    <w:rsid w:val="00C35249"/>
    <w:rsid w:val="00C35364"/>
    <w:rsid w:val="00C358E7"/>
    <w:rsid w:val="00C35B4D"/>
    <w:rsid w:val="00C36140"/>
    <w:rsid w:val="00C36195"/>
    <w:rsid w:val="00C364AA"/>
    <w:rsid w:val="00C364B1"/>
    <w:rsid w:val="00C36785"/>
    <w:rsid w:val="00C3683A"/>
    <w:rsid w:val="00C3702F"/>
    <w:rsid w:val="00C3742A"/>
    <w:rsid w:val="00C37760"/>
    <w:rsid w:val="00C37894"/>
    <w:rsid w:val="00C37919"/>
    <w:rsid w:val="00C37BE6"/>
    <w:rsid w:val="00C37D60"/>
    <w:rsid w:val="00C403D4"/>
    <w:rsid w:val="00C40785"/>
    <w:rsid w:val="00C40BCE"/>
    <w:rsid w:val="00C40FD2"/>
    <w:rsid w:val="00C41457"/>
    <w:rsid w:val="00C415BB"/>
    <w:rsid w:val="00C42CB1"/>
    <w:rsid w:val="00C43004"/>
    <w:rsid w:val="00C43B09"/>
    <w:rsid w:val="00C451F4"/>
    <w:rsid w:val="00C452FA"/>
    <w:rsid w:val="00C454B0"/>
    <w:rsid w:val="00C459B3"/>
    <w:rsid w:val="00C45FE0"/>
    <w:rsid w:val="00C46055"/>
    <w:rsid w:val="00C46609"/>
    <w:rsid w:val="00C473E8"/>
    <w:rsid w:val="00C47C9A"/>
    <w:rsid w:val="00C502FE"/>
    <w:rsid w:val="00C506C7"/>
    <w:rsid w:val="00C507EF"/>
    <w:rsid w:val="00C50C68"/>
    <w:rsid w:val="00C51C18"/>
    <w:rsid w:val="00C522D4"/>
    <w:rsid w:val="00C52C85"/>
    <w:rsid w:val="00C533A4"/>
    <w:rsid w:val="00C533ED"/>
    <w:rsid w:val="00C53A56"/>
    <w:rsid w:val="00C54621"/>
    <w:rsid w:val="00C551CF"/>
    <w:rsid w:val="00C556FF"/>
    <w:rsid w:val="00C55714"/>
    <w:rsid w:val="00C55F44"/>
    <w:rsid w:val="00C55FCC"/>
    <w:rsid w:val="00C5617A"/>
    <w:rsid w:val="00C56FC0"/>
    <w:rsid w:val="00C5707E"/>
    <w:rsid w:val="00C5712A"/>
    <w:rsid w:val="00C60734"/>
    <w:rsid w:val="00C60A65"/>
    <w:rsid w:val="00C61F60"/>
    <w:rsid w:val="00C623DD"/>
    <w:rsid w:val="00C62676"/>
    <w:rsid w:val="00C631CB"/>
    <w:rsid w:val="00C63629"/>
    <w:rsid w:val="00C63672"/>
    <w:rsid w:val="00C637BD"/>
    <w:rsid w:val="00C63CA7"/>
    <w:rsid w:val="00C63FF2"/>
    <w:rsid w:val="00C641C7"/>
    <w:rsid w:val="00C64928"/>
    <w:rsid w:val="00C64B81"/>
    <w:rsid w:val="00C65279"/>
    <w:rsid w:val="00C652EF"/>
    <w:rsid w:val="00C656BB"/>
    <w:rsid w:val="00C658E5"/>
    <w:rsid w:val="00C65999"/>
    <w:rsid w:val="00C65DCE"/>
    <w:rsid w:val="00C65E55"/>
    <w:rsid w:val="00C666E7"/>
    <w:rsid w:val="00C67534"/>
    <w:rsid w:val="00C67C4C"/>
    <w:rsid w:val="00C70105"/>
    <w:rsid w:val="00C7044A"/>
    <w:rsid w:val="00C70844"/>
    <w:rsid w:val="00C70934"/>
    <w:rsid w:val="00C70B77"/>
    <w:rsid w:val="00C70C5F"/>
    <w:rsid w:val="00C715D9"/>
    <w:rsid w:val="00C71F4C"/>
    <w:rsid w:val="00C720DD"/>
    <w:rsid w:val="00C720FD"/>
    <w:rsid w:val="00C733A9"/>
    <w:rsid w:val="00C73CC5"/>
    <w:rsid w:val="00C74237"/>
    <w:rsid w:val="00C745BE"/>
    <w:rsid w:val="00C754D2"/>
    <w:rsid w:val="00C762A9"/>
    <w:rsid w:val="00C7633E"/>
    <w:rsid w:val="00C76F04"/>
    <w:rsid w:val="00C7732A"/>
    <w:rsid w:val="00C77368"/>
    <w:rsid w:val="00C77D1F"/>
    <w:rsid w:val="00C80242"/>
    <w:rsid w:val="00C8080C"/>
    <w:rsid w:val="00C808F0"/>
    <w:rsid w:val="00C80D76"/>
    <w:rsid w:val="00C81406"/>
    <w:rsid w:val="00C81536"/>
    <w:rsid w:val="00C815D4"/>
    <w:rsid w:val="00C819BB"/>
    <w:rsid w:val="00C81DE9"/>
    <w:rsid w:val="00C82061"/>
    <w:rsid w:val="00C82637"/>
    <w:rsid w:val="00C83149"/>
    <w:rsid w:val="00C84CA1"/>
    <w:rsid w:val="00C85AEA"/>
    <w:rsid w:val="00C86A50"/>
    <w:rsid w:val="00C86A6B"/>
    <w:rsid w:val="00C86CEF"/>
    <w:rsid w:val="00C86F9E"/>
    <w:rsid w:val="00C87919"/>
    <w:rsid w:val="00C9006B"/>
    <w:rsid w:val="00C904DA"/>
    <w:rsid w:val="00C90569"/>
    <w:rsid w:val="00C90646"/>
    <w:rsid w:val="00C906D1"/>
    <w:rsid w:val="00C90C1D"/>
    <w:rsid w:val="00C90E52"/>
    <w:rsid w:val="00C90F65"/>
    <w:rsid w:val="00C91181"/>
    <w:rsid w:val="00C91452"/>
    <w:rsid w:val="00C91DC6"/>
    <w:rsid w:val="00C92077"/>
    <w:rsid w:val="00C922F7"/>
    <w:rsid w:val="00C92DFA"/>
    <w:rsid w:val="00C92F28"/>
    <w:rsid w:val="00C9328D"/>
    <w:rsid w:val="00C93343"/>
    <w:rsid w:val="00C93CC4"/>
    <w:rsid w:val="00C9419C"/>
    <w:rsid w:val="00C94AAF"/>
    <w:rsid w:val="00C95270"/>
    <w:rsid w:val="00C9566D"/>
    <w:rsid w:val="00C957C3"/>
    <w:rsid w:val="00C95AA8"/>
    <w:rsid w:val="00C95FC8"/>
    <w:rsid w:val="00C96086"/>
    <w:rsid w:val="00C96739"/>
    <w:rsid w:val="00C968A0"/>
    <w:rsid w:val="00C96D49"/>
    <w:rsid w:val="00C96E99"/>
    <w:rsid w:val="00C97032"/>
    <w:rsid w:val="00C97217"/>
    <w:rsid w:val="00C979C0"/>
    <w:rsid w:val="00C97B4D"/>
    <w:rsid w:val="00CA020C"/>
    <w:rsid w:val="00CA17A0"/>
    <w:rsid w:val="00CA1E67"/>
    <w:rsid w:val="00CA20F7"/>
    <w:rsid w:val="00CA221A"/>
    <w:rsid w:val="00CA26B5"/>
    <w:rsid w:val="00CA2B56"/>
    <w:rsid w:val="00CA2F04"/>
    <w:rsid w:val="00CA4B65"/>
    <w:rsid w:val="00CA617C"/>
    <w:rsid w:val="00CA671B"/>
    <w:rsid w:val="00CA6E04"/>
    <w:rsid w:val="00CA7423"/>
    <w:rsid w:val="00CA7D43"/>
    <w:rsid w:val="00CA7DBC"/>
    <w:rsid w:val="00CA7F5C"/>
    <w:rsid w:val="00CB050A"/>
    <w:rsid w:val="00CB0C57"/>
    <w:rsid w:val="00CB1258"/>
    <w:rsid w:val="00CB1524"/>
    <w:rsid w:val="00CB1636"/>
    <w:rsid w:val="00CB1C0B"/>
    <w:rsid w:val="00CB1DFC"/>
    <w:rsid w:val="00CB1F6F"/>
    <w:rsid w:val="00CB2F4B"/>
    <w:rsid w:val="00CB3A37"/>
    <w:rsid w:val="00CB3ABC"/>
    <w:rsid w:val="00CB3ABF"/>
    <w:rsid w:val="00CB5B7E"/>
    <w:rsid w:val="00CB65F5"/>
    <w:rsid w:val="00CB6E35"/>
    <w:rsid w:val="00CB6F8E"/>
    <w:rsid w:val="00CB7A50"/>
    <w:rsid w:val="00CB7B42"/>
    <w:rsid w:val="00CB7F80"/>
    <w:rsid w:val="00CC0073"/>
    <w:rsid w:val="00CC074A"/>
    <w:rsid w:val="00CC0D98"/>
    <w:rsid w:val="00CC1663"/>
    <w:rsid w:val="00CC1896"/>
    <w:rsid w:val="00CC1A96"/>
    <w:rsid w:val="00CC2ECD"/>
    <w:rsid w:val="00CC3042"/>
    <w:rsid w:val="00CC34A1"/>
    <w:rsid w:val="00CC3746"/>
    <w:rsid w:val="00CC3C8A"/>
    <w:rsid w:val="00CC3EE3"/>
    <w:rsid w:val="00CC4AF8"/>
    <w:rsid w:val="00CC51D6"/>
    <w:rsid w:val="00CC57E2"/>
    <w:rsid w:val="00CC61C3"/>
    <w:rsid w:val="00CC66ED"/>
    <w:rsid w:val="00CC69C6"/>
    <w:rsid w:val="00CC6ABF"/>
    <w:rsid w:val="00CC6B56"/>
    <w:rsid w:val="00CC6BDD"/>
    <w:rsid w:val="00CC6DE8"/>
    <w:rsid w:val="00CC6E1B"/>
    <w:rsid w:val="00CC702F"/>
    <w:rsid w:val="00CC7D65"/>
    <w:rsid w:val="00CD00CF"/>
    <w:rsid w:val="00CD06C9"/>
    <w:rsid w:val="00CD0ED6"/>
    <w:rsid w:val="00CD0FB8"/>
    <w:rsid w:val="00CD1080"/>
    <w:rsid w:val="00CD19BD"/>
    <w:rsid w:val="00CD1F00"/>
    <w:rsid w:val="00CD2576"/>
    <w:rsid w:val="00CD2818"/>
    <w:rsid w:val="00CD2B1D"/>
    <w:rsid w:val="00CD2E91"/>
    <w:rsid w:val="00CD365E"/>
    <w:rsid w:val="00CD3C65"/>
    <w:rsid w:val="00CD4959"/>
    <w:rsid w:val="00CD49C4"/>
    <w:rsid w:val="00CD4A69"/>
    <w:rsid w:val="00CD4D45"/>
    <w:rsid w:val="00CD60ED"/>
    <w:rsid w:val="00CD610E"/>
    <w:rsid w:val="00CD729A"/>
    <w:rsid w:val="00CE0009"/>
    <w:rsid w:val="00CE0664"/>
    <w:rsid w:val="00CE096D"/>
    <w:rsid w:val="00CE0973"/>
    <w:rsid w:val="00CE1247"/>
    <w:rsid w:val="00CE1303"/>
    <w:rsid w:val="00CE1473"/>
    <w:rsid w:val="00CE1803"/>
    <w:rsid w:val="00CE2058"/>
    <w:rsid w:val="00CE2FD6"/>
    <w:rsid w:val="00CE331C"/>
    <w:rsid w:val="00CE338A"/>
    <w:rsid w:val="00CE397A"/>
    <w:rsid w:val="00CE3B5B"/>
    <w:rsid w:val="00CE3C46"/>
    <w:rsid w:val="00CE3F1C"/>
    <w:rsid w:val="00CE4205"/>
    <w:rsid w:val="00CE4C2B"/>
    <w:rsid w:val="00CE4EB6"/>
    <w:rsid w:val="00CE4F69"/>
    <w:rsid w:val="00CE5168"/>
    <w:rsid w:val="00CE528D"/>
    <w:rsid w:val="00CE55B4"/>
    <w:rsid w:val="00CE5B04"/>
    <w:rsid w:val="00CE5CD7"/>
    <w:rsid w:val="00CE5F1F"/>
    <w:rsid w:val="00CE60DF"/>
    <w:rsid w:val="00CE621F"/>
    <w:rsid w:val="00CE632B"/>
    <w:rsid w:val="00CE65C1"/>
    <w:rsid w:val="00CE70F8"/>
    <w:rsid w:val="00CE72C8"/>
    <w:rsid w:val="00CE78BB"/>
    <w:rsid w:val="00CE7BB0"/>
    <w:rsid w:val="00CF10CD"/>
    <w:rsid w:val="00CF16CD"/>
    <w:rsid w:val="00CF1F0B"/>
    <w:rsid w:val="00CF287E"/>
    <w:rsid w:val="00CF298F"/>
    <w:rsid w:val="00CF2D84"/>
    <w:rsid w:val="00CF32E9"/>
    <w:rsid w:val="00CF3562"/>
    <w:rsid w:val="00CF3845"/>
    <w:rsid w:val="00CF3DBB"/>
    <w:rsid w:val="00CF449A"/>
    <w:rsid w:val="00CF44E5"/>
    <w:rsid w:val="00CF4538"/>
    <w:rsid w:val="00CF460C"/>
    <w:rsid w:val="00CF4717"/>
    <w:rsid w:val="00CF4D8A"/>
    <w:rsid w:val="00CF57A4"/>
    <w:rsid w:val="00CF584B"/>
    <w:rsid w:val="00CF5A2A"/>
    <w:rsid w:val="00CF6AF7"/>
    <w:rsid w:val="00CF7040"/>
    <w:rsid w:val="00CF7689"/>
    <w:rsid w:val="00CF7925"/>
    <w:rsid w:val="00CF7ACC"/>
    <w:rsid w:val="00CF7CB0"/>
    <w:rsid w:val="00D000C7"/>
    <w:rsid w:val="00D03D6B"/>
    <w:rsid w:val="00D042BC"/>
    <w:rsid w:val="00D042E5"/>
    <w:rsid w:val="00D0476C"/>
    <w:rsid w:val="00D04D5F"/>
    <w:rsid w:val="00D04E51"/>
    <w:rsid w:val="00D04FA9"/>
    <w:rsid w:val="00D051BF"/>
    <w:rsid w:val="00D05D15"/>
    <w:rsid w:val="00D063D0"/>
    <w:rsid w:val="00D067F7"/>
    <w:rsid w:val="00D06B56"/>
    <w:rsid w:val="00D07F85"/>
    <w:rsid w:val="00D10621"/>
    <w:rsid w:val="00D10C77"/>
    <w:rsid w:val="00D1109E"/>
    <w:rsid w:val="00D11E25"/>
    <w:rsid w:val="00D11FE5"/>
    <w:rsid w:val="00D12B9A"/>
    <w:rsid w:val="00D1385D"/>
    <w:rsid w:val="00D1392D"/>
    <w:rsid w:val="00D13D90"/>
    <w:rsid w:val="00D1404A"/>
    <w:rsid w:val="00D1505F"/>
    <w:rsid w:val="00D15070"/>
    <w:rsid w:val="00D15602"/>
    <w:rsid w:val="00D15687"/>
    <w:rsid w:val="00D1570A"/>
    <w:rsid w:val="00D159F4"/>
    <w:rsid w:val="00D15C80"/>
    <w:rsid w:val="00D161C0"/>
    <w:rsid w:val="00D16248"/>
    <w:rsid w:val="00D17560"/>
    <w:rsid w:val="00D203AA"/>
    <w:rsid w:val="00D20467"/>
    <w:rsid w:val="00D20834"/>
    <w:rsid w:val="00D209E9"/>
    <w:rsid w:val="00D20E5A"/>
    <w:rsid w:val="00D20F50"/>
    <w:rsid w:val="00D21582"/>
    <w:rsid w:val="00D21AC6"/>
    <w:rsid w:val="00D21F0B"/>
    <w:rsid w:val="00D21F1E"/>
    <w:rsid w:val="00D22751"/>
    <w:rsid w:val="00D227D5"/>
    <w:rsid w:val="00D22BD9"/>
    <w:rsid w:val="00D22FBF"/>
    <w:rsid w:val="00D23150"/>
    <w:rsid w:val="00D238FE"/>
    <w:rsid w:val="00D24B5B"/>
    <w:rsid w:val="00D24C7E"/>
    <w:rsid w:val="00D25E79"/>
    <w:rsid w:val="00D26067"/>
    <w:rsid w:val="00D26068"/>
    <w:rsid w:val="00D262D9"/>
    <w:rsid w:val="00D2664F"/>
    <w:rsid w:val="00D271BB"/>
    <w:rsid w:val="00D27826"/>
    <w:rsid w:val="00D27A56"/>
    <w:rsid w:val="00D30643"/>
    <w:rsid w:val="00D3076E"/>
    <w:rsid w:val="00D315F3"/>
    <w:rsid w:val="00D31836"/>
    <w:rsid w:val="00D31C9A"/>
    <w:rsid w:val="00D3321A"/>
    <w:rsid w:val="00D33D5D"/>
    <w:rsid w:val="00D34207"/>
    <w:rsid w:val="00D34334"/>
    <w:rsid w:val="00D34FAF"/>
    <w:rsid w:val="00D34FFA"/>
    <w:rsid w:val="00D36078"/>
    <w:rsid w:val="00D360E3"/>
    <w:rsid w:val="00D3629E"/>
    <w:rsid w:val="00D36910"/>
    <w:rsid w:val="00D36C7F"/>
    <w:rsid w:val="00D37303"/>
    <w:rsid w:val="00D37B10"/>
    <w:rsid w:val="00D37B58"/>
    <w:rsid w:val="00D405EA"/>
    <w:rsid w:val="00D4170F"/>
    <w:rsid w:val="00D41B37"/>
    <w:rsid w:val="00D41C52"/>
    <w:rsid w:val="00D4243B"/>
    <w:rsid w:val="00D428C9"/>
    <w:rsid w:val="00D42A7B"/>
    <w:rsid w:val="00D42CEC"/>
    <w:rsid w:val="00D43592"/>
    <w:rsid w:val="00D44038"/>
    <w:rsid w:val="00D45106"/>
    <w:rsid w:val="00D453B4"/>
    <w:rsid w:val="00D45EB7"/>
    <w:rsid w:val="00D45FF6"/>
    <w:rsid w:val="00D46262"/>
    <w:rsid w:val="00D47172"/>
    <w:rsid w:val="00D47CC6"/>
    <w:rsid w:val="00D506E4"/>
    <w:rsid w:val="00D5079F"/>
    <w:rsid w:val="00D50AAB"/>
    <w:rsid w:val="00D50AF3"/>
    <w:rsid w:val="00D51FBD"/>
    <w:rsid w:val="00D5219B"/>
    <w:rsid w:val="00D52886"/>
    <w:rsid w:val="00D5319B"/>
    <w:rsid w:val="00D5432D"/>
    <w:rsid w:val="00D549D7"/>
    <w:rsid w:val="00D54B75"/>
    <w:rsid w:val="00D54BFD"/>
    <w:rsid w:val="00D54FAE"/>
    <w:rsid w:val="00D55A1F"/>
    <w:rsid w:val="00D55E0F"/>
    <w:rsid w:val="00D55EFA"/>
    <w:rsid w:val="00D56473"/>
    <w:rsid w:val="00D5655C"/>
    <w:rsid w:val="00D56BC0"/>
    <w:rsid w:val="00D56F30"/>
    <w:rsid w:val="00D57097"/>
    <w:rsid w:val="00D57100"/>
    <w:rsid w:val="00D57228"/>
    <w:rsid w:val="00D5728C"/>
    <w:rsid w:val="00D6035D"/>
    <w:rsid w:val="00D61051"/>
    <w:rsid w:val="00D62185"/>
    <w:rsid w:val="00D62190"/>
    <w:rsid w:val="00D623FE"/>
    <w:rsid w:val="00D62581"/>
    <w:rsid w:val="00D62724"/>
    <w:rsid w:val="00D6274C"/>
    <w:rsid w:val="00D62C37"/>
    <w:rsid w:val="00D63338"/>
    <w:rsid w:val="00D6385D"/>
    <w:rsid w:val="00D638C3"/>
    <w:rsid w:val="00D63A55"/>
    <w:rsid w:val="00D63F36"/>
    <w:rsid w:val="00D6417C"/>
    <w:rsid w:val="00D6481B"/>
    <w:rsid w:val="00D64D4D"/>
    <w:rsid w:val="00D656ED"/>
    <w:rsid w:val="00D65890"/>
    <w:rsid w:val="00D665FD"/>
    <w:rsid w:val="00D6698A"/>
    <w:rsid w:val="00D67820"/>
    <w:rsid w:val="00D67A3C"/>
    <w:rsid w:val="00D67EFA"/>
    <w:rsid w:val="00D703DE"/>
    <w:rsid w:val="00D704A0"/>
    <w:rsid w:val="00D704AC"/>
    <w:rsid w:val="00D70819"/>
    <w:rsid w:val="00D70B45"/>
    <w:rsid w:val="00D70D74"/>
    <w:rsid w:val="00D717A6"/>
    <w:rsid w:val="00D71E7C"/>
    <w:rsid w:val="00D71F2F"/>
    <w:rsid w:val="00D72639"/>
    <w:rsid w:val="00D72665"/>
    <w:rsid w:val="00D72A8B"/>
    <w:rsid w:val="00D72D1E"/>
    <w:rsid w:val="00D73B64"/>
    <w:rsid w:val="00D75043"/>
    <w:rsid w:val="00D75483"/>
    <w:rsid w:val="00D75C44"/>
    <w:rsid w:val="00D7637C"/>
    <w:rsid w:val="00D76626"/>
    <w:rsid w:val="00D76F6F"/>
    <w:rsid w:val="00D778B8"/>
    <w:rsid w:val="00D8001D"/>
    <w:rsid w:val="00D801A6"/>
    <w:rsid w:val="00D8030B"/>
    <w:rsid w:val="00D80501"/>
    <w:rsid w:val="00D80583"/>
    <w:rsid w:val="00D80874"/>
    <w:rsid w:val="00D80DD1"/>
    <w:rsid w:val="00D8158E"/>
    <w:rsid w:val="00D81685"/>
    <w:rsid w:val="00D81A5A"/>
    <w:rsid w:val="00D823A3"/>
    <w:rsid w:val="00D82A3C"/>
    <w:rsid w:val="00D83E72"/>
    <w:rsid w:val="00D83EB2"/>
    <w:rsid w:val="00D843EF"/>
    <w:rsid w:val="00D84514"/>
    <w:rsid w:val="00D84833"/>
    <w:rsid w:val="00D84F1F"/>
    <w:rsid w:val="00D85285"/>
    <w:rsid w:val="00D859B7"/>
    <w:rsid w:val="00D85BFE"/>
    <w:rsid w:val="00D85DE2"/>
    <w:rsid w:val="00D86C85"/>
    <w:rsid w:val="00D87471"/>
    <w:rsid w:val="00D874ED"/>
    <w:rsid w:val="00D87BC5"/>
    <w:rsid w:val="00D9050F"/>
    <w:rsid w:val="00D90E3B"/>
    <w:rsid w:val="00D9117F"/>
    <w:rsid w:val="00D9246A"/>
    <w:rsid w:val="00D92F85"/>
    <w:rsid w:val="00D951F3"/>
    <w:rsid w:val="00D95460"/>
    <w:rsid w:val="00D9610B"/>
    <w:rsid w:val="00D966E7"/>
    <w:rsid w:val="00D96A61"/>
    <w:rsid w:val="00D970C0"/>
    <w:rsid w:val="00D97842"/>
    <w:rsid w:val="00D97BD9"/>
    <w:rsid w:val="00DA02A1"/>
    <w:rsid w:val="00DA0D89"/>
    <w:rsid w:val="00DA1643"/>
    <w:rsid w:val="00DA1D98"/>
    <w:rsid w:val="00DA1E5C"/>
    <w:rsid w:val="00DA265E"/>
    <w:rsid w:val="00DA26AA"/>
    <w:rsid w:val="00DA2AFA"/>
    <w:rsid w:val="00DA2B7E"/>
    <w:rsid w:val="00DA2CE8"/>
    <w:rsid w:val="00DA373B"/>
    <w:rsid w:val="00DA382F"/>
    <w:rsid w:val="00DA4144"/>
    <w:rsid w:val="00DA4773"/>
    <w:rsid w:val="00DA47A0"/>
    <w:rsid w:val="00DA48BE"/>
    <w:rsid w:val="00DA5001"/>
    <w:rsid w:val="00DA51FF"/>
    <w:rsid w:val="00DA5584"/>
    <w:rsid w:val="00DA5F16"/>
    <w:rsid w:val="00DA64CC"/>
    <w:rsid w:val="00DA6B61"/>
    <w:rsid w:val="00DA7667"/>
    <w:rsid w:val="00DA77D2"/>
    <w:rsid w:val="00DA7826"/>
    <w:rsid w:val="00DB00B0"/>
    <w:rsid w:val="00DB2098"/>
    <w:rsid w:val="00DB24D0"/>
    <w:rsid w:val="00DB294B"/>
    <w:rsid w:val="00DB2A07"/>
    <w:rsid w:val="00DB2B33"/>
    <w:rsid w:val="00DB2BD5"/>
    <w:rsid w:val="00DB2C0C"/>
    <w:rsid w:val="00DB2C53"/>
    <w:rsid w:val="00DB37D1"/>
    <w:rsid w:val="00DB38EE"/>
    <w:rsid w:val="00DB3B38"/>
    <w:rsid w:val="00DB414D"/>
    <w:rsid w:val="00DB45C4"/>
    <w:rsid w:val="00DB48F9"/>
    <w:rsid w:val="00DB51B6"/>
    <w:rsid w:val="00DB5818"/>
    <w:rsid w:val="00DB5E9A"/>
    <w:rsid w:val="00DB6174"/>
    <w:rsid w:val="00DB6633"/>
    <w:rsid w:val="00DB678F"/>
    <w:rsid w:val="00DB6C4D"/>
    <w:rsid w:val="00DB6EA5"/>
    <w:rsid w:val="00DB6F39"/>
    <w:rsid w:val="00DB797B"/>
    <w:rsid w:val="00DC0B65"/>
    <w:rsid w:val="00DC1E93"/>
    <w:rsid w:val="00DC273D"/>
    <w:rsid w:val="00DC290A"/>
    <w:rsid w:val="00DC2B1C"/>
    <w:rsid w:val="00DC2BF6"/>
    <w:rsid w:val="00DC2FEF"/>
    <w:rsid w:val="00DC30BC"/>
    <w:rsid w:val="00DC39C6"/>
    <w:rsid w:val="00DC39E3"/>
    <w:rsid w:val="00DC3DD2"/>
    <w:rsid w:val="00DC42D4"/>
    <w:rsid w:val="00DC45A6"/>
    <w:rsid w:val="00DC4A14"/>
    <w:rsid w:val="00DC4ADD"/>
    <w:rsid w:val="00DC515B"/>
    <w:rsid w:val="00DC572F"/>
    <w:rsid w:val="00DC5986"/>
    <w:rsid w:val="00DC6068"/>
    <w:rsid w:val="00DC6293"/>
    <w:rsid w:val="00DC6326"/>
    <w:rsid w:val="00DC63B3"/>
    <w:rsid w:val="00DC69A9"/>
    <w:rsid w:val="00DC6B31"/>
    <w:rsid w:val="00DC6D11"/>
    <w:rsid w:val="00DC6FB4"/>
    <w:rsid w:val="00DC7255"/>
    <w:rsid w:val="00DC72AA"/>
    <w:rsid w:val="00DC7CBA"/>
    <w:rsid w:val="00DC7D35"/>
    <w:rsid w:val="00DD1C03"/>
    <w:rsid w:val="00DD1F98"/>
    <w:rsid w:val="00DD2037"/>
    <w:rsid w:val="00DD2279"/>
    <w:rsid w:val="00DD28EA"/>
    <w:rsid w:val="00DD2C82"/>
    <w:rsid w:val="00DD3480"/>
    <w:rsid w:val="00DD3952"/>
    <w:rsid w:val="00DD3CC6"/>
    <w:rsid w:val="00DD3E4A"/>
    <w:rsid w:val="00DD4281"/>
    <w:rsid w:val="00DD5268"/>
    <w:rsid w:val="00DD5349"/>
    <w:rsid w:val="00DD5A66"/>
    <w:rsid w:val="00DD5A70"/>
    <w:rsid w:val="00DD607A"/>
    <w:rsid w:val="00DD618F"/>
    <w:rsid w:val="00DD6A86"/>
    <w:rsid w:val="00DD6C0B"/>
    <w:rsid w:val="00DD6D7F"/>
    <w:rsid w:val="00DD6F08"/>
    <w:rsid w:val="00DD719D"/>
    <w:rsid w:val="00DD74B7"/>
    <w:rsid w:val="00DD7B30"/>
    <w:rsid w:val="00DE0470"/>
    <w:rsid w:val="00DE1380"/>
    <w:rsid w:val="00DE1522"/>
    <w:rsid w:val="00DE1D94"/>
    <w:rsid w:val="00DE2C4E"/>
    <w:rsid w:val="00DE2DDD"/>
    <w:rsid w:val="00DE2F20"/>
    <w:rsid w:val="00DE326D"/>
    <w:rsid w:val="00DE3866"/>
    <w:rsid w:val="00DE38CA"/>
    <w:rsid w:val="00DE454D"/>
    <w:rsid w:val="00DE45BF"/>
    <w:rsid w:val="00DE559B"/>
    <w:rsid w:val="00DE57AB"/>
    <w:rsid w:val="00DE5A56"/>
    <w:rsid w:val="00DE5AF3"/>
    <w:rsid w:val="00DE5FEB"/>
    <w:rsid w:val="00DE6825"/>
    <w:rsid w:val="00DE6E08"/>
    <w:rsid w:val="00DE7081"/>
    <w:rsid w:val="00DE7495"/>
    <w:rsid w:val="00DE752E"/>
    <w:rsid w:val="00DE787E"/>
    <w:rsid w:val="00DE7B39"/>
    <w:rsid w:val="00DE7B89"/>
    <w:rsid w:val="00DE7DAA"/>
    <w:rsid w:val="00DF0ED0"/>
    <w:rsid w:val="00DF0F81"/>
    <w:rsid w:val="00DF243A"/>
    <w:rsid w:val="00DF2569"/>
    <w:rsid w:val="00DF2754"/>
    <w:rsid w:val="00DF2C36"/>
    <w:rsid w:val="00DF32E6"/>
    <w:rsid w:val="00DF3FA6"/>
    <w:rsid w:val="00DF422C"/>
    <w:rsid w:val="00DF4293"/>
    <w:rsid w:val="00DF43A8"/>
    <w:rsid w:val="00DF4CF4"/>
    <w:rsid w:val="00DF52CC"/>
    <w:rsid w:val="00DF598A"/>
    <w:rsid w:val="00DF5D8E"/>
    <w:rsid w:val="00DF625B"/>
    <w:rsid w:val="00DF705F"/>
    <w:rsid w:val="00DF784C"/>
    <w:rsid w:val="00DF785F"/>
    <w:rsid w:val="00DF7A2D"/>
    <w:rsid w:val="00DF7C5F"/>
    <w:rsid w:val="00DF7E43"/>
    <w:rsid w:val="00E000F1"/>
    <w:rsid w:val="00E00837"/>
    <w:rsid w:val="00E008EF"/>
    <w:rsid w:val="00E016AB"/>
    <w:rsid w:val="00E024A4"/>
    <w:rsid w:val="00E02820"/>
    <w:rsid w:val="00E02C06"/>
    <w:rsid w:val="00E02E1E"/>
    <w:rsid w:val="00E034DD"/>
    <w:rsid w:val="00E040A8"/>
    <w:rsid w:val="00E04581"/>
    <w:rsid w:val="00E052FC"/>
    <w:rsid w:val="00E05B09"/>
    <w:rsid w:val="00E05F31"/>
    <w:rsid w:val="00E05F3D"/>
    <w:rsid w:val="00E06958"/>
    <w:rsid w:val="00E06E67"/>
    <w:rsid w:val="00E06E82"/>
    <w:rsid w:val="00E074A1"/>
    <w:rsid w:val="00E07C67"/>
    <w:rsid w:val="00E10585"/>
    <w:rsid w:val="00E1070B"/>
    <w:rsid w:val="00E108B2"/>
    <w:rsid w:val="00E10ADD"/>
    <w:rsid w:val="00E10C13"/>
    <w:rsid w:val="00E11167"/>
    <w:rsid w:val="00E111A2"/>
    <w:rsid w:val="00E112BB"/>
    <w:rsid w:val="00E11FD7"/>
    <w:rsid w:val="00E12313"/>
    <w:rsid w:val="00E1271C"/>
    <w:rsid w:val="00E13248"/>
    <w:rsid w:val="00E13653"/>
    <w:rsid w:val="00E13A01"/>
    <w:rsid w:val="00E13ACF"/>
    <w:rsid w:val="00E1460B"/>
    <w:rsid w:val="00E14724"/>
    <w:rsid w:val="00E15205"/>
    <w:rsid w:val="00E156A7"/>
    <w:rsid w:val="00E15D3C"/>
    <w:rsid w:val="00E15EB7"/>
    <w:rsid w:val="00E1671B"/>
    <w:rsid w:val="00E1677D"/>
    <w:rsid w:val="00E1709D"/>
    <w:rsid w:val="00E170D5"/>
    <w:rsid w:val="00E17F59"/>
    <w:rsid w:val="00E2025E"/>
    <w:rsid w:val="00E204DB"/>
    <w:rsid w:val="00E21291"/>
    <w:rsid w:val="00E213E3"/>
    <w:rsid w:val="00E21E6C"/>
    <w:rsid w:val="00E22196"/>
    <w:rsid w:val="00E22457"/>
    <w:rsid w:val="00E22728"/>
    <w:rsid w:val="00E22F32"/>
    <w:rsid w:val="00E2304F"/>
    <w:rsid w:val="00E23905"/>
    <w:rsid w:val="00E23AB2"/>
    <w:rsid w:val="00E24310"/>
    <w:rsid w:val="00E24AD7"/>
    <w:rsid w:val="00E24C36"/>
    <w:rsid w:val="00E25190"/>
    <w:rsid w:val="00E25209"/>
    <w:rsid w:val="00E2586A"/>
    <w:rsid w:val="00E258DC"/>
    <w:rsid w:val="00E2691F"/>
    <w:rsid w:val="00E26D9A"/>
    <w:rsid w:val="00E27AB5"/>
    <w:rsid w:val="00E30431"/>
    <w:rsid w:val="00E309EC"/>
    <w:rsid w:val="00E30D44"/>
    <w:rsid w:val="00E3175A"/>
    <w:rsid w:val="00E31978"/>
    <w:rsid w:val="00E31DBB"/>
    <w:rsid w:val="00E32B02"/>
    <w:rsid w:val="00E32E0A"/>
    <w:rsid w:val="00E32E10"/>
    <w:rsid w:val="00E332D6"/>
    <w:rsid w:val="00E3341A"/>
    <w:rsid w:val="00E3344C"/>
    <w:rsid w:val="00E33A6C"/>
    <w:rsid w:val="00E33DD9"/>
    <w:rsid w:val="00E34867"/>
    <w:rsid w:val="00E349D3"/>
    <w:rsid w:val="00E3506A"/>
    <w:rsid w:val="00E350B5"/>
    <w:rsid w:val="00E35273"/>
    <w:rsid w:val="00E363B7"/>
    <w:rsid w:val="00E369D7"/>
    <w:rsid w:val="00E36CAE"/>
    <w:rsid w:val="00E37365"/>
    <w:rsid w:val="00E37633"/>
    <w:rsid w:val="00E37A12"/>
    <w:rsid w:val="00E37EF3"/>
    <w:rsid w:val="00E408AA"/>
    <w:rsid w:val="00E40CBC"/>
    <w:rsid w:val="00E4148A"/>
    <w:rsid w:val="00E42102"/>
    <w:rsid w:val="00E43214"/>
    <w:rsid w:val="00E4351E"/>
    <w:rsid w:val="00E44EF6"/>
    <w:rsid w:val="00E44F72"/>
    <w:rsid w:val="00E46CAB"/>
    <w:rsid w:val="00E473B5"/>
    <w:rsid w:val="00E4745D"/>
    <w:rsid w:val="00E47B5E"/>
    <w:rsid w:val="00E47CED"/>
    <w:rsid w:val="00E509C4"/>
    <w:rsid w:val="00E50E18"/>
    <w:rsid w:val="00E50F90"/>
    <w:rsid w:val="00E51291"/>
    <w:rsid w:val="00E514EC"/>
    <w:rsid w:val="00E517F1"/>
    <w:rsid w:val="00E51957"/>
    <w:rsid w:val="00E5215A"/>
    <w:rsid w:val="00E531FD"/>
    <w:rsid w:val="00E53484"/>
    <w:rsid w:val="00E549E4"/>
    <w:rsid w:val="00E54E71"/>
    <w:rsid w:val="00E55121"/>
    <w:rsid w:val="00E55685"/>
    <w:rsid w:val="00E55BB7"/>
    <w:rsid w:val="00E55FEF"/>
    <w:rsid w:val="00E5628F"/>
    <w:rsid w:val="00E564AE"/>
    <w:rsid w:val="00E56890"/>
    <w:rsid w:val="00E56AD0"/>
    <w:rsid w:val="00E56CE9"/>
    <w:rsid w:val="00E56F68"/>
    <w:rsid w:val="00E57581"/>
    <w:rsid w:val="00E57C36"/>
    <w:rsid w:val="00E613E4"/>
    <w:rsid w:val="00E616E3"/>
    <w:rsid w:val="00E617F6"/>
    <w:rsid w:val="00E61CD3"/>
    <w:rsid w:val="00E62085"/>
    <w:rsid w:val="00E62906"/>
    <w:rsid w:val="00E635CF"/>
    <w:rsid w:val="00E6365C"/>
    <w:rsid w:val="00E63865"/>
    <w:rsid w:val="00E63CEF"/>
    <w:rsid w:val="00E651F3"/>
    <w:rsid w:val="00E65498"/>
    <w:rsid w:val="00E655B4"/>
    <w:rsid w:val="00E65D17"/>
    <w:rsid w:val="00E66273"/>
    <w:rsid w:val="00E662DB"/>
    <w:rsid w:val="00E66BC2"/>
    <w:rsid w:val="00E67397"/>
    <w:rsid w:val="00E7016F"/>
    <w:rsid w:val="00E70AD5"/>
    <w:rsid w:val="00E71647"/>
    <w:rsid w:val="00E716B1"/>
    <w:rsid w:val="00E7173C"/>
    <w:rsid w:val="00E719D1"/>
    <w:rsid w:val="00E72A3B"/>
    <w:rsid w:val="00E72DFE"/>
    <w:rsid w:val="00E72FA1"/>
    <w:rsid w:val="00E73C0F"/>
    <w:rsid w:val="00E73D22"/>
    <w:rsid w:val="00E75C13"/>
    <w:rsid w:val="00E75D78"/>
    <w:rsid w:val="00E76185"/>
    <w:rsid w:val="00E76265"/>
    <w:rsid w:val="00E76D3F"/>
    <w:rsid w:val="00E77125"/>
    <w:rsid w:val="00E77158"/>
    <w:rsid w:val="00E77672"/>
    <w:rsid w:val="00E77C96"/>
    <w:rsid w:val="00E77E62"/>
    <w:rsid w:val="00E80021"/>
    <w:rsid w:val="00E807BA"/>
    <w:rsid w:val="00E80802"/>
    <w:rsid w:val="00E80A5D"/>
    <w:rsid w:val="00E80BD7"/>
    <w:rsid w:val="00E8112B"/>
    <w:rsid w:val="00E819D2"/>
    <w:rsid w:val="00E8239A"/>
    <w:rsid w:val="00E837EC"/>
    <w:rsid w:val="00E83AB1"/>
    <w:rsid w:val="00E83B52"/>
    <w:rsid w:val="00E84453"/>
    <w:rsid w:val="00E84730"/>
    <w:rsid w:val="00E84F69"/>
    <w:rsid w:val="00E85111"/>
    <w:rsid w:val="00E853CF"/>
    <w:rsid w:val="00E861BE"/>
    <w:rsid w:val="00E868A1"/>
    <w:rsid w:val="00E86F32"/>
    <w:rsid w:val="00E87431"/>
    <w:rsid w:val="00E879B3"/>
    <w:rsid w:val="00E87E0D"/>
    <w:rsid w:val="00E87FA0"/>
    <w:rsid w:val="00E90564"/>
    <w:rsid w:val="00E90972"/>
    <w:rsid w:val="00E90ABC"/>
    <w:rsid w:val="00E92574"/>
    <w:rsid w:val="00E927E6"/>
    <w:rsid w:val="00E933A2"/>
    <w:rsid w:val="00E9395C"/>
    <w:rsid w:val="00E93A6B"/>
    <w:rsid w:val="00E93CDA"/>
    <w:rsid w:val="00E94083"/>
    <w:rsid w:val="00E9425E"/>
    <w:rsid w:val="00E94E6A"/>
    <w:rsid w:val="00E96A52"/>
    <w:rsid w:val="00E96DFD"/>
    <w:rsid w:val="00E971F3"/>
    <w:rsid w:val="00E97223"/>
    <w:rsid w:val="00E979F3"/>
    <w:rsid w:val="00EA0087"/>
    <w:rsid w:val="00EA025B"/>
    <w:rsid w:val="00EA04B6"/>
    <w:rsid w:val="00EA0BBA"/>
    <w:rsid w:val="00EA1416"/>
    <w:rsid w:val="00EA1428"/>
    <w:rsid w:val="00EA15C6"/>
    <w:rsid w:val="00EA18CA"/>
    <w:rsid w:val="00EA2007"/>
    <w:rsid w:val="00EA241A"/>
    <w:rsid w:val="00EA2F99"/>
    <w:rsid w:val="00EA3346"/>
    <w:rsid w:val="00EA3410"/>
    <w:rsid w:val="00EA36F7"/>
    <w:rsid w:val="00EA40B2"/>
    <w:rsid w:val="00EA40C9"/>
    <w:rsid w:val="00EA457F"/>
    <w:rsid w:val="00EA471A"/>
    <w:rsid w:val="00EA4D63"/>
    <w:rsid w:val="00EA4F81"/>
    <w:rsid w:val="00EA590C"/>
    <w:rsid w:val="00EA7EBD"/>
    <w:rsid w:val="00EB0414"/>
    <w:rsid w:val="00EB05D9"/>
    <w:rsid w:val="00EB0DE3"/>
    <w:rsid w:val="00EB17D9"/>
    <w:rsid w:val="00EB20C1"/>
    <w:rsid w:val="00EB21D1"/>
    <w:rsid w:val="00EB240E"/>
    <w:rsid w:val="00EB28EC"/>
    <w:rsid w:val="00EB2FC5"/>
    <w:rsid w:val="00EB36A2"/>
    <w:rsid w:val="00EB387F"/>
    <w:rsid w:val="00EB3BDC"/>
    <w:rsid w:val="00EB43D3"/>
    <w:rsid w:val="00EB4B30"/>
    <w:rsid w:val="00EB550E"/>
    <w:rsid w:val="00EB56F5"/>
    <w:rsid w:val="00EB6039"/>
    <w:rsid w:val="00EB6299"/>
    <w:rsid w:val="00EB6C26"/>
    <w:rsid w:val="00EB7529"/>
    <w:rsid w:val="00EB76B0"/>
    <w:rsid w:val="00EC071C"/>
    <w:rsid w:val="00EC0D27"/>
    <w:rsid w:val="00EC0E83"/>
    <w:rsid w:val="00EC1166"/>
    <w:rsid w:val="00EC1B97"/>
    <w:rsid w:val="00EC1CCC"/>
    <w:rsid w:val="00EC2080"/>
    <w:rsid w:val="00EC283C"/>
    <w:rsid w:val="00EC2FE0"/>
    <w:rsid w:val="00EC300D"/>
    <w:rsid w:val="00EC31AD"/>
    <w:rsid w:val="00EC42F6"/>
    <w:rsid w:val="00EC507D"/>
    <w:rsid w:val="00EC5A21"/>
    <w:rsid w:val="00EC66D5"/>
    <w:rsid w:val="00EC69E1"/>
    <w:rsid w:val="00EC6A00"/>
    <w:rsid w:val="00ED01AD"/>
    <w:rsid w:val="00ED021A"/>
    <w:rsid w:val="00ED088D"/>
    <w:rsid w:val="00ED0BDD"/>
    <w:rsid w:val="00ED0F9F"/>
    <w:rsid w:val="00ED105D"/>
    <w:rsid w:val="00ED1B00"/>
    <w:rsid w:val="00ED2D99"/>
    <w:rsid w:val="00ED2E2F"/>
    <w:rsid w:val="00ED30B1"/>
    <w:rsid w:val="00ED32FB"/>
    <w:rsid w:val="00ED3B50"/>
    <w:rsid w:val="00ED4860"/>
    <w:rsid w:val="00ED4AE2"/>
    <w:rsid w:val="00ED4BA3"/>
    <w:rsid w:val="00ED555C"/>
    <w:rsid w:val="00ED587D"/>
    <w:rsid w:val="00ED5902"/>
    <w:rsid w:val="00ED60F8"/>
    <w:rsid w:val="00ED6A19"/>
    <w:rsid w:val="00ED7493"/>
    <w:rsid w:val="00ED7699"/>
    <w:rsid w:val="00EE05DA"/>
    <w:rsid w:val="00EE0641"/>
    <w:rsid w:val="00EE0FFD"/>
    <w:rsid w:val="00EE1BC4"/>
    <w:rsid w:val="00EE1FEA"/>
    <w:rsid w:val="00EE2717"/>
    <w:rsid w:val="00EE27F3"/>
    <w:rsid w:val="00EE2901"/>
    <w:rsid w:val="00EE29A2"/>
    <w:rsid w:val="00EE2EB3"/>
    <w:rsid w:val="00EE4222"/>
    <w:rsid w:val="00EE42B3"/>
    <w:rsid w:val="00EE4581"/>
    <w:rsid w:val="00EE5083"/>
    <w:rsid w:val="00EE51B7"/>
    <w:rsid w:val="00EE5B52"/>
    <w:rsid w:val="00EE6C77"/>
    <w:rsid w:val="00EE7B29"/>
    <w:rsid w:val="00EE7C0D"/>
    <w:rsid w:val="00EE7D2D"/>
    <w:rsid w:val="00EF05E8"/>
    <w:rsid w:val="00EF092F"/>
    <w:rsid w:val="00EF0A57"/>
    <w:rsid w:val="00EF0BB1"/>
    <w:rsid w:val="00EF0C5A"/>
    <w:rsid w:val="00EF0DC9"/>
    <w:rsid w:val="00EF0FC2"/>
    <w:rsid w:val="00EF14A8"/>
    <w:rsid w:val="00EF2135"/>
    <w:rsid w:val="00EF25BA"/>
    <w:rsid w:val="00EF26FC"/>
    <w:rsid w:val="00EF275A"/>
    <w:rsid w:val="00EF38EF"/>
    <w:rsid w:val="00EF46D0"/>
    <w:rsid w:val="00EF4B37"/>
    <w:rsid w:val="00EF4D33"/>
    <w:rsid w:val="00EF4FD6"/>
    <w:rsid w:val="00EF5419"/>
    <w:rsid w:val="00EF57C8"/>
    <w:rsid w:val="00EF5811"/>
    <w:rsid w:val="00EF58F7"/>
    <w:rsid w:val="00EF60CB"/>
    <w:rsid w:val="00EF713F"/>
    <w:rsid w:val="00F0047D"/>
    <w:rsid w:val="00F0180D"/>
    <w:rsid w:val="00F01938"/>
    <w:rsid w:val="00F01E2A"/>
    <w:rsid w:val="00F028A6"/>
    <w:rsid w:val="00F02925"/>
    <w:rsid w:val="00F02B58"/>
    <w:rsid w:val="00F0352E"/>
    <w:rsid w:val="00F03A72"/>
    <w:rsid w:val="00F03C19"/>
    <w:rsid w:val="00F03D0C"/>
    <w:rsid w:val="00F043DE"/>
    <w:rsid w:val="00F04679"/>
    <w:rsid w:val="00F04794"/>
    <w:rsid w:val="00F047BB"/>
    <w:rsid w:val="00F049B3"/>
    <w:rsid w:val="00F04AEB"/>
    <w:rsid w:val="00F054E9"/>
    <w:rsid w:val="00F05635"/>
    <w:rsid w:val="00F0591C"/>
    <w:rsid w:val="00F05D42"/>
    <w:rsid w:val="00F06583"/>
    <w:rsid w:val="00F0764D"/>
    <w:rsid w:val="00F079A3"/>
    <w:rsid w:val="00F07D66"/>
    <w:rsid w:val="00F11E1A"/>
    <w:rsid w:val="00F11EA0"/>
    <w:rsid w:val="00F11F0B"/>
    <w:rsid w:val="00F11FAD"/>
    <w:rsid w:val="00F12272"/>
    <w:rsid w:val="00F12A09"/>
    <w:rsid w:val="00F12C55"/>
    <w:rsid w:val="00F136DE"/>
    <w:rsid w:val="00F13A69"/>
    <w:rsid w:val="00F13B9F"/>
    <w:rsid w:val="00F13EB9"/>
    <w:rsid w:val="00F14798"/>
    <w:rsid w:val="00F147F4"/>
    <w:rsid w:val="00F14997"/>
    <w:rsid w:val="00F14AF9"/>
    <w:rsid w:val="00F15E3D"/>
    <w:rsid w:val="00F167E5"/>
    <w:rsid w:val="00F167FC"/>
    <w:rsid w:val="00F168BD"/>
    <w:rsid w:val="00F1699D"/>
    <w:rsid w:val="00F16C4A"/>
    <w:rsid w:val="00F172B9"/>
    <w:rsid w:val="00F17653"/>
    <w:rsid w:val="00F17EA4"/>
    <w:rsid w:val="00F17F56"/>
    <w:rsid w:val="00F20710"/>
    <w:rsid w:val="00F20EBA"/>
    <w:rsid w:val="00F20F57"/>
    <w:rsid w:val="00F21115"/>
    <w:rsid w:val="00F2134C"/>
    <w:rsid w:val="00F214EA"/>
    <w:rsid w:val="00F21C4A"/>
    <w:rsid w:val="00F21C5D"/>
    <w:rsid w:val="00F22840"/>
    <w:rsid w:val="00F230AB"/>
    <w:rsid w:val="00F2331D"/>
    <w:rsid w:val="00F23449"/>
    <w:rsid w:val="00F235D0"/>
    <w:rsid w:val="00F2398E"/>
    <w:rsid w:val="00F242C6"/>
    <w:rsid w:val="00F2455D"/>
    <w:rsid w:val="00F24BFE"/>
    <w:rsid w:val="00F25928"/>
    <w:rsid w:val="00F26112"/>
    <w:rsid w:val="00F26403"/>
    <w:rsid w:val="00F2679C"/>
    <w:rsid w:val="00F267CD"/>
    <w:rsid w:val="00F26F2D"/>
    <w:rsid w:val="00F27146"/>
    <w:rsid w:val="00F277C8"/>
    <w:rsid w:val="00F30768"/>
    <w:rsid w:val="00F30DBE"/>
    <w:rsid w:val="00F31948"/>
    <w:rsid w:val="00F31A2C"/>
    <w:rsid w:val="00F32B72"/>
    <w:rsid w:val="00F3300C"/>
    <w:rsid w:val="00F34151"/>
    <w:rsid w:val="00F345BF"/>
    <w:rsid w:val="00F3476D"/>
    <w:rsid w:val="00F34AA3"/>
    <w:rsid w:val="00F34AEB"/>
    <w:rsid w:val="00F35212"/>
    <w:rsid w:val="00F3693A"/>
    <w:rsid w:val="00F36A5E"/>
    <w:rsid w:val="00F36DC4"/>
    <w:rsid w:val="00F370BF"/>
    <w:rsid w:val="00F379DB"/>
    <w:rsid w:val="00F4010D"/>
    <w:rsid w:val="00F40221"/>
    <w:rsid w:val="00F40265"/>
    <w:rsid w:val="00F404A6"/>
    <w:rsid w:val="00F404C4"/>
    <w:rsid w:val="00F40805"/>
    <w:rsid w:val="00F415CC"/>
    <w:rsid w:val="00F4197D"/>
    <w:rsid w:val="00F420CA"/>
    <w:rsid w:val="00F429F5"/>
    <w:rsid w:val="00F42EAE"/>
    <w:rsid w:val="00F4327D"/>
    <w:rsid w:val="00F43333"/>
    <w:rsid w:val="00F43DF3"/>
    <w:rsid w:val="00F4410F"/>
    <w:rsid w:val="00F45917"/>
    <w:rsid w:val="00F45CCA"/>
    <w:rsid w:val="00F4685A"/>
    <w:rsid w:val="00F46A79"/>
    <w:rsid w:val="00F47C13"/>
    <w:rsid w:val="00F50BFB"/>
    <w:rsid w:val="00F50D58"/>
    <w:rsid w:val="00F50F89"/>
    <w:rsid w:val="00F51B40"/>
    <w:rsid w:val="00F51F9C"/>
    <w:rsid w:val="00F525D0"/>
    <w:rsid w:val="00F52C7E"/>
    <w:rsid w:val="00F52F21"/>
    <w:rsid w:val="00F53067"/>
    <w:rsid w:val="00F53108"/>
    <w:rsid w:val="00F53495"/>
    <w:rsid w:val="00F5350C"/>
    <w:rsid w:val="00F53523"/>
    <w:rsid w:val="00F535A6"/>
    <w:rsid w:val="00F537ED"/>
    <w:rsid w:val="00F53855"/>
    <w:rsid w:val="00F53876"/>
    <w:rsid w:val="00F54896"/>
    <w:rsid w:val="00F54E15"/>
    <w:rsid w:val="00F550D3"/>
    <w:rsid w:val="00F5596E"/>
    <w:rsid w:val="00F56840"/>
    <w:rsid w:val="00F568A8"/>
    <w:rsid w:val="00F56A8A"/>
    <w:rsid w:val="00F56B00"/>
    <w:rsid w:val="00F5765A"/>
    <w:rsid w:val="00F579BD"/>
    <w:rsid w:val="00F60679"/>
    <w:rsid w:val="00F608E7"/>
    <w:rsid w:val="00F60CF0"/>
    <w:rsid w:val="00F61006"/>
    <w:rsid w:val="00F612D4"/>
    <w:rsid w:val="00F619AE"/>
    <w:rsid w:val="00F6250F"/>
    <w:rsid w:val="00F62F88"/>
    <w:rsid w:val="00F634CD"/>
    <w:rsid w:val="00F637CB"/>
    <w:rsid w:val="00F63B5B"/>
    <w:rsid w:val="00F63C99"/>
    <w:rsid w:val="00F64214"/>
    <w:rsid w:val="00F6464C"/>
    <w:rsid w:val="00F64D2A"/>
    <w:rsid w:val="00F653C2"/>
    <w:rsid w:val="00F65F89"/>
    <w:rsid w:val="00F666B6"/>
    <w:rsid w:val="00F66E77"/>
    <w:rsid w:val="00F67D46"/>
    <w:rsid w:val="00F70A21"/>
    <w:rsid w:val="00F70D6A"/>
    <w:rsid w:val="00F717F6"/>
    <w:rsid w:val="00F72233"/>
    <w:rsid w:val="00F72C38"/>
    <w:rsid w:val="00F7337A"/>
    <w:rsid w:val="00F7343E"/>
    <w:rsid w:val="00F73CBF"/>
    <w:rsid w:val="00F73D07"/>
    <w:rsid w:val="00F7429B"/>
    <w:rsid w:val="00F74D44"/>
    <w:rsid w:val="00F75427"/>
    <w:rsid w:val="00F75B05"/>
    <w:rsid w:val="00F76124"/>
    <w:rsid w:val="00F76B5D"/>
    <w:rsid w:val="00F76D41"/>
    <w:rsid w:val="00F7745C"/>
    <w:rsid w:val="00F778F9"/>
    <w:rsid w:val="00F77AF9"/>
    <w:rsid w:val="00F77BF1"/>
    <w:rsid w:val="00F800AA"/>
    <w:rsid w:val="00F800FC"/>
    <w:rsid w:val="00F80295"/>
    <w:rsid w:val="00F80BDE"/>
    <w:rsid w:val="00F810F2"/>
    <w:rsid w:val="00F81425"/>
    <w:rsid w:val="00F81CCF"/>
    <w:rsid w:val="00F831BB"/>
    <w:rsid w:val="00F835CD"/>
    <w:rsid w:val="00F83817"/>
    <w:rsid w:val="00F838FF"/>
    <w:rsid w:val="00F8391D"/>
    <w:rsid w:val="00F83D30"/>
    <w:rsid w:val="00F83D77"/>
    <w:rsid w:val="00F84570"/>
    <w:rsid w:val="00F84679"/>
    <w:rsid w:val="00F84B5E"/>
    <w:rsid w:val="00F84C0B"/>
    <w:rsid w:val="00F84EDC"/>
    <w:rsid w:val="00F85121"/>
    <w:rsid w:val="00F85DA4"/>
    <w:rsid w:val="00F8613D"/>
    <w:rsid w:val="00F86F4D"/>
    <w:rsid w:val="00F86F6B"/>
    <w:rsid w:val="00F87093"/>
    <w:rsid w:val="00F87482"/>
    <w:rsid w:val="00F87A71"/>
    <w:rsid w:val="00F9033E"/>
    <w:rsid w:val="00F9062D"/>
    <w:rsid w:val="00F90631"/>
    <w:rsid w:val="00F919D1"/>
    <w:rsid w:val="00F921C7"/>
    <w:rsid w:val="00F9225E"/>
    <w:rsid w:val="00F93365"/>
    <w:rsid w:val="00F93391"/>
    <w:rsid w:val="00F93570"/>
    <w:rsid w:val="00F93924"/>
    <w:rsid w:val="00F949D1"/>
    <w:rsid w:val="00F94A2F"/>
    <w:rsid w:val="00F95BFA"/>
    <w:rsid w:val="00F95EB3"/>
    <w:rsid w:val="00F974AB"/>
    <w:rsid w:val="00FA09C8"/>
    <w:rsid w:val="00FA0BDE"/>
    <w:rsid w:val="00FA0C28"/>
    <w:rsid w:val="00FA13FF"/>
    <w:rsid w:val="00FA2664"/>
    <w:rsid w:val="00FA2CB2"/>
    <w:rsid w:val="00FA2EB8"/>
    <w:rsid w:val="00FA361E"/>
    <w:rsid w:val="00FA38C3"/>
    <w:rsid w:val="00FA3F8F"/>
    <w:rsid w:val="00FA4F34"/>
    <w:rsid w:val="00FA53EB"/>
    <w:rsid w:val="00FA6751"/>
    <w:rsid w:val="00FA6814"/>
    <w:rsid w:val="00FA7A45"/>
    <w:rsid w:val="00FB00E3"/>
    <w:rsid w:val="00FB0361"/>
    <w:rsid w:val="00FB15A0"/>
    <w:rsid w:val="00FB18B4"/>
    <w:rsid w:val="00FB1F0A"/>
    <w:rsid w:val="00FB22E0"/>
    <w:rsid w:val="00FB2FD1"/>
    <w:rsid w:val="00FB31C4"/>
    <w:rsid w:val="00FB4E61"/>
    <w:rsid w:val="00FB4E85"/>
    <w:rsid w:val="00FB55B1"/>
    <w:rsid w:val="00FB5DB7"/>
    <w:rsid w:val="00FB60BD"/>
    <w:rsid w:val="00FB6404"/>
    <w:rsid w:val="00FB76E3"/>
    <w:rsid w:val="00FB76EE"/>
    <w:rsid w:val="00FB7954"/>
    <w:rsid w:val="00FC0067"/>
    <w:rsid w:val="00FC03D2"/>
    <w:rsid w:val="00FC18F0"/>
    <w:rsid w:val="00FC1A5E"/>
    <w:rsid w:val="00FC2C30"/>
    <w:rsid w:val="00FC2CC0"/>
    <w:rsid w:val="00FC324C"/>
    <w:rsid w:val="00FC34C0"/>
    <w:rsid w:val="00FC3689"/>
    <w:rsid w:val="00FC37C9"/>
    <w:rsid w:val="00FC3AB0"/>
    <w:rsid w:val="00FC3C63"/>
    <w:rsid w:val="00FC4168"/>
    <w:rsid w:val="00FC4BEB"/>
    <w:rsid w:val="00FC5043"/>
    <w:rsid w:val="00FC56B3"/>
    <w:rsid w:val="00FC5748"/>
    <w:rsid w:val="00FC5A19"/>
    <w:rsid w:val="00FC5B72"/>
    <w:rsid w:val="00FC6517"/>
    <w:rsid w:val="00FC707C"/>
    <w:rsid w:val="00FC7634"/>
    <w:rsid w:val="00FC76A2"/>
    <w:rsid w:val="00FC7D5E"/>
    <w:rsid w:val="00FD083B"/>
    <w:rsid w:val="00FD0EA9"/>
    <w:rsid w:val="00FD1633"/>
    <w:rsid w:val="00FD168F"/>
    <w:rsid w:val="00FD1A1C"/>
    <w:rsid w:val="00FD1D97"/>
    <w:rsid w:val="00FD29A4"/>
    <w:rsid w:val="00FD307E"/>
    <w:rsid w:val="00FD381F"/>
    <w:rsid w:val="00FD3D70"/>
    <w:rsid w:val="00FD3F44"/>
    <w:rsid w:val="00FD405E"/>
    <w:rsid w:val="00FD42A5"/>
    <w:rsid w:val="00FD44EA"/>
    <w:rsid w:val="00FD4AC2"/>
    <w:rsid w:val="00FD4F53"/>
    <w:rsid w:val="00FD4F87"/>
    <w:rsid w:val="00FD5439"/>
    <w:rsid w:val="00FD6DE9"/>
    <w:rsid w:val="00FD6F04"/>
    <w:rsid w:val="00FD70F9"/>
    <w:rsid w:val="00FD745D"/>
    <w:rsid w:val="00FD77B9"/>
    <w:rsid w:val="00FD77CC"/>
    <w:rsid w:val="00FE07AF"/>
    <w:rsid w:val="00FE09BE"/>
    <w:rsid w:val="00FE129D"/>
    <w:rsid w:val="00FE1F62"/>
    <w:rsid w:val="00FE248D"/>
    <w:rsid w:val="00FE30A5"/>
    <w:rsid w:val="00FE3495"/>
    <w:rsid w:val="00FE398C"/>
    <w:rsid w:val="00FE421B"/>
    <w:rsid w:val="00FE45DB"/>
    <w:rsid w:val="00FE4957"/>
    <w:rsid w:val="00FE4FC1"/>
    <w:rsid w:val="00FE5149"/>
    <w:rsid w:val="00FE53D6"/>
    <w:rsid w:val="00FE555B"/>
    <w:rsid w:val="00FE57CF"/>
    <w:rsid w:val="00FE5EC7"/>
    <w:rsid w:val="00FE759A"/>
    <w:rsid w:val="00FE786B"/>
    <w:rsid w:val="00FE7B5A"/>
    <w:rsid w:val="00FE7F97"/>
    <w:rsid w:val="00FF0291"/>
    <w:rsid w:val="00FF0808"/>
    <w:rsid w:val="00FF0BDC"/>
    <w:rsid w:val="00FF0CF1"/>
    <w:rsid w:val="00FF0E5B"/>
    <w:rsid w:val="00FF10CD"/>
    <w:rsid w:val="00FF12DB"/>
    <w:rsid w:val="00FF2315"/>
    <w:rsid w:val="00FF2716"/>
    <w:rsid w:val="00FF2D8E"/>
    <w:rsid w:val="00FF317E"/>
    <w:rsid w:val="00FF4B03"/>
    <w:rsid w:val="00FF4CC1"/>
    <w:rsid w:val="00FF51BD"/>
    <w:rsid w:val="00FF51D4"/>
    <w:rsid w:val="00FF59B7"/>
    <w:rsid w:val="00FF616A"/>
    <w:rsid w:val="00FF6291"/>
    <w:rsid w:val="00FF7202"/>
    <w:rsid w:val="00FF72EA"/>
    <w:rsid w:val="00FF7B2B"/>
    <w:rsid w:val="00FF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8A68"/>
  <w15:chartTrackingRefBased/>
  <w15:docId w15:val="{D9D0DE4C-4492-4993-8F4A-93F90B7E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A20F7"/>
    <w:pPr>
      <w:keepNext/>
      <w:keepLines/>
      <w:widowControl w:val="0"/>
      <w:autoSpaceDE w:val="0"/>
      <w:autoSpaceDN w:val="0"/>
      <w:adjustRightInd w:val="0"/>
      <w:spacing w:before="40"/>
      <w:jc w:val="center"/>
      <w:outlineLvl w:val="1"/>
    </w:pPr>
    <w:rPr>
      <w:rFonts w:ascii="Calibri Light" w:hAnsi="Calibri Light"/>
      <w:color w:val="2F5496"/>
      <w:sz w:val="26"/>
      <w:szCs w:val="26"/>
      <w:lang w:eastAsia="en-GB"/>
    </w:rPr>
  </w:style>
  <w:style w:type="paragraph" w:styleId="Heading3">
    <w:name w:val="heading 3"/>
    <w:basedOn w:val="Normal"/>
    <w:next w:val="Normal"/>
    <w:link w:val="Heading3Char"/>
    <w:uiPriority w:val="9"/>
    <w:qFormat/>
    <w:rsid w:val="00CA20F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0F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CA20F7"/>
    <w:rPr>
      <w:rFonts w:ascii="Calibri Light" w:eastAsia="Times New Roman" w:hAnsi="Calibri Light" w:cs="Times New Roman"/>
      <w:color w:val="2F5496"/>
      <w:sz w:val="26"/>
      <w:szCs w:val="26"/>
      <w:lang w:eastAsia="en-GB"/>
    </w:rPr>
  </w:style>
  <w:style w:type="character" w:customStyle="1" w:styleId="Heading3Char">
    <w:name w:val="Heading 3 Char"/>
    <w:basedOn w:val="DefaultParagraphFont"/>
    <w:link w:val="Heading3"/>
    <w:uiPriority w:val="9"/>
    <w:rsid w:val="00CA20F7"/>
    <w:rPr>
      <w:rFonts w:ascii="Arial" w:eastAsia="Times New Roman" w:hAnsi="Arial" w:cs="Arial"/>
      <w:b/>
      <w:bCs/>
      <w:sz w:val="26"/>
      <w:szCs w:val="26"/>
    </w:rPr>
  </w:style>
  <w:style w:type="paragraph" w:customStyle="1" w:styleId="CoverDesc">
    <w:name w:val="CoverDesc"/>
    <w:basedOn w:val="Normal"/>
    <w:rsid w:val="00CA20F7"/>
    <w:pPr>
      <w:jc w:val="center"/>
    </w:pPr>
    <w:rPr>
      <w:b/>
      <w:sz w:val="36"/>
      <w:szCs w:val="20"/>
    </w:rPr>
  </w:style>
  <w:style w:type="paragraph" w:customStyle="1" w:styleId="CoverMain">
    <w:name w:val="CoverMain"/>
    <w:basedOn w:val="Normal"/>
    <w:rsid w:val="00CA20F7"/>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pPr>
    <w:rPr>
      <w:b/>
      <w:spacing w:val="-3"/>
      <w:szCs w:val="20"/>
      <w:u w:val="single"/>
    </w:rPr>
  </w:style>
  <w:style w:type="paragraph" w:customStyle="1" w:styleId="CoverText">
    <w:name w:val="CoverText"/>
    <w:basedOn w:val="Normal"/>
    <w:rsid w:val="00CA20F7"/>
    <w:pPr>
      <w:numPr>
        <w:ilvl w:val="1"/>
        <w:numId w:val="1"/>
      </w:numPr>
      <w:tabs>
        <w:tab w:val="clear" w:pos="1418"/>
      </w:tabs>
      <w:ind w:left="0" w:firstLine="0"/>
      <w:jc w:val="right"/>
    </w:pPr>
    <w:rPr>
      <w:szCs w:val="20"/>
      <w:u w:val="single"/>
    </w:rPr>
  </w:style>
  <w:style w:type="paragraph" w:customStyle="1" w:styleId="ParaHeading">
    <w:name w:val="ParaHeading"/>
    <w:basedOn w:val="Normal"/>
    <w:next w:val="ParaLevel1"/>
    <w:rsid w:val="00CA20F7"/>
    <w:pPr>
      <w:keepNext/>
      <w:numPr>
        <w:ilvl w:val="2"/>
        <w:numId w:val="1"/>
      </w:numPr>
      <w:tabs>
        <w:tab w:val="clear" w:pos="2127"/>
      </w:tabs>
      <w:spacing w:before="240" w:after="240" w:line="480" w:lineRule="auto"/>
      <w:ind w:left="0" w:firstLine="0"/>
    </w:pPr>
    <w:rPr>
      <w:szCs w:val="20"/>
    </w:rPr>
  </w:style>
  <w:style w:type="paragraph" w:customStyle="1" w:styleId="ParaLevel1">
    <w:name w:val="ParaLevel1"/>
    <w:basedOn w:val="Normal"/>
    <w:rsid w:val="00CA20F7"/>
    <w:pPr>
      <w:numPr>
        <w:ilvl w:val="3"/>
        <w:numId w:val="1"/>
      </w:numPr>
      <w:tabs>
        <w:tab w:val="clear" w:pos="3207"/>
        <w:tab w:val="num" w:pos="720"/>
      </w:tabs>
      <w:suppressAutoHyphens/>
      <w:spacing w:before="240" w:after="240" w:line="480" w:lineRule="auto"/>
      <w:ind w:left="720" w:hanging="720"/>
      <w:jc w:val="both"/>
      <w:outlineLvl w:val="0"/>
    </w:pPr>
    <w:rPr>
      <w:szCs w:val="20"/>
    </w:rPr>
  </w:style>
  <w:style w:type="paragraph" w:customStyle="1" w:styleId="ParaLevel2">
    <w:name w:val="ParaLevel2"/>
    <w:basedOn w:val="Normal"/>
    <w:rsid w:val="00CA20F7"/>
    <w:pPr>
      <w:numPr>
        <w:ilvl w:val="4"/>
        <w:numId w:val="1"/>
      </w:numPr>
      <w:tabs>
        <w:tab w:val="clear" w:pos="3545"/>
        <w:tab w:val="num" w:pos="1418"/>
      </w:tabs>
      <w:suppressAutoHyphens/>
      <w:spacing w:before="240" w:after="240" w:line="480" w:lineRule="auto"/>
      <w:ind w:left="1418"/>
      <w:jc w:val="both"/>
      <w:outlineLvl w:val="1"/>
    </w:pPr>
    <w:rPr>
      <w:szCs w:val="20"/>
    </w:rPr>
  </w:style>
  <w:style w:type="paragraph" w:customStyle="1" w:styleId="ParaLevel3">
    <w:name w:val="ParaLevel3"/>
    <w:basedOn w:val="Normal"/>
    <w:rsid w:val="00CA20F7"/>
    <w:pPr>
      <w:numPr>
        <w:ilvl w:val="5"/>
        <w:numId w:val="1"/>
      </w:numPr>
      <w:tabs>
        <w:tab w:val="clear" w:pos="4625"/>
        <w:tab w:val="num" w:pos="2127"/>
      </w:tabs>
      <w:suppressAutoHyphens/>
      <w:spacing w:before="240" w:after="240" w:line="480" w:lineRule="auto"/>
      <w:ind w:left="2127"/>
      <w:jc w:val="both"/>
      <w:outlineLvl w:val="2"/>
    </w:pPr>
    <w:rPr>
      <w:szCs w:val="20"/>
    </w:rPr>
  </w:style>
  <w:style w:type="paragraph" w:customStyle="1" w:styleId="ParaLevel4">
    <w:name w:val="ParaLevel4"/>
    <w:basedOn w:val="Normal"/>
    <w:rsid w:val="00CA20F7"/>
    <w:pPr>
      <w:numPr>
        <w:ilvl w:val="6"/>
        <w:numId w:val="1"/>
      </w:numPr>
      <w:tabs>
        <w:tab w:val="clear" w:pos="4963"/>
        <w:tab w:val="num" w:pos="2836"/>
      </w:tabs>
      <w:suppressAutoHyphens/>
      <w:spacing w:before="240" w:after="240" w:line="480" w:lineRule="auto"/>
      <w:ind w:left="2836"/>
      <w:jc w:val="both"/>
      <w:outlineLvl w:val="3"/>
    </w:pPr>
    <w:rPr>
      <w:szCs w:val="20"/>
    </w:rPr>
  </w:style>
  <w:style w:type="paragraph" w:customStyle="1" w:styleId="ParaLevel5">
    <w:name w:val="ParaLevel5"/>
    <w:basedOn w:val="Normal"/>
    <w:rsid w:val="00CA20F7"/>
    <w:pPr>
      <w:numPr>
        <w:ilvl w:val="7"/>
        <w:numId w:val="1"/>
      </w:numPr>
      <w:tabs>
        <w:tab w:val="clear" w:pos="6043"/>
        <w:tab w:val="num" w:pos="3545"/>
      </w:tabs>
      <w:suppressAutoHyphens/>
      <w:spacing w:before="240" w:after="240" w:line="480" w:lineRule="auto"/>
      <w:ind w:left="3545"/>
      <w:jc w:val="both"/>
      <w:outlineLvl w:val="4"/>
    </w:pPr>
    <w:rPr>
      <w:szCs w:val="20"/>
    </w:rPr>
  </w:style>
  <w:style w:type="paragraph" w:customStyle="1" w:styleId="ParaLevel6">
    <w:name w:val="ParaLevel6"/>
    <w:basedOn w:val="Normal"/>
    <w:rsid w:val="00CA20F7"/>
    <w:pPr>
      <w:numPr>
        <w:ilvl w:val="8"/>
        <w:numId w:val="1"/>
      </w:numPr>
      <w:tabs>
        <w:tab w:val="clear" w:pos="6381"/>
        <w:tab w:val="num" w:pos="4254"/>
      </w:tabs>
      <w:suppressAutoHyphens/>
      <w:spacing w:before="240" w:after="240" w:line="480" w:lineRule="auto"/>
      <w:ind w:left="4254"/>
      <w:jc w:val="both"/>
      <w:outlineLvl w:val="5"/>
    </w:pPr>
    <w:rPr>
      <w:szCs w:val="20"/>
    </w:rPr>
  </w:style>
  <w:style w:type="paragraph" w:customStyle="1" w:styleId="ParaLevel7">
    <w:name w:val="ParaLevel7"/>
    <w:basedOn w:val="Normal"/>
    <w:rsid w:val="00CA20F7"/>
    <w:pPr>
      <w:numPr>
        <w:ilvl w:val="6"/>
        <w:numId w:val="7"/>
      </w:numPr>
      <w:suppressAutoHyphens/>
      <w:spacing w:before="240" w:after="240" w:line="480" w:lineRule="auto"/>
      <w:jc w:val="both"/>
      <w:outlineLvl w:val="6"/>
    </w:pPr>
    <w:rPr>
      <w:szCs w:val="20"/>
    </w:rPr>
  </w:style>
  <w:style w:type="paragraph" w:customStyle="1" w:styleId="ParaLevel8">
    <w:name w:val="ParaLevel8"/>
    <w:basedOn w:val="Normal"/>
    <w:rsid w:val="00CA20F7"/>
    <w:pPr>
      <w:numPr>
        <w:ilvl w:val="7"/>
        <w:numId w:val="8"/>
      </w:numPr>
      <w:tabs>
        <w:tab w:val="num" w:pos="5672"/>
      </w:tabs>
      <w:suppressAutoHyphens/>
      <w:spacing w:before="240" w:after="240" w:line="480" w:lineRule="auto"/>
      <w:jc w:val="both"/>
      <w:outlineLvl w:val="7"/>
    </w:pPr>
    <w:rPr>
      <w:szCs w:val="20"/>
    </w:rPr>
  </w:style>
  <w:style w:type="paragraph" w:customStyle="1" w:styleId="ParaLevel9">
    <w:name w:val="ParaLevel9"/>
    <w:basedOn w:val="Normal"/>
    <w:rsid w:val="00CA20F7"/>
    <w:pPr>
      <w:numPr>
        <w:ilvl w:val="8"/>
        <w:numId w:val="9"/>
      </w:numPr>
      <w:suppressAutoHyphens/>
      <w:spacing w:before="240" w:after="240" w:line="480" w:lineRule="auto"/>
      <w:jc w:val="both"/>
      <w:outlineLvl w:val="8"/>
    </w:pPr>
    <w:rPr>
      <w:szCs w:val="20"/>
    </w:rPr>
  </w:style>
  <w:style w:type="paragraph" w:customStyle="1" w:styleId="ParaNoNumber">
    <w:name w:val="ParaNoNumber"/>
    <w:basedOn w:val="Normal"/>
    <w:next w:val="ParaLevel1"/>
    <w:rsid w:val="00CA20F7"/>
    <w:pPr>
      <w:spacing w:before="240" w:after="240" w:line="480" w:lineRule="auto"/>
      <w:jc w:val="both"/>
    </w:pPr>
    <w:rPr>
      <w:szCs w:val="20"/>
    </w:rPr>
  </w:style>
  <w:style w:type="paragraph" w:styleId="Quote">
    <w:name w:val="Quote"/>
    <w:basedOn w:val="Normal"/>
    <w:next w:val="ParaLevel1"/>
    <w:link w:val="QuoteChar"/>
    <w:qFormat/>
    <w:rsid w:val="00CA20F7"/>
    <w:pPr>
      <w:spacing w:after="240"/>
      <w:ind w:left="1440" w:right="720"/>
      <w:jc w:val="both"/>
    </w:pPr>
    <w:rPr>
      <w:szCs w:val="20"/>
    </w:rPr>
  </w:style>
  <w:style w:type="character" w:customStyle="1" w:styleId="QuoteChar">
    <w:name w:val="Quote Char"/>
    <w:basedOn w:val="DefaultParagraphFont"/>
    <w:link w:val="Quote"/>
    <w:rsid w:val="00CA20F7"/>
    <w:rPr>
      <w:rFonts w:ascii="Times New Roman" w:eastAsia="Times New Roman" w:hAnsi="Times New Roman" w:cs="Times New Roman"/>
      <w:sz w:val="24"/>
      <w:szCs w:val="20"/>
    </w:rPr>
  </w:style>
  <w:style w:type="paragraph" w:styleId="Header">
    <w:name w:val="header"/>
    <w:basedOn w:val="Normal"/>
    <w:link w:val="HeaderChar"/>
    <w:uiPriority w:val="99"/>
    <w:rsid w:val="00CA20F7"/>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rsid w:val="00CA20F7"/>
    <w:rPr>
      <w:rFonts w:ascii="Univers (W1)" w:eastAsia="Times New Roman" w:hAnsi="Univers (W1)" w:cs="Times New Roman"/>
      <w:sz w:val="24"/>
      <w:szCs w:val="20"/>
    </w:rPr>
  </w:style>
  <w:style w:type="paragraph" w:styleId="Footer">
    <w:name w:val="footer"/>
    <w:basedOn w:val="Normal"/>
    <w:link w:val="FooterChar"/>
    <w:uiPriority w:val="99"/>
    <w:rsid w:val="00CA20F7"/>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rsid w:val="00CA20F7"/>
    <w:rPr>
      <w:rFonts w:ascii="Univers (W1)" w:eastAsia="Times New Roman" w:hAnsi="Univers (W1)" w:cs="Times New Roman"/>
      <w:sz w:val="24"/>
      <w:szCs w:val="20"/>
    </w:rPr>
  </w:style>
  <w:style w:type="paragraph" w:customStyle="1" w:styleId="Heading">
    <w:name w:val="Heading"/>
    <w:basedOn w:val="Normal"/>
    <w:next w:val="Heading1"/>
    <w:rsid w:val="00CA20F7"/>
    <w:pPr>
      <w:keepNext/>
      <w:spacing w:before="240" w:after="240" w:line="480" w:lineRule="auto"/>
    </w:pPr>
    <w:rPr>
      <w:szCs w:val="20"/>
    </w:rPr>
  </w:style>
  <w:style w:type="paragraph" w:styleId="Title">
    <w:name w:val="Title"/>
    <w:basedOn w:val="Normal"/>
    <w:link w:val="TitleChar"/>
    <w:qFormat/>
    <w:rsid w:val="00CA20F7"/>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rsid w:val="00CA20F7"/>
    <w:rPr>
      <w:rFonts w:ascii="Times New Roman" w:eastAsia="Times New Roman" w:hAnsi="Times New Roman" w:cs="Times New Roman"/>
      <w:b/>
      <w:sz w:val="20"/>
      <w:szCs w:val="24"/>
    </w:rPr>
  </w:style>
  <w:style w:type="paragraph" w:customStyle="1" w:styleId="eMailBlock">
    <w:name w:val="eMailBlock"/>
    <w:basedOn w:val="Title"/>
    <w:rsid w:val="00CA20F7"/>
    <w:rPr>
      <w:sz w:val="26"/>
    </w:rPr>
  </w:style>
  <w:style w:type="paragraph" w:styleId="NoSpacing">
    <w:name w:val="No Spacing"/>
    <w:uiPriority w:val="1"/>
    <w:qFormat/>
    <w:rsid w:val="00CA20F7"/>
    <w:pPr>
      <w:spacing w:after="0" w:line="240" w:lineRule="auto"/>
    </w:pPr>
    <w:rPr>
      <w:rFonts w:ascii="Calibri" w:eastAsia="Calibri" w:hAnsi="Calibri" w:cs="Times New Roman"/>
    </w:rPr>
  </w:style>
  <w:style w:type="paragraph" w:styleId="FootnoteText">
    <w:name w:val="footnote text"/>
    <w:aliases w:val="Car,fn,Footnotes,ft,fn cafc,Footnote ak,fn Char,footnote text Char,Footnotes Char,Footnote ak Char,footnote citation Char,Car Char,fn Char1,footnote text Char1,Footnotes Char1,ft Char,fn cafc Char,Footnote ak Char1,Текст сноски Знак,Style"/>
    <w:basedOn w:val="Normal"/>
    <w:link w:val="FootnoteTextChar"/>
    <w:uiPriority w:val="99"/>
    <w:unhideWhenUsed/>
    <w:rsid w:val="00CA20F7"/>
    <w:rPr>
      <w:rFonts w:ascii="Calibri" w:eastAsia="Calibri" w:hAnsi="Calibri"/>
      <w:sz w:val="20"/>
      <w:szCs w:val="20"/>
    </w:rPr>
  </w:style>
  <w:style w:type="character" w:customStyle="1" w:styleId="FootnoteTextChar">
    <w:name w:val="Footnote Text Char"/>
    <w:aliases w:val="Car Char1,fn Char2,Footnotes Char2,ft Char1,fn cafc Char1,Footnote ak Char2,fn Char Char,footnote text Char Char,Footnotes Char Char,Footnote ak Char Char,footnote citation Char Char,Car Char Char,fn Char1 Char,Footnotes Char1 Char"/>
    <w:basedOn w:val="DefaultParagraphFont"/>
    <w:link w:val="FootnoteText"/>
    <w:uiPriority w:val="99"/>
    <w:rsid w:val="00CA20F7"/>
    <w:rPr>
      <w:rFonts w:ascii="Calibri" w:eastAsia="Calibri" w:hAnsi="Calibri" w:cs="Times New Roman"/>
      <w:sz w:val="20"/>
      <w:szCs w:val="20"/>
    </w:rPr>
  </w:style>
  <w:style w:type="character" w:styleId="FootnoteReference">
    <w:name w:val="footnote reference"/>
    <w:aliases w:val="Ref,de nota al pie,註腳內容,Style 7"/>
    <w:uiPriority w:val="99"/>
    <w:unhideWhenUsed/>
    <w:rsid w:val="00CA20F7"/>
    <w:rPr>
      <w:vertAlign w:val="superscript"/>
    </w:rPr>
  </w:style>
  <w:style w:type="paragraph" w:styleId="BalloonText">
    <w:name w:val="Balloon Text"/>
    <w:basedOn w:val="Normal"/>
    <w:link w:val="BalloonTextChar"/>
    <w:uiPriority w:val="99"/>
    <w:rsid w:val="00CA20F7"/>
    <w:rPr>
      <w:rFonts w:ascii="Segoe UI" w:hAnsi="Segoe UI" w:cs="Segoe UI"/>
      <w:sz w:val="18"/>
      <w:szCs w:val="18"/>
    </w:rPr>
  </w:style>
  <w:style w:type="character" w:customStyle="1" w:styleId="BalloonTextChar">
    <w:name w:val="Balloon Text Char"/>
    <w:basedOn w:val="DefaultParagraphFont"/>
    <w:link w:val="BalloonText"/>
    <w:uiPriority w:val="99"/>
    <w:rsid w:val="00CA20F7"/>
    <w:rPr>
      <w:rFonts w:ascii="Segoe UI" w:eastAsia="Times New Roman" w:hAnsi="Segoe UI" w:cs="Segoe UI"/>
      <w:sz w:val="18"/>
      <w:szCs w:val="18"/>
    </w:rPr>
  </w:style>
  <w:style w:type="paragraph" w:styleId="ListParagraph">
    <w:name w:val="List Paragraph"/>
    <w:basedOn w:val="Normal"/>
    <w:link w:val="ListParagraphChar"/>
    <w:uiPriority w:val="1"/>
    <w:qFormat/>
    <w:rsid w:val="00CA20F7"/>
    <w:pPr>
      <w:ind w:left="720"/>
      <w:contextualSpacing/>
    </w:pPr>
    <w:rPr>
      <w:rFonts w:ascii="Cambria" w:eastAsia="MS Mincho" w:hAnsi="Cambria"/>
    </w:rPr>
  </w:style>
  <w:style w:type="character" w:styleId="CommentReference">
    <w:name w:val="annotation reference"/>
    <w:uiPriority w:val="99"/>
    <w:unhideWhenUsed/>
    <w:rsid w:val="00CA20F7"/>
    <w:rPr>
      <w:sz w:val="18"/>
      <w:szCs w:val="18"/>
    </w:rPr>
  </w:style>
  <w:style w:type="paragraph" w:styleId="CommentText">
    <w:name w:val="annotation text"/>
    <w:basedOn w:val="Normal"/>
    <w:link w:val="CommentTextChar"/>
    <w:uiPriority w:val="99"/>
    <w:unhideWhenUsed/>
    <w:rsid w:val="00CA20F7"/>
    <w:rPr>
      <w:rFonts w:ascii="Cambria" w:eastAsia="MS Mincho" w:hAnsi="Cambria"/>
    </w:rPr>
  </w:style>
  <w:style w:type="character" w:customStyle="1" w:styleId="CommentTextChar">
    <w:name w:val="Comment Text Char"/>
    <w:basedOn w:val="DefaultParagraphFont"/>
    <w:link w:val="CommentText"/>
    <w:uiPriority w:val="99"/>
    <w:rsid w:val="00CA20F7"/>
    <w:rPr>
      <w:rFonts w:ascii="Cambria" w:eastAsia="MS Mincho" w:hAnsi="Cambria" w:cs="Times New Roman"/>
      <w:sz w:val="24"/>
      <w:szCs w:val="24"/>
    </w:rPr>
  </w:style>
  <w:style w:type="character" w:styleId="Hyperlink">
    <w:name w:val="Hyperlink"/>
    <w:uiPriority w:val="99"/>
    <w:rsid w:val="00CA20F7"/>
    <w:rPr>
      <w:color w:val="0000FF"/>
      <w:u w:val="single"/>
    </w:rPr>
  </w:style>
  <w:style w:type="paragraph" w:styleId="PlainText">
    <w:name w:val="Plain Text"/>
    <w:basedOn w:val="Normal"/>
    <w:link w:val="PlainTextChar"/>
    <w:uiPriority w:val="99"/>
    <w:unhideWhenUsed/>
    <w:rsid w:val="00CA20F7"/>
    <w:rPr>
      <w:rFonts w:ascii="Consolas" w:eastAsia="Calibri" w:hAnsi="Consolas"/>
      <w:sz w:val="21"/>
      <w:szCs w:val="21"/>
    </w:rPr>
  </w:style>
  <w:style w:type="character" w:customStyle="1" w:styleId="PlainTextChar">
    <w:name w:val="Plain Text Char"/>
    <w:basedOn w:val="DefaultParagraphFont"/>
    <w:link w:val="PlainText"/>
    <w:uiPriority w:val="99"/>
    <w:rsid w:val="00CA20F7"/>
    <w:rPr>
      <w:rFonts w:ascii="Consolas" w:eastAsia="Calibri" w:hAnsi="Consolas" w:cs="Times New Roman"/>
      <w:sz w:val="21"/>
      <w:szCs w:val="21"/>
    </w:rPr>
  </w:style>
  <w:style w:type="paragraph" w:styleId="NormalWeb">
    <w:name w:val="Normal (Web)"/>
    <w:basedOn w:val="Normal"/>
    <w:uiPriority w:val="99"/>
    <w:unhideWhenUsed/>
    <w:rsid w:val="00CA20F7"/>
    <w:pPr>
      <w:spacing w:before="100" w:beforeAutospacing="1" w:after="100" w:afterAutospacing="1"/>
    </w:pPr>
    <w:rPr>
      <w:lang w:eastAsia="en-GB"/>
    </w:rPr>
  </w:style>
  <w:style w:type="paragraph" w:customStyle="1" w:styleId="Opinion">
    <w:name w:val="Opinion"/>
    <w:basedOn w:val="Normal"/>
    <w:uiPriority w:val="99"/>
    <w:rsid w:val="00CA20F7"/>
    <w:pPr>
      <w:widowControl w:val="0"/>
      <w:autoSpaceDE w:val="0"/>
      <w:autoSpaceDN w:val="0"/>
      <w:adjustRightInd w:val="0"/>
      <w:spacing w:after="240" w:line="360" w:lineRule="auto"/>
      <w:jc w:val="center"/>
    </w:pPr>
    <w:rPr>
      <w:lang w:eastAsia="en-GB"/>
    </w:rPr>
  </w:style>
  <w:style w:type="paragraph" w:customStyle="1" w:styleId="WCPageNumber">
    <w:name w:val="WCPageNumber"/>
    <w:link w:val="WCPageNumberChar"/>
    <w:rsid w:val="00CA20F7"/>
    <w:pPr>
      <w:spacing w:after="0" w:line="240" w:lineRule="auto"/>
    </w:pPr>
    <w:rPr>
      <w:rFonts w:ascii="Times New Roman" w:eastAsia="Times New Roman" w:hAnsi="Times New Roman" w:cs="Times New Roman"/>
      <w:sz w:val="24"/>
      <w:szCs w:val="24"/>
      <w:lang w:eastAsia="en-GB"/>
    </w:rPr>
  </w:style>
  <w:style w:type="character" w:customStyle="1" w:styleId="WCPageNumberChar">
    <w:name w:val="WCPageNumber Char"/>
    <w:link w:val="WCPageNumber"/>
    <w:rsid w:val="00CA20F7"/>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CA20F7"/>
    <w:pPr>
      <w:widowControl w:val="0"/>
      <w:autoSpaceDE w:val="0"/>
      <w:autoSpaceDN w:val="0"/>
      <w:adjustRightInd w:val="0"/>
      <w:spacing w:after="100"/>
      <w:jc w:val="center"/>
    </w:pPr>
    <w:rPr>
      <w:lang w:eastAsia="en-GB"/>
    </w:rPr>
  </w:style>
  <w:style w:type="paragraph" w:styleId="TOC2">
    <w:name w:val="toc 2"/>
    <w:basedOn w:val="Normal"/>
    <w:next w:val="Normal"/>
    <w:autoRedefine/>
    <w:uiPriority w:val="39"/>
    <w:unhideWhenUsed/>
    <w:rsid w:val="00CA20F7"/>
    <w:pPr>
      <w:widowControl w:val="0"/>
      <w:autoSpaceDE w:val="0"/>
      <w:autoSpaceDN w:val="0"/>
      <w:adjustRightInd w:val="0"/>
      <w:spacing w:after="100"/>
      <w:ind w:left="240"/>
      <w:jc w:val="center"/>
    </w:pPr>
    <w:rPr>
      <w:lang w:eastAsia="en-GB"/>
    </w:rPr>
  </w:style>
  <w:style w:type="paragraph" w:styleId="CommentSubject">
    <w:name w:val="annotation subject"/>
    <w:basedOn w:val="CommentText"/>
    <w:next w:val="CommentText"/>
    <w:link w:val="CommentSubjectChar"/>
    <w:uiPriority w:val="99"/>
    <w:unhideWhenUsed/>
    <w:rsid w:val="00CA20F7"/>
    <w:pPr>
      <w:widowControl w:val="0"/>
      <w:autoSpaceDE w:val="0"/>
      <w:autoSpaceDN w:val="0"/>
      <w:adjustRightInd w:val="0"/>
      <w:jc w:val="center"/>
    </w:pPr>
    <w:rPr>
      <w:rFonts w:ascii="Times New Roman" w:eastAsia="Times New Roman" w:hAnsi="Times New Roman"/>
      <w:b/>
      <w:bCs/>
      <w:sz w:val="20"/>
      <w:szCs w:val="20"/>
      <w:lang w:eastAsia="en-GB"/>
    </w:rPr>
  </w:style>
  <w:style w:type="character" w:customStyle="1" w:styleId="CommentSubjectChar">
    <w:name w:val="Comment Subject Char"/>
    <w:basedOn w:val="CommentTextChar"/>
    <w:link w:val="CommentSubject"/>
    <w:uiPriority w:val="99"/>
    <w:rsid w:val="00CA20F7"/>
    <w:rPr>
      <w:rFonts w:ascii="Times New Roman" w:eastAsia="Times New Roman" w:hAnsi="Times New Roman" w:cs="Times New Roman"/>
      <w:b/>
      <w:bCs/>
      <w:sz w:val="20"/>
      <w:szCs w:val="20"/>
      <w:lang w:eastAsia="en-GB"/>
    </w:rPr>
  </w:style>
  <w:style w:type="paragraph" w:styleId="TOC3">
    <w:name w:val="toc 3"/>
    <w:basedOn w:val="Normal"/>
    <w:next w:val="Normal"/>
    <w:autoRedefine/>
    <w:uiPriority w:val="39"/>
    <w:unhideWhenUsed/>
    <w:rsid w:val="00CA20F7"/>
    <w:pPr>
      <w:widowControl w:val="0"/>
      <w:autoSpaceDE w:val="0"/>
      <w:autoSpaceDN w:val="0"/>
      <w:adjustRightInd w:val="0"/>
      <w:spacing w:after="100"/>
      <w:ind w:left="480"/>
      <w:jc w:val="center"/>
    </w:pPr>
    <w:rPr>
      <w:lang w:eastAsia="en-GB"/>
    </w:rPr>
  </w:style>
  <w:style w:type="paragraph" w:styleId="Revision">
    <w:name w:val="Revision"/>
    <w:hidden/>
    <w:uiPriority w:val="99"/>
    <w:semiHidden/>
    <w:rsid w:val="00CA20F7"/>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CA20F7"/>
    <w:rPr>
      <w:color w:val="605E5C"/>
      <w:shd w:val="clear" w:color="auto" w:fill="E1DFDD"/>
    </w:rPr>
  </w:style>
  <w:style w:type="paragraph" w:customStyle="1" w:styleId="Normalnumbered">
    <w:name w:val="Normal numbered"/>
    <w:basedOn w:val="Normal"/>
    <w:qFormat/>
    <w:rsid w:val="00CA20F7"/>
    <w:pPr>
      <w:numPr>
        <w:numId w:val="3"/>
      </w:numPr>
      <w:spacing w:after="320" w:line="360" w:lineRule="auto"/>
      <w:ind w:left="927" w:hanging="360"/>
    </w:pPr>
    <w:rPr>
      <w:rFonts w:eastAsia="Calibri"/>
      <w:szCs w:val="22"/>
    </w:rPr>
  </w:style>
  <w:style w:type="numbering" w:customStyle="1" w:styleId="JFRincludeeachlevelnumber">
    <w:name w:val="JFR include each level number"/>
    <w:uiPriority w:val="99"/>
    <w:rsid w:val="00CA20F7"/>
    <w:pPr>
      <w:numPr>
        <w:numId w:val="2"/>
      </w:numPr>
    </w:pPr>
  </w:style>
  <w:style w:type="paragraph" w:customStyle="1" w:styleId="Quotation15">
    <w:name w:val="Quotation 1.5"/>
    <w:basedOn w:val="Normal"/>
    <w:link w:val="Quotation15Char"/>
    <w:autoRedefine/>
    <w:qFormat/>
    <w:rsid w:val="00CA20F7"/>
    <w:pPr>
      <w:spacing w:after="320" w:line="360" w:lineRule="auto"/>
      <w:ind w:left="1985"/>
    </w:pPr>
    <w:rPr>
      <w:rFonts w:eastAsia="Calibri"/>
      <w:szCs w:val="22"/>
    </w:rPr>
  </w:style>
  <w:style w:type="character" w:customStyle="1" w:styleId="Quotation15Char">
    <w:name w:val="Quotation 1.5 Char"/>
    <w:link w:val="Quotation15"/>
    <w:rsid w:val="00CA20F7"/>
    <w:rPr>
      <w:rFonts w:ascii="Times New Roman" w:eastAsia="Calibri" w:hAnsi="Times New Roman" w:cs="Times New Roman"/>
      <w:sz w:val="24"/>
    </w:rPr>
  </w:style>
  <w:style w:type="paragraph" w:customStyle="1" w:styleId="SOCNumbered">
    <w:name w:val="SOC Numbered"/>
    <w:basedOn w:val="Normal"/>
    <w:uiPriority w:val="99"/>
    <w:qFormat/>
    <w:rsid w:val="00CA20F7"/>
    <w:pPr>
      <w:numPr>
        <w:numId w:val="4"/>
      </w:numPr>
      <w:spacing w:after="200" w:line="360" w:lineRule="auto"/>
      <w:jc w:val="both"/>
    </w:pPr>
    <w:rPr>
      <w:kern w:val="20"/>
    </w:rPr>
  </w:style>
  <w:style w:type="paragraph" w:customStyle="1" w:styleId="SOCCitation">
    <w:name w:val="SOC Citation"/>
    <w:basedOn w:val="Normal"/>
    <w:qFormat/>
    <w:rsid w:val="00CA20F7"/>
    <w:pPr>
      <w:spacing w:after="220" w:line="276" w:lineRule="auto"/>
      <w:ind w:left="1275"/>
      <w:jc w:val="both"/>
    </w:pPr>
    <w:rPr>
      <w:kern w:val="20"/>
      <w:sz w:val="22"/>
      <w:szCs w:val="20"/>
      <w:lang w:bidi="en-US"/>
    </w:rPr>
  </w:style>
  <w:style w:type="paragraph" w:customStyle="1" w:styleId="SOCNumberedlevel2">
    <w:name w:val="SOC Numbered level 2"/>
    <w:basedOn w:val="SOCNumbered"/>
    <w:rsid w:val="00CA20F7"/>
    <w:pPr>
      <w:numPr>
        <w:ilvl w:val="1"/>
      </w:numPr>
    </w:pPr>
  </w:style>
  <w:style w:type="paragraph" w:customStyle="1" w:styleId="SOCNumberedlevel3">
    <w:name w:val="SOC Numbered level 3"/>
    <w:basedOn w:val="SOCNumbered"/>
    <w:rsid w:val="00CA20F7"/>
    <w:pPr>
      <w:numPr>
        <w:ilvl w:val="2"/>
      </w:numPr>
    </w:pPr>
  </w:style>
  <w:style w:type="paragraph" w:customStyle="1" w:styleId="SOCNumberedlevel4">
    <w:name w:val="SOC Numbered level 4"/>
    <w:basedOn w:val="SOCNumbered"/>
    <w:rsid w:val="00CA20F7"/>
    <w:pPr>
      <w:numPr>
        <w:ilvl w:val="3"/>
      </w:numPr>
    </w:pPr>
  </w:style>
  <w:style w:type="paragraph" w:customStyle="1" w:styleId="SOCNumberedlevel5">
    <w:name w:val="SOC Numbered level 5"/>
    <w:basedOn w:val="SOCNumbered"/>
    <w:rsid w:val="00CA20F7"/>
    <w:pPr>
      <w:numPr>
        <w:ilvl w:val="4"/>
      </w:numPr>
    </w:pPr>
  </w:style>
  <w:style w:type="paragraph" w:customStyle="1" w:styleId="SOCNumberedlevel6">
    <w:name w:val="SOC Numbered level 6"/>
    <w:basedOn w:val="SOCNumbered"/>
    <w:rsid w:val="00CA20F7"/>
    <w:pPr>
      <w:numPr>
        <w:ilvl w:val="5"/>
      </w:numPr>
    </w:pPr>
  </w:style>
  <w:style w:type="paragraph" w:customStyle="1" w:styleId="SOCNumberedlevel7">
    <w:name w:val="SOC Numbered level 7"/>
    <w:basedOn w:val="SOCNumbered"/>
    <w:rsid w:val="00CA20F7"/>
    <w:pPr>
      <w:numPr>
        <w:ilvl w:val="6"/>
      </w:numPr>
    </w:pPr>
  </w:style>
  <w:style w:type="paragraph" w:customStyle="1" w:styleId="SOCNumberedlevel8">
    <w:name w:val="SOC Numbered level 8"/>
    <w:basedOn w:val="SOCNumbered"/>
    <w:rsid w:val="00CA20F7"/>
    <w:pPr>
      <w:numPr>
        <w:ilvl w:val="7"/>
      </w:numPr>
    </w:pPr>
  </w:style>
  <w:style w:type="paragraph" w:customStyle="1" w:styleId="SOCNumberedlevel9">
    <w:name w:val="SOC Numbered level 9"/>
    <w:basedOn w:val="SOCNumbered"/>
    <w:uiPriority w:val="99"/>
    <w:rsid w:val="00CA20F7"/>
    <w:pPr>
      <w:numPr>
        <w:ilvl w:val="8"/>
      </w:numPr>
    </w:pPr>
  </w:style>
  <w:style w:type="paragraph" w:customStyle="1" w:styleId="paralevel10">
    <w:name w:val="paralevel1"/>
    <w:basedOn w:val="Normal"/>
    <w:rsid w:val="00CA20F7"/>
    <w:pPr>
      <w:spacing w:before="100" w:beforeAutospacing="1" w:after="100" w:afterAutospacing="1"/>
    </w:pPr>
    <w:rPr>
      <w:lang w:eastAsia="en-GB"/>
    </w:rPr>
  </w:style>
  <w:style w:type="paragraph" w:customStyle="1" w:styleId="Default">
    <w:name w:val="Default"/>
    <w:rsid w:val="00CA2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uiPriority w:val="99"/>
    <w:unhideWhenUsed/>
    <w:rsid w:val="00CA20F7"/>
    <w:rPr>
      <w:color w:val="954F72"/>
      <w:u w:val="single"/>
    </w:rPr>
  </w:style>
  <w:style w:type="character" w:customStyle="1" w:styleId="costarpage">
    <w:name w:val="co_starpage"/>
    <w:rsid w:val="00CA20F7"/>
  </w:style>
  <w:style w:type="paragraph" w:customStyle="1" w:styleId="legp1paratext">
    <w:name w:val="legp1paratext"/>
    <w:basedOn w:val="Normal"/>
    <w:rsid w:val="00CA20F7"/>
    <w:pPr>
      <w:spacing w:before="100" w:beforeAutospacing="1" w:after="100" w:afterAutospacing="1"/>
    </w:pPr>
    <w:rPr>
      <w:lang w:eastAsia="en-GB"/>
    </w:rPr>
  </w:style>
  <w:style w:type="character" w:customStyle="1" w:styleId="legp1no">
    <w:name w:val="legp1no"/>
    <w:rsid w:val="00CA20F7"/>
  </w:style>
  <w:style w:type="paragraph" w:customStyle="1" w:styleId="legclearfix">
    <w:name w:val="legclearfix"/>
    <w:basedOn w:val="Normal"/>
    <w:rsid w:val="00CA20F7"/>
    <w:pPr>
      <w:spacing w:before="100" w:beforeAutospacing="1" w:after="100" w:afterAutospacing="1"/>
    </w:pPr>
    <w:rPr>
      <w:lang w:eastAsia="en-GB"/>
    </w:rPr>
  </w:style>
  <w:style w:type="character" w:customStyle="1" w:styleId="legds">
    <w:name w:val="legds"/>
    <w:rsid w:val="00CA20F7"/>
  </w:style>
  <w:style w:type="paragraph" w:customStyle="1" w:styleId="legrhs">
    <w:name w:val="legrhs"/>
    <w:basedOn w:val="Normal"/>
    <w:rsid w:val="00CA20F7"/>
    <w:pPr>
      <w:spacing w:before="100" w:beforeAutospacing="1" w:after="100" w:afterAutospacing="1"/>
    </w:pPr>
    <w:rPr>
      <w:lang w:eastAsia="en-GB"/>
    </w:rPr>
  </w:style>
  <w:style w:type="paragraph" w:customStyle="1" w:styleId="legp2paratext">
    <w:name w:val="legp2paratext"/>
    <w:basedOn w:val="Normal"/>
    <w:rsid w:val="00CA20F7"/>
    <w:pPr>
      <w:spacing w:before="100" w:beforeAutospacing="1" w:after="100" w:afterAutospacing="1"/>
    </w:pPr>
    <w:rPr>
      <w:lang w:eastAsia="en-GB"/>
    </w:rPr>
  </w:style>
  <w:style w:type="character" w:customStyle="1" w:styleId="ListParagraphChar">
    <w:name w:val="List Paragraph Char"/>
    <w:link w:val="ListParagraph"/>
    <w:uiPriority w:val="1"/>
    <w:locked/>
    <w:rsid w:val="00CA20F7"/>
    <w:rPr>
      <w:rFonts w:ascii="Cambria" w:eastAsia="MS Mincho" w:hAnsi="Cambria" w:cs="Times New Roman"/>
      <w:sz w:val="24"/>
      <w:szCs w:val="24"/>
    </w:rPr>
  </w:style>
  <w:style w:type="paragraph" w:customStyle="1" w:styleId="BodyA">
    <w:name w:val="Body A"/>
    <w:rsid w:val="00CA20F7"/>
    <w:pPr>
      <w:spacing w:after="0" w:line="240" w:lineRule="auto"/>
    </w:pPr>
    <w:rPr>
      <w:rFonts w:ascii="Times New Roman" w:eastAsia="Times New Roman" w:hAnsi="Times New Roman" w:cs="Times New Roman"/>
      <w:color w:val="000000"/>
      <w:sz w:val="24"/>
      <w:szCs w:val="24"/>
      <w:u w:color="000000"/>
      <w:lang w:val="en-US" w:eastAsia="en-GB"/>
    </w:rPr>
  </w:style>
  <w:style w:type="paragraph" w:customStyle="1" w:styleId="Body">
    <w:name w:val="Body"/>
    <w:rsid w:val="00CA20F7"/>
    <w:pPr>
      <w:spacing w:after="0" w:line="240" w:lineRule="auto"/>
    </w:pPr>
    <w:rPr>
      <w:rFonts w:ascii="Times New Roman" w:eastAsia="Times New Roman" w:hAnsi="Times New Roman" w:cs="Times New Roman"/>
      <w:color w:val="000000"/>
      <w:sz w:val="24"/>
      <w:szCs w:val="24"/>
      <w:u w:color="000000"/>
      <w:lang w:eastAsia="en-GB"/>
    </w:rPr>
  </w:style>
  <w:style w:type="numbering" w:customStyle="1" w:styleId="ImportedStyle10">
    <w:name w:val="Imported Style 1.0"/>
    <w:rsid w:val="00CA20F7"/>
    <w:pPr>
      <w:numPr>
        <w:numId w:val="5"/>
      </w:numPr>
    </w:pPr>
  </w:style>
  <w:style w:type="numbering" w:customStyle="1" w:styleId="ImportedStyle2">
    <w:name w:val="Imported Style 2"/>
    <w:rsid w:val="00CA20F7"/>
    <w:pPr>
      <w:numPr>
        <w:numId w:val="6"/>
      </w:numPr>
    </w:pPr>
  </w:style>
  <w:style w:type="numbering" w:customStyle="1" w:styleId="ImportedStyle4">
    <w:name w:val="Imported Style 4"/>
    <w:rsid w:val="00CA20F7"/>
    <w:pPr>
      <w:numPr>
        <w:numId w:val="7"/>
      </w:numPr>
    </w:pPr>
  </w:style>
  <w:style w:type="numbering" w:customStyle="1" w:styleId="ImportedStyle3">
    <w:name w:val="Imported Style 3"/>
    <w:rsid w:val="00CA20F7"/>
    <w:pPr>
      <w:numPr>
        <w:numId w:val="8"/>
      </w:numPr>
    </w:pPr>
  </w:style>
  <w:style w:type="numbering" w:customStyle="1" w:styleId="ImportedStyle21">
    <w:name w:val="Imported Style 21"/>
    <w:rsid w:val="00CA20F7"/>
  </w:style>
  <w:style w:type="numbering" w:customStyle="1" w:styleId="ImportedStyle22">
    <w:name w:val="Imported Style 22"/>
    <w:rsid w:val="00CA20F7"/>
  </w:style>
  <w:style w:type="numbering" w:customStyle="1" w:styleId="ImportedStyle23">
    <w:name w:val="Imported Style 23"/>
    <w:rsid w:val="00CA20F7"/>
  </w:style>
  <w:style w:type="numbering" w:customStyle="1" w:styleId="ImportedStyle24">
    <w:name w:val="Imported Style 24"/>
    <w:rsid w:val="00CA20F7"/>
    <w:pPr>
      <w:numPr>
        <w:numId w:val="1"/>
      </w:numPr>
    </w:pPr>
  </w:style>
  <w:style w:type="paragraph" w:styleId="BodyText">
    <w:name w:val="Body Text"/>
    <w:basedOn w:val="Normal"/>
    <w:link w:val="BodyTextChar"/>
    <w:uiPriority w:val="1"/>
    <w:qFormat/>
    <w:rsid w:val="00CA20F7"/>
    <w:pPr>
      <w:widowControl w:val="0"/>
      <w:autoSpaceDE w:val="0"/>
      <w:autoSpaceDN w:val="0"/>
    </w:pPr>
    <w:rPr>
      <w:lang w:eastAsia="en-GB" w:bidi="en-GB"/>
    </w:rPr>
  </w:style>
  <w:style w:type="character" w:customStyle="1" w:styleId="BodyTextChar">
    <w:name w:val="Body Text Char"/>
    <w:basedOn w:val="DefaultParagraphFont"/>
    <w:link w:val="BodyText"/>
    <w:uiPriority w:val="1"/>
    <w:rsid w:val="00CA20F7"/>
    <w:rPr>
      <w:rFonts w:ascii="Times New Roman" w:eastAsia="Times New Roman" w:hAnsi="Times New Roman" w:cs="Times New Roman"/>
      <w:sz w:val="24"/>
      <w:szCs w:val="24"/>
      <w:lang w:eastAsia="en-GB" w:bidi="en-GB"/>
    </w:rPr>
  </w:style>
  <w:style w:type="paragraph" w:customStyle="1" w:styleId="paragraph">
    <w:name w:val="paragraph"/>
    <w:basedOn w:val="Normal"/>
    <w:rsid w:val="00CA20F7"/>
    <w:pPr>
      <w:spacing w:before="100" w:beforeAutospacing="1" w:after="100" w:afterAutospacing="1"/>
    </w:pPr>
    <w:rPr>
      <w:lang w:eastAsia="en-GB"/>
    </w:rPr>
  </w:style>
  <w:style w:type="character" w:customStyle="1" w:styleId="normaltextrun">
    <w:name w:val="normaltextrun"/>
    <w:basedOn w:val="DefaultParagraphFont"/>
    <w:rsid w:val="00CA20F7"/>
  </w:style>
  <w:style w:type="character" w:customStyle="1" w:styleId="eop">
    <w:name w:val="eop"/>
    <w:basedOn w:val="DefaultParagraphFont"/>
    <w:rsid w:val="00CA20F7"/>
  </w:style>
  <w:style w:type="character" w:customStyle="1" w:styleId="superscript">
    <w:name w:val="superscript"/>
    <w:basedOn w:val="DefaultParagraphFont"/>
    <w:rsid w:val="00CA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2057">
      <w:bodyDiv w:val="1"/>
      <w:marLeft w:val="0"/>
      <w:marRight w:val="0"/>
      <w:marTop w:val="0"/>
      <w:marBottom w:val="0"/>
      <w:divBdr>
        <w:top w:val="none" w:sz="0" w:space="0" w:color="auto"/>
        <w:left w:val="none" w:sz="0" w:space="0" w:color="auto"/>
        <w:bottom w:val="none" w:sz="0" w:space="0" w:color="auto"/>
        <w:right w:val="none" w:sz="0" w:space="0" w:color="auto"/>
      </w:divBdr>
      <w:divsChild>
        <w:div w:id="486630020">
          <w:marLeft w:val="0"/>
          <w:marRight w:val="0"/>
          <w:marTop w:val="0"/>
          <w:marBottom w:val="0"/>
          <w:divBdr>
            <w:top w:val="none" w:sz="0" w:space="0" w:color="auto"/>
            <w:left w:val="none" w:sz="0" w:space="0" w:color="auto"/>
            <w:bottom w:val="none" w:sz="0" w:space="0" w:color="auto"/>
            <w:right w:val="none" w:sz="0" w:space="0" w:color="auto"/>
          </w:divBdr>
          <w:divsChild>
            <w:div w:id="275912507">
              <w:marLeft w:val="0"/>
              <w:marRight w:val="0"/>
              <w:marTop w:val="0"/>
              <w:marBottom w:val="0"/>
              <w:divBdr>
                <w:top w:val="none" w:sz="0" w:space="0" w:color="auto"/>
                <w:left w:val="none" w:sz="0" w:space="0" w:color="auto"/>
                <w:bottom w:val="none" w:sz="0" w:space="0" w:color="auto"/>
                <w:right w:val="none" w:sz="0" w:space="0" w:color="auto"/>
              </w:divBdr>
            </w:div>
            <w:div w:id="569535443">
              <w:marLeft w:val="0"/>
              <w:marRight w:val="0"/>
              <w:marTop w:val="0"/>
              <w:marBottom w:val="0"/>
              <w:divBdr>
                <w:top w:val="none" w:sz="0" w:space="0" w:color="auto"/>
                <w:left w:val="none" w:sz="0" w:space="0" w:color="auto"/>
                <w:bottom w:val="none" w:sz="0" w:space="0" w:color="auto"/>
                <w:right w:val="none" w:sz="0" w:space="0" w:color="auto"/>
              </w:divBdr>
            </w:div>
            <w:div w:id="657268558">
              <w:marLeft w:val="0"/>
              <w:marRight w:val="0"/>
              <w:marTop w:val="0"/>
              <w:marBottom w:val="0"/>
              <w:divBdr>
                <w:top w:val="none" w:sz="0" w:space="0" w:color="auto"/>
                <w:left w:val="none" w:sz="0" w:space="0" w:color="auto"/>
                <w:bottom w:val="none" w:sz="0" w:space="0" w:color="auto"/>
                <w:right w:val="none" w:sz="0" w:space="0" w:color="auto"/>
              </w:divBdr>
            </w:div>
            <w:div w:id="1544175271">
              <w:marLeft w:val="0"/>
              <w:marRight w:val="0"/>
              <w:marTop w:val="0"/>
              <w:marBottom w:val="0"/>
              <w:divBdr>
                <w:top w:val="none" w:sz="0" w:space="0" w:color="auto"/>
                <w:left w:val="none" w:sz="0" w:space="0" w:color="auto"/>
                <w:bottom w:val="none" w:sz="0" w:space="0" w:color="auto"/>
                <w:right w:val="none" w:sz="0" w:space="0" w:color="auto"/>
              </w:divBdr>
            </w:div>
          </w:divsChild>
        </w:div>
        <w:div w:id="503978294">
          <w:marLeft w:val="0"/>
          <w:marRight w:val="0"/>
          <w:marTop w:val="0"/>
          <w:marBottom w:val="0"/>
          <w:divBdr>
            <w:top w:val="none" w:sz="0" w:space="0" w:color="auto"/>
            <w:left w:val="none" w:sz="0" w:space="0" w:color="auto"/>
            <w:bottom w:val="none" w:sz="0" w:space="0" w:color="auto"/>
            <w:right w:val="none" w:sz="0" w:space="0" w:color="auto"/>
          </w:divBdr>
          <w:divsChild>
            <w:div w:id="174393355">
              <w:marLeft w:val="0"/>
              <w:marRight w:val="0"/>
              <w:marTop w:val="0"/>
              <w:marBottom w:val="0"/>
              <w:divBdr>
                <w:top w:val="none" w:sz="0" w:space="0" w:color="auto"/>
                <w:left w:val="none" w:sz="0" w:space="0" w:color="auto"/>
                <w:bottom w:val="none" w:sz="0" w:space="0" w:color="auto"/>
                <w:right w:val="none" w:sz="0" w:space="0" w:color="auto"/>
              </w:divBdr>
            </w:div>
            <w:div w:id="590552386">
              <w:marLeft w:val="0"/>
              <w:marRight w:val="0"/>
              <w:marTop w:val="0"/>
              <w:marBottom w:val="0"/>
              <w:divBdr>
                <w:top w:val="none" w:sz="0" w:space="0" w:color="auto"/>
                <w:left w:val="none" w:sz="0" w:space="0" w:color="auto"/>
                <w:bottom w:val="none" w:sz="0" w:space="0" w:color="auto"/>
                <w:right w:val="none" w:sz="0" w:space="0" w:color="auto"/>
              </w:divBdr>
            </w:div>
            <w:div w:id="1208493055">
              <w:marLeft w:val="0"/>
              <w:marRight w:val="0"/>
              <w:marTop w:val="0"/>
              <w:marBottom w:val="0"/>
              <w:divBdr>
                <w:top w:val="none" w:sz="0" w:space="0" w:color="auto"/>
                <w:left w:val="none" w:sz="0" w:space="0" w:color="auto"/>
                <w:bottom w:val="none" w:sz="0" w:space="0" w:color="auto"/>
                <w:right w:val="none" w:sz="0" w:space="0" w:color="auto"/>
              </w:divBdr>
            </w:div>
            <w:div w:id="2066684112">
              <w:marLeft w:val="0"/>
              <w:marRight w:val="0"/>
              <w:marTop w:val="0"/>
              <w:marBottom w:val="0"/>
              <w:divBdr>
                <w:top w:val="none" w:sz="0" w:space="0" w:color="auto"/>
                <w:left w:val="none" w:sz="0" w:space="0" w:color="auto"/>
                <w:bottom w:val="none" w:sz="0" w:space="0" w:color="auto"/>
                <w:right w:val="none" w:sz="0" w:space="0" w:color="auto"/>
              </w:divBdr>
            </w:div>
            <w:div w:id="2115393630">
              <w:marLeft w:val="0"/>
              <w:marRight w:val="0"/>
              <w:marTop w:val="0"/>
              <w:marBottom w:val="0"/>
              <w:divBdr>
                <w:top w:val="none" w:sz="0" w:space="0" w:color="auto"/>
                <w:left w:val="none" w:sz="0" w:space="0" w:color="auto"/>
                <w:bottom w:val="none" w:sz="0" w:space="0" w:color="auto"/>
                <w:right w:val="none" w:sz="0" w:space="0" w:color="auto"/>
              </w:divBdr>
            </w:div>
          </w:divsChild>
        </w:div>
        <w:div w:id="1557662132">
          <w:marLeft w:val="0"/>
          <w:marRight w:val="0"/>
          <w:marTop w:val="0"/>
          <w:marBottom w:val="0"/>
          <w:divBdr>
            <w:top w:val="none" w:sz="0" w:space="0" w:color="auto"/>
            <w:left w:val="none" w:sz="0" w:space="0" w:color="auto"/>
            <w:bottom w:val="none" w:sz="0" w:space="0" w:color="auto"/>
            <w:right w:val="none" w:sz="0" w:space="0" w:color="auto"/>
          </w:divBdr>
          <w:divsChild>
            <w:div w:id="225339905">
              <w:marLeft w:val="0"/>
              <w:marRight w:val="0"/>
              <w:marTop w:val="0"/>
              <w:marBottom w:val="0"/>
              <w:divBdr>
                <w:top w:val="none" w:sz="0" w:space="0" w:color="auto"/>
                <w:left w:val="none" w:sz="0" w:space="0" w:color="auto"/>
                <w:bottom w:val="none" w:sz="0" w:space="0" w:color="auto"/>
                <w:right w:val="none" w:sz="0" w:space="0" w:color="auto"/>
              </w:divBdr>
            </w:div>
            <w:div w:id="840506726">
              <w:marLeft w:val="0"/>
              <w:marRight w:val="0"/>
              <w:marTop w:val="0"/>
              <w:marBottom w:val="0"/>
              <w:divBdr>
                <w:top w:val="none" w:sz="0" w:space="0" w:color="auto"/>
                <w:left w:val="none" w:sz="0" w:space="0" w:color="auto"/>
                <w:bottom w:val="none" w:sz="0" w:space="0" w:color="auto"/>
                <w:right w:val="none" w:sz="0" w:space="0" w:color="auto"/>
              </w:divBdr>
            </w:div>
            <w:div w:id="1275792800">
              <w:marLeft w:val="0"/>
              <w:marRight w:val="0"/>
              <w:marTop w:val="0"/>
              <w:marBottom w:val="0"/>
              <w:divBdr>
                <w:top w:val="none" w:sz="0" w:space="0" w:color="auto"/>
                <w:left w:val="none" w:sz="0" w:space="0" w:color="auto"/>
                <w:bottom w:val="none" w:sz="0" w:space="0" w:color="auto"/>
                <w:right w:val="none" w:sz="0" w:space="0" w:color="auto"/>
              </w:divBdr>
            </w:div>
            <w:div w:id="1567758667">
              <w:marLeft w:val="0"/>
              <w:marRight w:val="0"/>
              <w:marTop w:val="0"/>
              <w:marBottom w:val="0"/>
              <w:divBdr>
                <w:top w:val="none" w:sz="0" w:space="0" w:color="auto"/>
                <w:left w:val="none" w:sz="0" w:space="0" w:color="auto"/>
                <w:bottom w:val="none" w:sz="0" w:space="0" w:color="auto"/>
                <w:right w:val="none" w:sz="0" w:space="0" w:color="auto"/>
              </w:divBdr>
            </w:div>
            <w:div w:id="1596279246">
              <w:marLeft w:val="0"/>
              <w:marRight w:val="0"/>
              <w:marTop w:val="0"/>
              <w:marBottom w:val="0"/>
              <w:divBdr>
                <w:top w:val="none" w:sz="0" w:space="0" w:color="auto"/>
                <w:left w:val="none" w:sz="0" w:space="0" w:color="auto"/>
                <w:bottom w:val="none" w:sz="0" w:space="0" w:color="auto"/>
                <w:right w:val="none" w:sz="0" w:space="0" w:color="auto"/>
              </w:divBdr>
            </w:div>
          </w:divsChild>
        </w:div>
        <w:div w:id="1934583153">
          <w:marLeft w:val="0"/>
          <w:marRight w:val="0"/>
          <w:marTop w:val="0"/>
          <w:marBottom w:val="0"/>
          <w:divBdr>
            <w:top w:val="none" w:sz="0" w:space="0" w:color="auto"/>
            <w:left w:val="none" w:sz="0" w:space="0" w:color="auto"/>
            <w:bottom w:val="none" w:sz="0" w:space="0" w:color="auto"/>
            <w:right w:val="none" w:sz="0" w:space="0" w:color="auto"/>
          </w:divBdr>
          <w:divsChild>
            <w:div w:id="236941877">
              <w:marLeft w:val="0"/>
              <w:marRight w:val="0"/>
              <w:marTop w:val="0"/>
              <w:marBottom w:val="0"/>
              <w:divBdr>
                <w:top w:val="none" w:sz="0" w:space="0" w:color="auto"/>
                <w:left w:val="none" w:sz="0" w:space="0" w:color="auto"/>
                <w:bottom w:val="none" w:sz="0" w:space="0" w:color="auto"/>
                <w:right w:val="none" w:sz="0" w:space="0" w:color="auto"/>
              </w:divBdr>
            </w:div>
            <w:div w:id="523712906">
              <w:marLeft w:val="0"/>
              <w:marRight w:val="0"/>
              <w:marTop w:val="0"/>
              <w:marBottom w:val="0"/>
              <w:divBdr>
                <w:top w:val="none" w:sz="0" w:space="0" w:color="auto"/>
                <w:left w:val="none" w:sz="0" w:space="0" w:color="auto"/>
                <w:bottom w:val="none" w:sz="0" w:space="0" w:color="auto"/>
                <w:right w:val="none" w:sz="0" w:space="0" w:color="auto"/>
              </w:divBdr>
            </w:div>
          </w:divsChild>
        </w:div>
        <w:div w:id="1954360790">
          <w:marLeft w:val="0"/>
          <w:marRight w:val="0"/>
          <w:marTop w:val="0"/>
          <w:marBottom w:val="0"/>
          <w:divBdr>
            <w:top w:val="none" w:sz="0" w:space="0" w:color="auto"/>
            <w:left w:val="none" w:sz="0" w:space="0" w:color="auto"/>
            <w:bottom w:val="none" w:sz="0" w:space="0" w:color="auto"/>
            <w:right w:val="none" w:sz="0" w:space="0" w:color="auto"/>
          </w:divBdr>
          <w:divsChild>
            <w:div w:id="69471320">
              <w:marLeft w:val="0"/>
              <w:marRight w:val="0"/>
              <w:marTop w:val="0"/>
              <w:marBottom w:val="0"/>
              <w:divBdr>
                <w:top w:val="none" w:sz="0" w:space="0" w:color="auto"/>
                <w:left w:val="none" w:sz="0" w:space="0" w:color="auto"/>
                <w:bottom w:val="none" w:sz="0" w:space="0" w:color="auto"/>
                <w:right w:val="none" w:sz="0" w:space="0" w:color="auto"/>
              </w:divBdr>
            </w:div>
            <w:div w:id="149757942">
              <w:marLeft w:val="0"/>
              <w:marRight w:val="0"/>
              <w:marTop w:val="0"/>
              <w:marBottom w:val="0"/>
              <w:divBdr>
                <w:top w:val="none" w:sz="0" w:space="0" w:color="auto"/>
                <w:left w:val="none" w:sz="0" w:space="0" w:color="auto"/>
                <w:bottom w:val="none" w:sz="0" w:space="0" w:color="auto"/>
                <w:right w:val="none" w:sz="0" w:space="0" w:color="auto"/>
              </w:divBdr>
            </w:div>
            <w:div w:id="250163980">
              <w:marLeft w:val="0"/>
              <w:marRight w:val="0"/>
              <w:marTop w:val="0"/>
              <w:marBottom w:val="0"/>
              <w:divBdr>
                <w:top w:val="none" w:sz="0" w:space="0" w:color="auto"/>
                <w:left w:val="none" w:sz="0" w:space="0" w:color="auto"/>
                <w:bottom w:val="none" w:sz="0" w:space="0" w:color="auto"/>
                <w:right w:val="none" w:sz="0" w:space="0" w:color="auto"/>
              </w:divBdr>
            </w:div>
            <w:div w:id="491264256">
              <w:marLeft w:val="0"/>
              <w:marRight w:val="0"/>
              <w:marTop w:val="0"/>
              <w:marBottom w:val="0"/>
              <w:divBdr>
                <w:top w:val="none" w:sz="0" w:space="0" w:color="auto"/>
                <w:left w:val="none" w:sz="0" w:space="0" w:color="auto"/>
                <w:bottom w:val="none" w:sz="0" w:space="0" w:color="auto"/>
                <w:right w:val="none" w:sz="0" w:space="0" w:color="auto"/>
              </w:divBdr>
            </w:div>
            <w:div w:id="5967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1517">
      <w:bodyDiv w:val="1"/>
      <w:marLeft w:val="0"/>
      <w:marRight w:val="0"/>
      <w:marTop w:val="0"/>
      <w:marBottom w:val="0"/>
      <w:divBdr>
        <w:top w:val="none" w:sz="0" w:space="0" w:color="auto"/>
        <w:left w:val="none" w:sz="0" w:space="0" w:color="auto"/>
        <w:bottom w:val="none" w:sz="0" w:space="0" w:color="auto"/>
        <w:right w:val="none" w:sz="0" w:space="0" w:color="auto"/>
      </w:divBdr>
      <w:divsChild>
        <w:div w:id="1100756369">
          <w:marLeft w:val="0"/>
          <w:marRight w:val="0"/>
          <w:marTop w:val="0"/>
          <w:marBottom w:val="0"/>
          <w:divBdr>
            <w:top w:val="none" w:sz="0" w:space="0" w:color="auto"/>
            <w:left w:val="none" w:sz="0" w:space="0" w:color="auto"/>
            <w:bottom w:val="none" w:sz="0" w:space="0" w:color="auto"/>
            <w:right w:val="none" w:sz="0" w:space="0" w:color="auto"/>
          </w:divBdr>
          <w:divsChild>
            <w:div w:id="14828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4507">
      <w:bodyDiv w:val="1"/>
      <w:marLeft w:val="0"/>
      <w:marRight w:val="0"/>
      <w:marTop w:val="0"/>
      <w:marBottom w:val="0"/>
      <w:divBdr>
        <w:top w:val="none" w:sz="0" w:space="0" w:color="auto"/>
        <w:left w:val="none" w:sz="0" w:space="0" w:color="auto"/>
        <w:bottom w:val="none" w:sz="0" w:space="0" w:color="auto"/>
        <w:right w:val="none" w:sz="0" w:space="0" w:color="auto"/>
      </w:divBdr>
      <w:divsChild>
        <w:div w:id="36122481">
          <w:marLeft w:val="0"/>
          <w:marRight w:val="0"/>
          <w:marTop w:val="0"/>
          <w:marBottom w:val="0"/>
          <w:divBdr>
            <w:top w:val="none" w:sz="0" w:space="0" w:color="auto"/>
            <w:left w:val="none" w:sz="0" w:space="0" w:color="auto"/>
            <w:bottom w:val="none" w:sz="0" w:space="0" w:color="auto"/>
            <w:right w:val="none" w:sz="0" w:space="0" w:color="auto"/>
          </w:divBdr>
          <w:divsChild>
            <w:div w:id="701059364">
              <w:marLeft w:val="0"/>
              <w:marRight w:val="0"/>
              <w:marTop w:val="0"/>
              <w:marBottom w:val="0"/>
              <w:divBdr>
                <w:top w:val="none" w:sz="0" w:space="0" w:color="auto"/>
                <w:left w:val="none" w:sz="0" w:space="0" w:color="auto"/>
                <w:bottom w:val="none" w:sz="0" w:space="0" w:color="auto"/>
                <w:right w:val="none" w:sz="0" w:space="0" w:color="auto"/>
              </w:divBdr>
            </w:div>
            <w:div w:id="792485641">
              <w:marLeft w:val="0"/>
              <w:marRight w:val="0"/>
              <w:marTop w:val="0"/>
              <w:marBottom w:val="0"/>
              <w:divBdr>
                <w:top w:val="none" w:sz="0" w:space="0" w:color="auto"/>
                <w:left w:val="none" w:sz="0" w:space="0" w:color="auto"/>
                <w:bottom w:val="none" w:sz="0" w:space="0" w:color="auto"/>
                <w:right w:val="none" w:sz="0" w:space="0" w:color="auto"/>
              </w:divBdr>
            </w:div>
            <w:div w:id="1210074468">
              <w:marLeft w:val="0"/>
              <w:marRight w:val="0"/>
              <w:marTop w:val="0"/>
              <w:marBottom w:val="0"/>
              <w:divBdr>
                <w:top w:val="none" w:sz="0" w:space="0" w:color="auto"/>
                <w:left w:val="none" w:sz="0" w:space="0" w:color="auto"/>
                <w:bottom w:val="none" w:sz="0" w:space="0" w:color="auto"/>
                <w:right w:val="none" w:sz="0" w:space="0" w:color="auto"/>
              </w:divBdr>
            </w:div>
            <w:div w:id="1483154778">
              <w:marLeft w:val="0"/>
              <w:marRight w:val="0"/>
              <w:marTop w:val="0"/>
              <w:marBottom w:val="0"/>
              <w:divBdr>
                <w:top w:val="none" w:sz="0" w:space="0" w:color="auto"/>
                <w:left w:val="none" w:sz="0" w:space="0" w:color="auto"/>
                <w:bottom w:val="none" w:sz="0" w:space="0" w:color="auto"/>
                <w:right w:val="none" w:sz="0" w:space="0" w:color="auto"/>
              </w:divBdr>
            </w:div>
            <w:div w:id="1955403706">
              <w:marLeft w:val="0"/>
              <w:marRight w:val="0"/>
              <w:marTop w:val="0"/>
              <w:marBottom w:val="0"/>
              <w:divBdr>
                <w:top w:val="none" w:sz="0" w:space="0" w:color="auto"/>
                <w:left w:val="none" w:sz="0" w:space="0" w:color="auto"/>
                <w:bottom w:val="none" w:sz="0" w:space="0" w:color="auto"/>
                <w:right w:val="none" w:sz="0" w:space="0" w:color="auto"/>
              </w:divBdr>
            </w:div>
          </w:divsChild>
        </w:div>
        <w:div w:id="436290556">
          <w:marLeft w:val="0"/>
          <w:marRight w:val="0"/>
          <w:marTop w:val="0"/>
          <w:marBottom w:val="0"/>
          <w:divBdr>
            <w:top w:val="none" w:sz="0" w:space="0" w:color="auto"/>
            <w:left w:val="none" w:sz="0" w:space="0" w:color="auto"/>
            <w:bottom w:val="none" w:sz="0" w:space="0" w:color="auto"/>
            <w:right w:val="none" w:sz="0" w:space="0" w:color="auto"/>
          </w:divBdr>
          <w:divsChild>
            <w:div w:id="1010889">
              <w:marLeft w:val="0"/>
              <w:marRight w:val="0"/>
              <w:marTop w:val="0"/>
              <w:marBottom w:val="0"/>
              <w:divBdr>
                <w:top w:val="none" w:sz="0" w:space="0" w:color="auto"/>
                <w:left w:val="none" w:sz="0" w:space="0" w:color="auto"/>
                <w:bottom w:val="none" w:sz="0" w:space="0" w:color="auto"/>
                <w:right w:val="none" w:sz="0" w:space="0" w:color="auto"/>
              </w:divBdr>
            </w:div>
            <w:div w:id="303513054">
              <w:marLeft w:val="0"/>
              <w:marRight w:val="0"/>
              <w:marTop w:val="0"/>
              <w:marBottom w:val="0"/>
              <w:divBdr>
                <w:top w:val="none" w:sz="0" w:space="0" w:color="auto"/>
                <w:left w:val="none" w:sz="0" w:space="0" w:color="auto"/>
                <w:bottom w:val="none" w:sz="0" w:space="0" w:color="auto"/>
                <w:right w:val="none" w:sz="0" w:space="0" w:color="auto"/>
              </w:divBdr>
            </w:div>
            <w:div w:id="1642342430">
              <w:marLeft w:val="0"/>
              <w:marRight w:val="0"/>
              <w:marTop w:val="0"/>
              <w:marBottom w:val="0"/>
              <w:divBdr>
                <w:top w:val="none" w:sz="0" w:space="0" w:color="auto"/>
                <w:left w:val="none" w:sz="0" w:space="0" w:color="auto"/>
                <w:bottom w:val="none" w:sz="0" w:space="0" w:color="auto"/>
                <w:right w:val="none" w:sz="0" w:space="0" w:color="auto"/>
              </w:divBdr>
            </w:div>
            <w:div w:id="1720787479">
              <w:marLeft w:val="0"/>
              <w:marRight w:val="0"/>
              <w:marTop w:val="0"/>
              <w:marBottom w:val="0"/>
              <w:divBdr>
                <w:top w:val="none" w:sz="0" w:space="0" w:color="auto"/>
                <w:left w:val="none" w:sz="0" w:space="0" w:color="auto"/>
                <w:bottom w:val="none" w:sz="0" w:space="0" w:color="auto"/>
                <w:right w:val="none" w:sz="0" w:space="0" w:color="auto"/>
              </w:divBdr>
            </w:div>
            <w:div w:id="2140757388">
              <w:marLeft w:val="0"/>
              <w:marRight w:val="0"/>
              <w:marTop w:val="0"/>
              <w:marBottom w:val="0"/>
              <w:divBdr>
                <w:top w:val="none" w:sz="0" w:space="0" w:color="auto"/>
                <w:left w:val="none" w:sz="0" w:space="0" w:color="auto"/>
                <w:bottom w:val="none" w:sz="0" w:space="0" w:color="auto"/>
                <w:right w:val="none" w:sz="0" w:space="0" w:color="auto"/>
              </w:divBdr>
            </w:div>
          </w:divsChild>
        </w:div>
        <w:div w:id="926113969">
          <w:marLeft w:val="0"/>
          <w:marRight w:val="0"/>
          <w:marTop w:val="0"/>
          <w:marBottom w:val="0"/>
          <w:divBdr>
            <w:top w:val="none" w:sz="0" w:space="0" w:color="auto"/>
            <w:left w:val="none" w:sz="0" w:space="0" w:color="auto"/>
            <w:bottom w:val="none" w:sz="0" w:space="0" w:color="auto"/>
            <w:right w:val="none" w:sz="0" w:space="0" w:color="auto"/>
          </w:divBdr>
        </w:div>
        <w:div w:id="1060637501">
          <w:marLeft w:val="0"/>
          <w:marRight w:val="0"/>
          <w:marTop w:val="0"/>
          <w:marBottom w:val="0"/>
          <w:divBdr>
            <w:top w:val="none" w:sz="0" w:space="0" w:color="auto"/>
            <w:left w:val="none" w:sz="0" w:space="0" w:color="auto"/>
            <w:bottom w:val="none" w:sz="0" w:space="0" w:color="auto"/>
            <w:right w:val="none" w:sz="0" w:space="0" w:color="auto"/>
          </w:divBdr>
          <w:divsChild>
            <w:div w:id="945384810">
              <w:marLeft w:val="0"/>
              <w:marRight w:val="0"/>
              <w:marTop w:val="0"/>
              <w:marBottom w:val="0"/>
              <w:divBdr>
                <w:top w:val="none" w:sz="0" w:space="0" w:color="auto"/>
                <w:left w:val="none" w:sz="0" w:space="0" w:color="auto"/>
                <w:bottom w:val="none" w:sz="0" w:space="0" w:color="auto"/>
                <w:right w:val="none" w:sz="0" w:space="0" w:color="auto"/>
              </w:divBdr>
            </w:div>
            <w:div w:id="962153839">
              <w:marLeft w:val="0"/>
              <w:marRight w:val="0"/>
              <w:marTop w:val="0"/>
              <w:marBottom w:val="0"/>
              <w:divBdr>
                <w:top w:val="none" w:sz="0" w:space="0" w:color="auto"/>
                <w:left w:val="none" w:sz="0" w:space="0" w:color="auto"/>
                <w:bottom w:val="none" w:sz="0" w:space="0" w:color="auto"/>
                <w:right w:val="none" w:sz="0" w:space="0" w:color="auto"/>
              </w:divBdr>
            </w:div>
            <w:div w:id="1113596188">
              <w:marLeft w:val="0"/>
              <w:marRight w:val="0"/>
              <w:marTop w:val="0"/>
              <w:marBottom w:val="0"/>
              <w:divBdr>
                <w:top w:val="none" w:sz="0" w:space="0" w:color="auto"/>
                <w:left w:val="none" w:sz="0" w:space="0" w:color="auto"/>
                <w:bottom w:val="none" w:sz="0" w:space="0" w:color="auto"/>
                <w:right w:val="none" w:sz="0" w:space="0" w:color="auto"/>
              </w:divBdr>
            </w:div>
            <w:div w:id="1788543758">
              <w:marLeft w:val="0"/>
              <w:marRight w:val="0"/>
              <w:marTop w:val="0"/>
              <w:marBottom w:val="0"/>
              <w:divBdr>
                <w:top w:val="none" w:sz="0" w:space="0" w:color="auto"/>
                <w:left w:val="none" w:sz="0" w:space="0" w:color="auto"/>
                <w:bottom w:val="none" w:sz="0" w:space="0" w:color="auto"/>
                <w:right w:val="none" w:sz="0" w:space="0" w:color="auto"/>
              </w:divBdr>
            </w:div>
            <w:div w:id="1919441485">
              <w:marLeft w:val="0"/>
              <w:marRight w:val="0"/>
              <w:marTop w:val="0"/>
              <w:marBottom w:val="0"/>
              <w:divBdr>
                <w:top w:val="none" w:sz="0" w:space="0" w:color="auto"/>
                <w:left w:val="none" w:sz="0" w:space="0" w:color="auto"/>
                <w:bottom w:val="none" w:sz="0" w:space="0" w:color="auto"/>
                <w:right w:val="none" w:sz="0" w:space="0" w:color="auto"/>
              </w:divBdr>
            </w:div>
          </w:divsChild>
        </w:div>
        <w:div w:id="1438407730">
          <w:marLeft w:val="0"/>
          <w:marRight w:val="0"/>
          <w:marTop w:val="0"/>
          <w:marBottom w:val="0"/>
          <w:divBdr>
            <w:top w:val="none" w:sz="0" w:space="0" w:color="auto"/>
            <w:left w:val="none" w:sz="0" w:space="0" w:color="auto"/>
            <w:bottom w:val="none" w:sz="0" w:space="0" w:color="auto"/>
            <w:right w:val="none" w:sz="0" w:space="0" w:color="auto"/>
          </w:divBdr>
          <w:divsChild>
            <w:div w:id="815870">
              <w:marLeft w:val="0"/>
              <w:marRight w:val="0"/>
              <w:marTop w:val="0"/>
              <w:marBottom w:val="0"/>
              <w:divBdr>
                <w:top w:val="none" w:sz="0" w:space="0" w:color="auto"/>
                <w:left w:val="none" w:sz="0" w:space="0" w:color="auto"/>
                <w:bottom w:val="none" w:sz="0" w:space="0" w:color="auto"/>
                <w:right w:val="none" w:sz="0" w:space="0" w:color="auto"/>
              </w:divBdr>
            </w:div>
            <w:div w:id="143661927">
              <w:marLeft w:val="0"/>
              <w:marRight w:val="0"/>
              <w:marTop w:val="0"/>
              <w:marBottom w:val="0"/>
              <w:divBdr>
                <w:top w:val="none" w:sz="0" w:space="0" w:color="auto"/>
                <w:left w:val="none" w:sz="0" w:space="0" w:color="auto"/>
                <w:bottom w:val="none" w:sz="0" w:space="0" w:color="auto"/>
                <w:right w:val="none" w:sz="0" w:space="0" w:color="auto"/>
              </w:divBdr>
            </w:div>
            <w:div w:id="648435005">
              <w:marLeft w:val="0"/>
              <w:marRight w:val="0"/>
              <w:marTop w:val="0"/>
              <w:marBottom w:val="0"/>
              <w:divBdr>
                <w:top w:val="none" w:sz="0" w:space="0" w:color="auto"/>
                <w:left w:val="none" w:sz="0" w:space="0" w:color="auto"/>
                <w:bottom w:val="none" w:sz="0" w:space="0" w:color="auto"/>
                <w:right w:val="none" w:sz="0" w:space="0" w:color="auto"/>
              </w:divBdr>
            </w:div>
            <w:div w:id="745999249">
              <w:marLeft w:val="0"/>
              <w:marRight w:val="0"/>
              <w:marTop w:val="0"/>
              <w:marBottom w:val="0"/>
              <w:divBdr>
                <w:top w:val="none" w:sz="0" w:space="0" w:color="auto"/>
                <w:left w:val="none" w:sz="0" w:space="0" w:color="auto"/>
                <w:bottom w:val="none" w:sz="0" w:space="0" w:color="auto"/>
                <w:right w:val="none" w:sz="0" w:space="0" w:color="auto"/>
              </w:divBdr>
            </w:div>
            <w:div w:id="1739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6252">
      <w:bodyDiv w:val="1"/>
      <w:marLeft w:val="0"/>
      <w:marRight w:val="0"/>
      <w:marTop w:val="0"/>
      <w:marBottom w:val="0"/>
      <w:divBdr>
        <w:top w:val="none" w:sz="0" w:space="0" w:color="auto"/>
        <w:left w:val="none" w:sz="0" w:space="0" w:color="auto"/>
        <w:bottom w:val="none" w:sz="0" w:space="0" w:color="auto"/>
        <w:right w:val="none" w:sz="0" w:space="0" w:color="auto"/>
      </w:divBdr>
      <w:divsChild>
        <w:div w:id="56516768">
          <w:marLeft w:val="0"/>
          <w:marRight w:val="0"/>
          <w:marTop w:val="0"/>
          <w:marBottom w:val="0"/>
          <w:divBdr>
            <w:top w:val="none" w:sz="0" w:space="0" w:color="auto"/>
            <w:left w:val="none" w:sz="0" w:space="0" w:color="auto"/>
            <w:bottom w:val="none" w:sz="0" w:space="0" w:color="auto"/>
            <w:right w:val="none" w:sz="0" w:space="0" w:color="auto"/>
          </w:divBdr>
          <w:divsChild>
            <w:div w:id="333656017">
              <w:marLeft w:val="0"/>
              <w:marRight w:val="0"/>
              <w:marTop w:val="0"/>
              <w:marBottom w:val="0"/>
              <w:divBdr>
                <w:top w:val="none" w:sz="0" w:space="0" w:color="auto"/>
                <w:left w:val="none" w:sz="0" w:space="0" w:color="auto"/>
                <w:bottom w:val="none" w:sz="0" w:space="0" w:color="auto"/>
                <w:right w:val="none" w:sz="0" w:space="0" w:color="auto"/>
              </w:divBdr>
            </w:div>
            <w:div w:id="1278221314">
              <w:marLeft w:val="0"/>
              <w:marRight w:val="0"/>
              <w:marTop w:val="0"/>
              <w:marBottom w:val="0"/>
              <w:divBdr>
                <w:top w:val="none" w:sz="0" w:space="0" w:color="auto"/>
                <w:left w:val="none" w:sz="0" w:space="0" w:color="auto"/>
                <w:bottom w:val="none" w:sz="0" w:space="0" w:color="auto"/>
                <w:right w:val="none" w:sz="0" w:space="0" w:color="auto"/>
              </w:divBdr>
            </w:div>
            <w:div w:id="2057774141">
              <w:marLeft w:val="0"/>
              <w:marRight w:val="0"/>
              <w:marTop w:val="0"/>
              <w:marBottom w:val="0"/>
              <w:divBdr>
                <w:top w:val="none" w:sz="0" w:space="0" w:color="auto"/>
                <w:left w:val="none" w:sz="0" w:space="0" w:color="auto"/>
                <w:bottom w:val="none" w:sz="0" w:space="0" w:color="auto"/>
                <w:right w:val="none" w:sz="0" w:space="0" w:color="auto"/>
              </w:divBdr>
            </w:div>
            <w:div w:id="2086951069">
              <w:marLeft w:val="0"/>
              <w:marRight w:val="0"/>
              <w:marTop w:val="0"/>
              <w:marBottom w:val="0"/>
              <w:divBdr>
                <w:top w:val="none" w:sz="0" w:space="0" w:color="auto"/>
                <w:left w:val="none" w:sz="0" w:space="0" w:color="auto"/>
                <w:bottom w:val="none" w:sz="0" w:space="0" w:color="auto"/>
                <w:right w:val="none" w:sz="0" w:space="0" w:color="auto"/>
              </w:divBdr>
            </w:div>
            <w:div w:id="2110925873">
              <w:marLeft w:val="0"/>
              <w:marRight w:val="0"/>
              <w:marTop w:val="0"/>
              <w:marBottom w:val="0"/>
              <w:divBdr>
                <w:top w:val="none" w:sz="0" w:space="0" w:color="auto"/>
                <w:left w:val="none" w:sz="0" w:space="0" w:color="auto"/>
                <w:bottom w:val="none" w:sz="0" w:space="0" w:color="auto"/>
                <w:right w:val="none" w:sz="0" w:space="0" w:color="auto"/>
              </w:divBdr>
            </w:div>
          </w:divsChild>
        </w:div>
        <w:div w:id="257176455">
          <w:marLeft w:val="0"/>
          <w:marRight w:val="0"/>
          <w:marTop w:val="0"/>
          <w:marBottom w:val="0"/>
          <w:divBdr>
            <w:top w:val="none" w:sz="0" w:space="0" w:color="auto"/>
            <w:left w:val="none" w:sz="0" w:space="0" w:color="auto"/>
            <w:bottom w:val="none" w:sz="0" w:space="0" w:color="auto"/>
            <w:right w:val="none" w:sz="0" w:space="0" w:color="auto"/>
          </w:divBdr>
          <w:divsChild>
            <w:div w:id="204490578">
              <w:marLeft w:val="0"/>
              <w:marRight w:val="0"/>
              <w:marTop w:val="0"/>
              <w:marBottom w:val="0"/>
              <w:divBdr>
                <w:top w:val="none" w:sz="0" w:space="0" w:color="auto"/>
                <w:left w:val="none" w:sz="0" w:space="0" w:color="auto"/>
                <w:bottom w:val="none" w:sz="0" w:space="0" w:color="auto"/>
                <w:right w:val="none" w:sz="0" w:space="0" w:color="auto"/>
              </w:divBdr>
            </w:div>
            <w:div w:id="562254572">
              <w:marLeft w:val="0"/>
              <w:marRight w:val="0"/>
              <w:marTop w:val="0"/>
              <w:marBottom w:val="0"/>
              <w:divBdr>
                <w:top w:val="none" w:sz="0" w:space="0" w:color="auto"/>
                <w:left w:val="none" w:sz="0" w:space="0" w:color="auto"/>
                <w:bottom w:val="none" w:sz="0" w:space="0" w:color="auto"/>
                <w:right w:val="none" w:sz="0" w:space="0" w:color="auto"/>
              </w:divBdr>
            </w:div>
            <w:div w:id="775639106">
              <w:marLeft w:val="0"/>
              <w:marRight w:val="0"/>
              <w:marTop w:val="0"/>
              <w:marBottom w:val="0"/>
              <w:divBdr>
                <w:top w:val="none" w:sz="0" w:space="0" w:color="auto"/>
                <w:left w:val="none" w:sz="0" w:space="0" w:color="auto"/>
                <w:bottom w:val="none" w:sz="0" w:space="0" w:color="auto"/>
                <w:right w:val="none" w:sz="0" w:space="0" w:color="auto"/>
              </w:divBdr>
            </w:div>
            <w:div w:id="998459074">
              <w:marLeft w:val="0"/>
              <w:marRight w:val="0"/>
              <w:marTop w:val="0"/>
              <w:marBottom w:val="0"/>
              <w:divBdr>
                <w:top w:val="none" w:sz="0" w:space="0" w:color="auto"/>
                <w:left w:val="none" w:sz="0" w:space="0" w:color="auto"/>
                <w:bottom w:val="none" w:sz="0" w:space="0" w:color="auto"/>
                <w:right w:val="none" w:sz="0" w:space="0" w:color="auto"/>
              </w:divBdr>
            </w:div>
            <w:div w:id="1101992956">
              <w:marLeft w:val="0"/>
              <w:marRight w:val="0"/>
              <w:marTop w:val="0"/>
              <w:marBottom w:val="0"/>
              <w:divBdr>
                <w:top w:val="none" w:sz="0" w:space="0" w:color="auto"/>
                <w:left w:val="none" w:sz="0" w:space="0" w:color="auto"/>
                <w:bottom w:val="none" w:sz="0" w:space="0" w:color="auto"/>
                <w:right w:val="none" w:sz="0" w:space="0" w:color="auto"/>
              </w:divBdr>
            </w:div>
          </w:divsChild>
        </w:div>
        <w:div w:id="268005110">
          <w:marLeft w:val="0"/>
          <w:marRight w:val="0"/>
          <w:marTop w:val="0"/>
          <w:marBottom w:val="0"/>
          <w:divBdr>
            <w:top w:val="none" w:sz="0" w:space="0" w:color="auto"/>
            <w:left w:val="none" w:sz="0" w:space="0" w:color="auto"/>
            <w:bottom w:val="none" w:sz="0" w:space="0" w:color="auto"/>
            <w:right w:val="none" w:sz="0" w:space="0" w:color="auto"/>
          </w:divBdr>
          <w:divsChild>
            <w:div w:id="793476375">
              <w:marLeft w:val="0"/>
              <w:marRight w:val="0"/>
              <w:marTop w:val="0"/>
              <w:marBottom w:val="0"/>
              <w:divBdr>
                <w:top w:val="none" w:sz="0" w:space="0" w:color="auto"/>
                <w:left w:val="none" w:sz="0" w:space="0" w:color="auto"/>
                <w:bottom w:val="none" w:sz="0" w:space="0" w:color="auto"/>
                <w:right w:val="none" w:sz="0" w:space="0" w:color="auto"/>
              </w:divBdr>
            </w:div>
            <w:div w:id="1060445618">
              <w:marLeft w:val="0"/>
              <w:marRight w:val="0"/>
              <w:marTop w:val="0"/>
              <w:marBottom w:val="0"/>
              <w:divBdr>
                <w:top w:val="none" w:sz="0" w:space="0" w:color="auto"/>
                <w:left w:val="none" w:sz="0" w:space="0" w:color="auto"/>
                <w:bottom w:val="none" w:sz="0" w:space="0" w:color="auto"/>
                <w:right w:val="none" w:sz="0" w:space="0" w:color="auto"/>
              </w:divBdr>
            </w:div>
            <w:div w:id="1129392741">
              <w:marLeft w:val="0"/>
              <w:marRight w:val="0"/>
              <w:marTop w:val="0"/>
              <w:marBottom w:val="0"/>
              <w:divBdr>
                <w:top w:val="none" w:sz="0" w:space="0" w:color="auto"/>
                <w:left w:val="none" w:sz="0" w:space="0" w:color="auto"/>
                <w:bottom w:val="none" w:sz="0" w:space="0" w:color="auto"/>
                <w:right w:val="none" w:sz="0" w:space="0" w:color="auto"/>
              </w:divBdr>
            </w:div>
            <w:div w:id="1334601596">
              <w:marLeft w:val="0"/>
              <w:marRight w:val="0"/>
              <w:marTop w:val="0"/>
              <w:marBottom w:val="0"/>
              <w:divBdr>
                <w:top w:val="none" w:sz="0" w:space="0" w:color="auto"/>
                <w:left w:val="none" w:sz="0" w:space="0" w:color="auto"/>
                <w:bottom w:val="none" w:sz="0" w:space="0" w:color="auto"/>
                <w:right w:val="none" w:sz="0" w:space="0" w:color="auto"/>
              </w:divBdr>
            </w:div>
            <w:div w:id="1956907166">
              <w:marLeft w:val="0"/>
              <w:marRight w:val="0"/>
              <w:marTop w:val="0"/>
              <w:marBottom w:val="0"/>
              <w:divBdr>
                <w:top w:val="none" w:sz="0" w:space="0" w:color="auto"/>
                <w:left w:val="none" w:sz="0" w:space="0" w:color="auto"/>
                <w:bottom w:val="none" w:sz="0" w:space="0" w:color="auto"/>
                <w:right w:val="none" w:sz="0" w:space="0" w:color="auto"/>
              </w:divBdr>
            </w:div>
          </w:divsChild>
        </w:div>
        <w:div w:id="813447307">
          <w:marLeft w:val="0"/>
          <w:marRight w:val="0"/>
          <w:marTop w:val="0"/>
          <w:marBottom w:val="0"/>
          <w:divBdr>
            <w:top w:val="none" w:sz="0" w:space="0" w:color="auto"/>
            <w:left w:val="none" w:sz="0" w:space="0" w:color="auto"/>
            <w:bottom w:val="none" w:sz="0" w:space="0" w:color="auto"/>
            <w:right w:val="none" w:sz="0" w:space="0" w:color="auto"/>
          </w:divBdr>
          <w:divsChild>
            <w:div w:id="209928668">
              <w:marLeft w:val="0"/>
              <w:marRight w:val="0"/>
              <w:marTop w:val="0"/>
              <w:marBottom w:val="0"/>
              <w:divBdr>
                <w:top w:val="none" w:sz="0" w:space="0" w:color="auto"/>
                <w:left w:val="none" w:sz="0" w:space="0" w:color="auto"/>
                <w:bottom w:val="none" w:sz="0" w:space="0" w:color="auto"/>
                <w:right w:val="none" w:sz="0" w:space="0" w:color="auto"/>
              </w:divBdr>
            </w:div>
            <w:div w:id="575751544">
              <w:marLeft w:val="0"/>
              <w:marRight w:val="0"/>
              <w:marTop w:val="0"/>
              <w:marBottom w:val="0"/>
              <w:divBdr>
                <w:top w:val="none" w:sz="0" w:space="0" w:color="auto"/>
                <w:left w:val="none" w:sz="0" w:space="0" w:color="auto"/>
                <w:bottom w:val="none" w:sz="0" w:space="0" w:color="auto"/>
                <w:right w:val="none" w:sz="0" w:space="0" w:color="auto"/>
              </w:divBdr>
            </w:div>
            <w:div w:id="1116561916">
              <w:marLeft w:val="0"/>
              <w:marRight w:val="0"/>
              <w:marTop w:val="0"/>
              <w:marBottom w:val="0"/>
              <w:divBdr>
                <w:top w:val="none" w:sz="0" w:space="0" w:color="auto"/>
                <w:left w:val="none" w:sz="0" w:space="0" w:color="auto"/>
                <w:bottom w:val="none" w:sz="0" w:space="0" w:color="auto"/>
                <w:right w:val="none" w:sz="0" w:space="0" w:color="auto"/>
              </w:divBdr>
            </w:div>
          </w:divsChild>
        </w:div>
        <w:div w:id="1015965141">
          <w:marLeft w:val="0"/>
          <w:marRight w:val="0"/>
          <w:marTop w:val="0"/>
          <w:marBottom w:val="0"/>
          <w:divBdr>
            <w:top w:val="none" w:sz="0" w:space="0" w:color="auto"/>
            <w:left w:val="none" w:sz="0" w:space="0" w:color="auto"/>
            <w:bottom w:val="none" w:sz="0" w:space="0" w:color="auto"/>
            <w:right w:val="none" w:sz="0" w:space="0" w:color="auto"/>
          </w:divBdr>
          <w:divsChild>
            <w:div w:id="297803566">
              <w:marLeft w:val="0"/>
              <w:marRight w:val="0"/>
              <w:marTop w:val="0"/>
              <w:marBottom w:val="0"/>
              <w:divBdr>
                <w:top w:val="none" w:sz="0" w:space="0" w:color="auto"/>
                <w:left w:val="none" w:sz="0" w:space="0" w:color="auto"/>
                <w:bottom w:val="none" w:sz="0" w:space="0" w:color="auto"/>
                <w:right w:val="none" w:sz="0" w:space="0" w:color="auto"/>
              </w:divBdr>
            </w:div>
            <w:div w:id="531724726">
              <w:marLeft w:val="0"/>
              <w:marRight w:val="0"/>
              <w:marTop w:val="0"/>
              <w:marBottom w:val="0"/>
              <w:divBdr>
                <w:top w:val="none" w:sz="0" w:space="0" w:color="auto"/>
                <w:left w:val="none" w:sz="0" w:space="0" w:color="auto"/>
                <w:bottom w:val="none" w:sz="0" w:space="0" w:color="auto"/>
                <w:right w:val="none" w:sz="0" w:space="0" w:color="auto"/>
              </w:divBdr>
            </w:div>
            <w:div w:id="930771780">
              <w:marLeft w:val="0"/>
              <w:marRight w:val="0"/>
              <w:marTop w:val="0"/>
              <w:marBottom w:val="0"/>
              <w:divBdr>
                <w:top w:val="none" w:sz="0" w:space="0" w:color="auto"/>
                <w:left w:val="none" w:sz="0" w:space="0" w:color="auto"/>
                <w:bottom w:val="none" w:sz="0" w:space="0" w:color="auto"/>
                <w:right w:val="none" w:sz="0" w:space="0" w:color="auto"/>
              </w:divBdr>
            </w:div>
            <w:div w:id="1248730420">
              <w:marLeft w:val="0"/>
              <w:marRight w:val="0"/>
              <w:marTop w:val="0"/>
              <w:marBottom w:val="0"/>
              <w:divBdr>
                <w:top w:val="none" w:sz="0" w:space="0" w:color="auto"/>
                <w:left w:val="none" w:sz="0" w:space="0" w:color="auto"/>
                <w:bottom w:val="none" w:sz="0" w:space="0" w:color="auto"/>
                <w:right w:val="none" w:sz="0" w:space="0" w:color="auto"/>
              </w:divBdr>
            </w:div>
            <w:div w:id="1545826312">
              <w:marLeft w:val="0"/>
              <w:marRight w:val="0"/>
              <w:marTop w:val="0"/>
              <w:marBottom w:val="0"/>
              <w:divBdr>
                <w:top w:val="none" w:sz="0" w:space="0" w:color="auto"/>
                <w:left w:val="none" w:sz="0" w:space="0" w:color="auto"/>
                <w:bottom w:val="none" w:sz="0" w:space="0" w:color="auto"/>
                <w:right w:val="none" w:sz="0" w:space="0" w:color="auto"/>
              </w:divBdr>
            </w:div>
          </w:divsChild>
        </w:div>
        <w:div w:id="1153181426">
          <w:marLeft w:val="0"/>
          <w:marRight w:val="0"/>
          <w:marTop w:val="0"/>
          <w:marBottom w:val="0"/>
          <w:divBdr>
            <w:top w:val="none" w:sz="0" w:space="0" w:color="auto"/>
            <w:left w:val="none" w:sz="0" w:space="0" w:color="auto"/>
            <w:bottom w:val="none" w:sz="0" w:space="0" w:color="auto"/>
            <w:right w:val="none" w:sz="0" w:space="0" w:color="auto"/>
          </w:divBdr>
          <w:divsChild>
            <w:div w:id="194389800">
              <w:marLeft w:val="0"/>
              <w:marRight w:val="0"/>
              <w:marTop w:val="0"/>
              <w:marBottom w:val="0"/>
              <w:divBdr>
                <w:top w:val="none" w:sz="0" w:space="0" w:color="auto"/>
                <w:left w:val="none" w:sz="0" w:space="0" w:color="auto"/>
                <w:bottom w:val="none" w:sz="0" w:space="0" w:color="auto"/>
                <w:right w:val="none" w:sz="0" w:space="0" w:color="auto"/>
              </w:divBdr>
            </w:div>
            <w:div w:id="571086756">
              <w:marLeft w:val="0"/>
              <w:marRight w:val="0"/>
              <w:marTop w:val="0"/>
              <w:marBottom w:val="0"/>
              <w:divBdr>
                <w:top w:val="none" w:sz="0" w:space="0" w:color="auto"/>
                <w:left w:val="none" w:sz="0" w:space="0" w:color="auto"/>
                <w:bottom w:val="none" w:sz="0" w:space="0" w:color="auto"/>
                <w:right w:val="none" w:sz="0" w:space="0" w:color="auto"/>
              </w:divBdr>
            </w:div>
            <w:div w:id="1617637094">
              <w:marLeft w:val="0"/>
              <w:marRight w:val="0"/>
              <w:marTop w:val="0"/>
              <w:marBottom w:val="0"/>
              <w:divBdr>
                <w:top w:val="none" w:sz="0" w:space="0" w:color="auto"/>
                <w:left w:val="none" w:sz="0" w:space="0" w:color="auto"/>
                <w:bottom w:val="none" w:sz="0" w:space="0" w:color="auto"/>
                <w:right w:val="none" w:sz="0" w:space="0" w:color="auto"/>
              </w:divBdr>
            </w:div>
            <w:div w:id="1884365080">
              <w:marLeft w:val="0"/>
              <w:marRight w:val="0"/>
              <w:marTop w:val="0"/>
              <w:marBottom w:val="0"/>
              <w:divBdr>
                <w:top w:val="none" w:sz="0" w:space="0" w:color="auto"/>
                <w:left w:val="none" w:sz="0" w:space="0" w:color="auto"/>
                <w:bottom w:val="none" w:sz="0" w:space="0" w:color="auto"/>
                <w:right w:val="none" w:sz="0" w:space="0" w:color="auto"/>
              </w:divBdr>
            </w:div>
          </w:divsChild>
        </w:div>
        <w:div w:id="1228766577">
          <w:marLeft w:val="0"/>
          <w:marRight w:val="0"/>
          <w:marTop w:val="0"/>
          <w:marBottom w:val="0"/>
          <w:divBdr>
            <w:top w:val="none" w:sz="0" w:space="0" w:color="auto"/>
            <w:left w:val="none" w:sz="0" w:space="0" w:color="auto"/>
            <w:bottom w:val="none" w:sz="0" w:space="0" w:color="auto"/>
            <w:right w:val="none" w:sz="0" w:space="0" w:color="auto"/>
          </w:divBdr>
          <w:divsChild>
            <w:div w:id="106824645">
              <w:marLeft w:val="0"/>
              <w:marRight w:val="0"/>
              <w:marTop w:val="0"/>
              <w:marBottom w:val="0"/>
              <w:divBdr>
                <w:top w:val="none" w:sz="0" w:space="0" w:color="auto"/>
                <w:left w:val="none" w:sz="0" w:space="0" w:color="auto"/>
                <w:bottom w:val="none" w:sz="0" w:space="0" w:color="auto"/>
                <w:right w:val="none" w:sz="0" w:space="0" w:color="auto"/>
              </w:divBdr>
            </w:div>
            <w:div w:id="108858294">
              <w:marLeft w:val="0"/>
              <w:marRight w:val="0"/>
              <w:marTop w:val="0"/>
              <w:marBottom w:val="0"/>
              <w:divBdr>
                <w:top w:val="none" w:sz="0" w:space="0" w:color="auto"/>
                <w:left w:val="none" w:sz="0" w:space="0" w:color="auto"/>
                <w:bottom w:val="none" w:sz="0" w:space="0" w:color="auto"/>
                <w:right w:val="none" w:sz="0" w:space="0" w:color="auto"/>
              </w:divBdr>
            </w:div>
            <w:div w:id="342710334">
              <w:marLeft w:val="0"/>
              <w:marRight w:val="0"/>
              <w:marTop w:val="0"/>
              <w:marBottom w:val="0"/>
              <w:divBdr>
                <w:top w:val="none" w:sz="0" w:space="0" w:color="auto"/>
                <w:left w:val="none" w:sz="0" w:space="0" w:color="auto"/>
                <w:bottom w:val="none" w:sz="0" w:space="0" w:color="auto"/>
                <w:right w:val="none" w:sz="0" w:space="0" w:color="auto"/>
              </w:divBdr>
            </w:div>
            <w:div w:id="1338655899">
              <w:marLeft w:val="0"/>
              <w:marRight w:val="0"/>
              <w:marTop w:val="0"/>
              <w:marBottom w:val="0"/>
              <w:divBdr>
                <w:top w:val="none" w:sz="0" w:space="0" w:color="auto"/>
                <w:left w:val="none" w:sz="0" w:space="0" w:color="auto"/>
                <w:bottom w:val="none" w:sz="0" w:space="0" w:color="auto"/>
                <w:right w:val="none" w:sz="0" w:space="0" w:color="auto"/>
              </w:divBdr>
            </w:div>
            <w:div w:id="1974171155">
              <w:marLeft w:val="0"/>
              <w:marRight w:val="0"/>
              <w:marTop w:val="0"/>
              <w:marBottom w:val="0"/>
              <w:divBdr>
                <w:top w:val="none" w:sz="0" w:space="0" w:color="auto"/>
                <w:left w:val="none" w:sz="0" w:space="0" w:color="auto"/>
                <w:bottom w:val="none" w:sz="0" w:space="0" w:color="auto"/>
                <w:right w:val="none" w:sz="0" w:space="0" w:color="auto"/>
              </w:divBdr>
            </w:div>
          </w:divsChild>
        </w:div>
        <w:div w:id="2083138588">
          <w:marLeft w:val="0"/>
          <w:marRight w:val="0"/>
          <w:marTop w:val="0"/>
          <w:marBottom w:val="0"/>
          <w:divBdr>
            <w:top w:val="none" w:sz="0" w:space="0" w:color="auto"/>
            <w:left w:val="none" w:sz="0" w:space="0" w:color="auto"/>
            <w:bottom w:val="none" w:sz="0" w:space="0" w:color="auto"/>
            <w:right w:val="none" w:sz="0" w:space="0" w:color="auto"/>
          </w:divBdr>
          <w:divsChild>
            <w:div w:id="18164036">
              <w:marLeft w:val="0"/>
              <w:marRight w:val="0"/>
              <w:marTop w:val="0"/>
              <w:marBottom w:val="0"/>
              <w:divBdr>
                <w:top w:val="none" w:sz="0" w:space="0" w:color="auto"/>
                <w:left w:val="none" w:sz="0" w:space="0" w:color="auto"/>
                <w:bottom w:val="none" w:sz="0" w:space="0" w:color="auto"/>
                <w:right w:val="none" w:sz="0" w:space="0" w:color="auto"/>
              </w:divBdr>
            </w:div>
            <w:div w:id="714088433">
              <w:marLeft w:val="0"/>
              <w:marRight w:val="0"/>
              <w:marTop w:val="0"/>
              <w:marBottom w:val="0"/>
              <w:divBdr>
                <w:top w:val="none" w:sz="0" w:space="0" w:color="auto"/>
                <w:left w:val="none" w:sz="0" w:space="0" w:color="auto"/>
                <w:bottom w:val="none" w:sz="0" w:space="0" w:color="auto"/>
                <w:right w:val="none" w:sz="0" w:space="0" w:color="auto"/>
              </w:divBdr>
            </w:div>
            <w:div w:id="772481763">
              <w:marLeft w:val="0"/>
              <w:marRight w:val="0"/>
              <w:marTop w:val="0"/>
              <w:marBottom w:val="0"/>
              <w:divBdr>
                <w:top w:val="none" w:sz="0" w:space="0" w:color="auto"/>
                <w:left w:val="none" w:sz="0" w:space="0" w:color="auto"/>
                <w:bottom w:val="none" w:sz="0" w:space="0" w:color="auto"/>
                <w:right w:val="none" w:sz="0" w:space="0" w:color="auto"/>
              </w:divBdr>
            </w:div>
            <w:div w:id="879901603">
              <w:marLeft w:val="0"/>
              <w:marRight w:val="0"/>
              <w:marTop w:val="0"/>
              <w:marBottom w:val="0"/>
              <w:divBdr>
                <w:top w:val="none" w:sz="0" w:space="0" w:color="auto"/>
                <w:left w:val="none" w:sz="0" w:space="0" w:color="auto"/>
                <w:bottom w:val="none" w:sz="0" w:space="0" w:color="auto"/>
                <w:right w:val="none" w:sz="0" w:space="0" w:color="auto"/>
              </w:divBdr>
            </w:div>
            <w:div w:id="15907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595">
      <w:bodyDiv w:val="1"/>
      <w:marLeft w:val="0"/>
      <w:marRight w:val="0"/>
      <w:marTop w:val="0"/>
      <w:marBottom w:val="0"/>
      <w:divBdr>
        <w:top w:val="none" w:sz="0" w:space="0" w:color="auto"/>
        <w:left w:val="none" w:sz="0" w:space="0" w:color="auto"/>
        <w:bottom w:val="none" w:sz="0" w:space="0" w:color="auto"/>
        <w:right w:val="none" w:sz="0" w:space="0" w:color="auto"/>
      </w:divBdr>
      <w:divsChild>
        <w:div w:id="628097141">
          <w:marLeft w:val="0"/>
          <w:marRight w:val="0"/>
          <w:marTop w:val="0"/>
          <w:marBottom w:val="0"/>
          <w:divBdr>
            <w:top w:val="none" w:sz="0" w:space="0" w:color="auto"/>
            <w:left w:val="none" w:sz="0" w:space="0" w:color="auto"/>
            <w:bottom w:val="none" w:sz="0" w:space="0" w:color="auto"/>
            <w:right w:val="none" w:sz="0" w:space="0" w:color="auto"/>
          </w:divBdr>
          <w:divsChild>
            <w:div w:id="7079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871">
      <w:bodyDiv w:val="1"/>
      <w:marLeft w:val="0"/>
      <w:marRight w:val="0"/>
      <w:marTop w:val="0"/>
      <w:marBottom w:val="0"/>
      <w:divBdr>
        <w:top w:val="none" w:sz="0" w:space="0" w:color="auto"/>
        <w:left w:val="none" w:sz="0" w:space="0" w:color="auto"/>
        <w:bottom w:val="none" w:sz="0" w:space="0" w:color="auto"/>
        <w:right w:val="none" w:sz="0" w:space="0" w:color="auto"/>
      </w:divBdr>
      <w:divsChild>
        <w:div w:id="1790662626">
          <w:marLeft w:val="0"/>
          <w:marRight w:val="0"/>
          <w:marTop w:val="0"/>
          <w:marBottom w:val="0"/>
          <w:divBdr>
            <w:top w:val="none" w:sz="0" w:space="0" w:color="auto"/>
            <w:left w:val="none" w:sz="0" w:space="0" w:color="auto"/>
            <w:bottom w:val="none" w:sz="0" w:space="0" w:color="auto"/>
            <w:right w:val="none" w:sz="0" w:space="0" w:color="auto"/>
          </w:divBdr>
          <w:divsChild>
            <w:div w:id="19486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6">
      <w:bodyDiv w:val="1"/>
      <w:marLeft w:val="0"/>
      <w:marRight w:val="0"/>
      <w:marTop w:val="0"/>
      <w:marBottom w:val="0"/>
      <w:divBdr>
        <w:top w:val="none" w:sz="0" w:space="0" w:color="auto"/>
        <w:left w:val="none" w:sz="0" w:space="0" w:color="auto"/>
        <w:bottom w:val="none" w:sz="0" w:space="0" w:color="auto"/>
        <w:right w:val="none" w:sz="0" w:space="0" w:color="auto"/>
      </w:divBdr>
      <w:divsChild>
        <w:div w:id="1016007575">
          <w:marLeft w:val="0"/>
          <w:marRight w:val="0"/>
          <w:marTop w:val="0"/>
          <w:marBottom w:val="0"/>
          <w:divBdr>
            <w:top w:val="none" w:sz="0" w:space="0" w:color="auto"/>
            <w:left w:val="none" w:sz="0" w:space="0" w:color="auto"/>
            <w:bottom w:val="none" w:sz="0" w:space="0" w:color="auto"/>
            <w:right w:val="none" w:sz="0" w:space="0" w:color="auto"/>
          </w:divBdr>
          <w:divsChild>
            <w:div w:id="242379838">
              <w:marLeft w:val="0"/>
              <w:marRight w:val="0"/>
              <w:marTop w:val="0"/>
              <w:marBottom w:val="0"/>
              <w:divBdr>
                <w:top w:val="none" w:sz="0" w:space="0" w:color="auto"/>
                <w:left w:val="none" w:sz="0" w:space="0" w:color="auto"/>
                <w:bottom w:val="none" w:sz="0" w:space="0" w:color="auto"/>
                <w:right w:val="none" w:sz="0" w:space="0" w:color="auto"/>
              </w:divBdr>
            </w:div>
            <w:div w:id="360126717">
              <w:marLeft w:val="0"/>
              <w:marRight w:val="0"/>
              <w:marTop w:val="0"/>
              <w:marBottom w:val="0"/>
              <w:divBdr>
                <w:top w:val="none" w:sz="0" w:space="0" w:color="auto"/>
                <w:left w:val="none" w:sz="0" w:space="0" w:color="auto"/>
                <w:bottom w:val="none" w:sz="0" w:space="0" w:color="auto"/>
                <w:right w:val="none" w:sz="0" w:space="0" w:color="auto"/>
              </w:divBdr>
            </w:div>
            <w:div w:id="451174356">
              <w:marLeft w:val="0"/>
              <w:marRight w:val="0"/>
              <w:marTop w:val="0"/>
              <w:marBottom w:val="0"/>
              <w:divBdr>
                <w:top w:val="none" w:sz="0" w:space="0" w:color="auto"/>
                <w:left w:val="none" w:sz="0" w:space="0" w:color="auto"/>
                <w:bottom w:val="none" w:sz="0" w:space="0" w:color="auto"/>
                <w:right w:val="none" w:sz="0" w:space="0" w:color="auto"/>
              </w:divBdr>
            </w:div>
            <w:div w:id="1527594386">
              <w:marLeft w:val="0"/>
              <w:marRight w:val="0"/>
              <w:marTop w:val="0"/>
              <w:marBottom w:val="0"/>
              <w:divBdr>
                <w:top w:val="none" w:sz="0" w:space="0" w:color="auto"/>
                <w:left w:val="none" w:sz="0" w:space="0" w:color="auto"/>
                <w:bottom w:val="none" w:sz="0" w:space="0" w:color="auto"/>
                <w:right w:val="none" w:sz="0" w:space="0" w:color="auto"/>
              </w:divBdr>
            </w:div>
            <w:div w:id="1896240427">
              <w:marLeft w:val="0"/>
              <w:marRight w:val="0"/>
              <w:marTop w:val="0"/>
              <w:marBottom w:val="0"/>
              <w:divBdr>
                <w:top w:val="none" w:sz="0" w:space="0" w:color="auto"/>
                <w:left w:val="none" w:sz="0" w:space="0" w:color="auto"/>
                <w:bottom w:val="none" w:sz="0" w:space="0" w:color="auto"/>
                <w:right w:val="none" w:sz="0" w:space="0" w:color="auto"/>
              </w:divBdr>
            </w:div>
          </w:divsChild>
        </w:div>
        <w:div w:id="1468352594">
          <w:marLeft w:val="0"/>
          <w:marRight w:val="0"/>
          <w:marTop w:val="0"/>
          <w:marBottom w:val="0"/>
          <w:divBdr>
            <w:top w:val="none" w:sz="0" w:space="0" w:color="auto"/>
            <w:left w:val="none" w:sz="0" w:space="0" w:color="auto"/>
            <w:bottom w:val="none" w:sz="0" w:space="0" w:color="auto"/>
            <w:right w:val="none" w:sz="0" w:space="0" w:color="auto"/>
          </w:divBdr>
          <w:divsChild>
            <w:div w:id="152989833">
              <w:marLeft w:val="0"/>
              <w:marRight w:val="0"/>
              <w:marTop w:val="0"/>
              <w:marBottom w:val="0"/>
              <w:divBdr>
                <w:top w:val="none" w:sz="0" w:space="0" w:color="auto"/>
                <w:left w:val="none" w:sz="0" w:space="0" w:color="auto"/>
                <w:bottom w:val="none" w:sz="0" w:space="0" w:color="auto"/>
                <w:right w:val="none" w:sz="0" w:space="0" w:color="auto"/>
              </w:divBdr>
            </w:div>
            <w:div w:id="465007159">
              <w:marLeft w:val="0"/>
              <w:marRight w:val="0"/>
              <w:marTop w:val="0"/>
              <w:marBottom w:val="0"/>
              <w:divBdr>
                <w:top w:val="none" w:sz="0" w:space="0" w:color="auto"/>
                <w:left w:val="none" w:sz="0" w:space="0" w:color="auto"/>
                <w:bottom w:val="none" w:sz="0" w:space="0" w:color="auto"/>
                <w:right w:val="none" w:sz="0" w:space="0" w:color="auto"/>
              </w:divBdr>
            </w:div>
            <w:div w:id="1209881573">
              <w:marLeft w:val="0"/>
              <w:marRight w:val="0"/>
              <w:marTop w:val="0"/>
              <w:marBottom w:val="0"/>
              <w:divBdr>
                <w:top w:val="none" w:sz="0" w:space="0" w:color="auto"/>
                <w:left w:val="none" w:sz="0" w:space="0" w:color="auto"/>
                <w:bottom w:val="none" w:sz="0" w:space="0" w:color="auto"/>
                <w:right w:val="none" w:sz="0" w:space="0" w:color="auto"/>
              </w:divBdr>
            </w:div>
            <w:div w:id="1488012716">
              <w:marLeft w:val="0"/>
              <w:marRight w:val="0"/>
              <w:marTop w:val="0"/>
              <w:marBottom w:val="0"/>
              <w:divBdr>
                <w:top w:val="none" w:sz="0" w:space="0" w:color="auto"/>
                <w:left w:val="none" w:sz="0" w:space="0" w:color="auto"/>
                <w:bottom w:val="none" w:sz="0" w:space="0" w:color="auto"/>
                <w:right w:val="none" w:sz="0" w:space="0" w:color="auto"/>
              </w:divBdr>
            </w:div>
            <w:div w:id="1795515828">
              <w:marLeft w:val="0"/>
              <w:marRight w:val="0"/>
              <w:marTop w:val="0"/>
              <w:marBottom w:val="0"/>
              <w:divBdr>
                <w:top w:val="none" w:sz="0" w:space="0" w:color="auto"/>
                <w:left w:val="none" w:sz="0" w:space="0" w:color="auto"/>
                <w:bottom w:val="none" w:sz="0" w:space="0" w:color="auto"/>
                <w:right w:val="none" w:sz="0" w:space="0" w:color="auto"/>
              </w:divBdr>
            </w:div>
          </w:divsChild>
        </w:div>
        <w:div w:id="1807777432">
          <w:marLeft w:val="0"/>
          <w:marRight w:val="0"/>
          <w:marTop w:val="0"/>
          <w:marBottom w:val="0"/>
          <w:divBdr>
            <w:top w:val="none" w:sz="0" w:space="0" w:color="auto"/>
            <w:left w:val="none" w:sz="0" w:space="0" w:color="auto"/>
            <w:bottom w:val="none" w:sz="0" w:space="0" w:color="auto"/>
            <w:right w:val="none" w:sz="0" w:space="0" w:color="auto"/>
          </w:divBdr>
          <w:divsChild>
            <w:div w:id="96173277">
              <w:marLeft w:val="0"/>
              <w:marRight w:val="0"/>
              <w:marTop w:val="0"/>
              <w:marBottom w:val="0"/>
              <w:divBdr>
                <w:top w:val="none" w:sz="0" w:space="0" w:color="auto"/>
                <w:left w:val="none" w:sz="0" w:space="0" w:color="auto"/>
                <w:bottom w:val="none" w:sz="0" w:space="0" w:color="auto"/>
                <w:right w:val="none" w:sz="0" w:space="0" w:color="auto"/>
              </w:divBdr>
            </w:div>
            <w:div w:id="348794624">
              <w:marLeft w:val="0"/>
              <w:marRight w:val="0"/>
              <w:marTop w:val="0"/>
              <w:marBottom w:val="0"/>
              <w:divBdr>
                <w:top w:val="none" w:sz="0" w:space="0" w:color="auto"/>
                <w:left w:val="none" w:sz="0" w:space="0" w:color="auto"/>
                <w:bottom w:val="none" w:sz="0" w:space="0" w:color="auto"/>
                <w:right w:val="none" w:sz="0" w:space="0" w:color="auto"/>
              </w:divBdr>
            </w:div>
            <w:div w:id="748233749">
              <w:marLeft w:val="0"/>
              <w:marRight w:val="0"/>
              <w:marTop w:val="0"/>
              <w:marBottom w:val="0"/>
              <w:divBdr>
                <w:top w:val="none" w:sz="0" w:space="0" w:color="auto"/>
                <w:left w:val="none" w:sz="0" w:space="0" w:color="auto"/>
                <w:bottom w:val="none" w:sz="0" w:space="0" w:color="auto"/>
                <w:right w:val="none" w:sz="0" w:space="0" w:color="auto"/>
              </w:divBdr>
            </w:div>
            <w:div w:id="816846365">
              <w:marLeft w:val="0"/>
              <w:marRight w:val="0"/>
              <w:marTop w:val="0"/>
              <w:marBottom w:val="0"/>
              <w:divBdr>
                <w:top w:val="none" w:sz="0" w:space="0" w:color="auto"/>
                <w:left w:val="none" w:sz="0" w:space="0" w:color="auto"/>
                <w:bottom w:val="none" w:sz="0" w:space="0" w:color="auto"/>
                <w:right w:val="none" w:sz="0" w:space="0" w:color="auto"/>
              </w:divBdr>
            </w:div>
            <w:div w:id="1170408837">
              <w:marLeft w:val="0"/>
              <w:marRight w:val="0"/>
              <w:marTop w:val="0"/>
              <w:marBottom w:val="0"/>
              <w:divBdr>
                <w:top w:val="none" w:sz="0" w:space="0" w:color="auto"/>
                <w:left w:val="none" w:sz="0" w:space="0" w:color="auto"/>
                <w:bottom w:val="none" w:sz="0" w:space="0" w:color="auto"/>
                <w:right w:val="none" w:sz="0" w:space="0" w:color="auto"/>
              </w:divBdr>
            </w:div>
          </w:divsChild>
        </w:div>
        <w:div w:id="1971746332">
          <w:marLeft w:val="0"/>
          <w:marRight w:val="0"/>
          <w:marTop w:val="0"/>
          <w:marBottom w:val="0"/>
          <w:divBdr>
            <w:top w:val="none" w:sz="0" w:space="0" w:color="auto"/>
            <w:left w:val="none" w:sz="0" w:space="0" w:color="auto"/>
            <w:bottom w:val="none" w:sz="0" w:space="0" w:color="auto"/>
            <w:right w:val="none" w:sz="0" w:space="0" w:color="auto"/>
          </w:divBdr>
          <w:divsChild>
            <w:div w:id="997730577">
              <w:marLeft w:val="0"/>
              <w:marRight w:val="0"/>
              <w:marTop w:val="0"/>
              <w:marBottom w:val="0"/>
              <w:divBdr>
                <w:top w:val="none" w:sz="0" w:space="0" w:color="auto"/>
                <w:left w:val="none" w:sz="0" w:space="0" w:color="auto"/>
                <w:bottom w:val="none" w:sz="0" w:space="0" w:color="auto"/>
                <w:right w:val="none" w:sz="0" w:space="0" w:color="auto"/>
              </w:divBdr>
            </w:div>
          </w:divsChild>
        </w:div>
        <w:div w:id="2004819849">
          <w:marLeft w:val="0"/>
          <w:marRight w:val="0"/>
          <w:marTop w:val="0"/>
          <w:marBottom w:val="0"/>
          <w:divBdr>
            <w:top w:val="none" w:sz="0" w:space="0" w:color="auto"/>
            <w:left w:val="none" w:sz="0" w:space="0" w:color="auto"/>
            <w:bottom w:val="none" w:sz="0" w:space="0" w:color="auto"/>
            <w:right w:val="none" w:sz="0" w:space="0" w:color="auto"/>
          </w:divBdr>
          <w:divsChild>
            <w:div w:id="129132808">
              <w:marLeft w:val="0"/>
              <w:marRight w:val="0"/>
              <w:marTop w:val="0"/>
              <w:marBottom w:val="0"/>
              <w:divBdr>
                <w:top w:val="none" w:sz="0" w:space="0" w:color="auto"/>
                <w:left w:val="none" w:sz="0" w:space="0" w:color="auto"/>
                <w:bottom w:val="none" w:sz="0" w:space="0" w:color="auto"/>
                <w:right w:val="none" w:sz="0" w:space="0" w:color="auto"/>
              </w:divBdr>
            </w:div>
            <w:div w:id="229317267">
              <w:marLeft w:val="0"/>
              <w:marRight w:val="0"/>
              <w:marTop w:val="0"/>
              <w:marBottom w:val="0"/>
              <w:divBdr>
                <w:top w:val="none" w:sz="0" w:space="0" w:color="auto"/>
                <w:left w:val="none" w:sz="0" w:space="0" w:color="auto"/>
                <w:bottom w:val="none" w:sz="0" w:space="0" w:color="auto"/>
                <w:right w:val="none" w:sz="0" w:space="0" w:color="auto"/>
              </w:divBdr>
            </w:div>
            <w:div w:id="506864402">
              <w:marLeft w:val="0"/>
              <w:marRight w:val="0"/>
              <w:marTop w:val="0"/>
              <w:marBottom w:val="0"/>
              <w:divBdr>
                <w:top w:val="none" w:sz="0" w:space="0" w:color="auto"/>
                <w:left w:val="none" w:sz="0" w:space="0" w:color="auto"/>
                <w:bottom w:val="none" w:sz="0" w:space="0" w:color="auto"/>
                <w:right w:val="none" w:sz="0" w:space="0" w:color="auto"/>
              </w:divBdr>
            </w:div>
            <w:div w:id="1312448024">
              <w:marLeft w:val="0"/>
              <w:marRight w:val="0"/>
              <w:marTop w:val="0"/>
              <w:marBottom w:val="0"/>
              <w:divBdr>
                <w:top w:val="none" w:sz="0" w:space="0" w:color="auto"/>
                <w:left w:val="none" w:sz="0" w:space="0" w:color="auto"/>
                <w:bottom w:val="none" w:sz="0" w:space="0" w:color="auto"/>
                <w:right w:val="none" w:sz="0" w:space="0" w:color="auto"/>
              </w:divBdr>
            </w:div>
            <w:div w:id="13987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6057">
      <w:bodyDiv w:val="1"/>
      <w:marLeft w:val="0"/>
      <w:marRight w:val="0"/>
      <w:marTop w:val="0"/>
      <w:marBottom w:val="0"/>
      <w:divBdr>
        <w:top w:val="none" w:sz="0" w:space="0" w:color="auto"/>
        <w:left w:val="none" w:sz="0" w:space="0" w:color="auto"/>
        <w:bottom w:val="none" w:sz="0" w:space="0" w:color="auto"/>
        <w:right w:val="none" w:sz="0" w:space="0" w:color="auto"/>
      </w:divBdr>
      <w:divsChild>
        <w:div w:id="522129392">
          <w:marLeft w:val="0"/>
          <w:marRight w:val="0"/>
          <w:marTop w:val="0"/>
          <w:marBottom w:val="0"/>
          <w:divBdr>
            <w:top w:val="none" w:sz="0" w:space="0" w:color="auto"/>
            <w:left w:val="none" w:sz="0" w:space="0" w:color="auto"/>
            <w:bottom w:val="none" w:sz="0" w:space="0" w:color="auto"/>
            <w:right w:val="none" w:sz="0" w:space="0" w:color="auto"/>
          </w:divBdr>
          <w:divsChild>
            <w:div w:id="91555895">
              <w:marLeft w:val="0"/>
              <w:marRight w:val="0"/>
              <w:marTop w:val="0"/>
              <w:marBottom w:val="0"/>
              <w:divBdr>
                <w:top w:val="none" w:sz="0" w:space="0" w:color="auto"/>
                <w:left w:val="none" w:sz="0" w:space="0" w:color="auto"/>
                <w:bottom w:val="none" w:sz="0" w:space="0" w:color="auto"/>
                <w:right w:val="none" w:sz="0" w:space="0" w:color="auto"/>
              </w:divBdr>
            </w:div>
            <w:div w:id="532808549">
              <w:marLeft w:val="0"/>
              <w:marRight w:val="0"/>
              <w:marTop w:val="0"/>
              <w:marBottom w:val="0"/>
              <w:divBdr>
                <w:top w:val="none" w:sz="0" w:space="0" w:color="auto"/>
                <w:left w:val="none" w:sz="0" w:space="0" w:color="auto"/>
                <w:bottom w:val="none" w:sz="0" w:space="0" w:color="auto"/>
                <w:right w:val="none" w:sz="0" w:space="0" w:color="auto"/>
              </w:divBdr>
            </w:div>
            <w:div w:id="864561916">
              <w:marLeft w:val="0"/>
              <w:marRight w:val="0"/>
              <w:marTop w:val="0"/>
              <w:marBottom w:val="0"/>
              <w:divBdr>
                <w:top w:val="none" w:sz="0" w:space="0" w:color="auto"/>
                <w:left w:val="none" w:sz="0" w:space="0" w:color="auto"/>
                <w:bottom w:val="none" w:sz="0" w:space="0" w:color="auto"/>
                <w:right w:val="none" w:sz="0" w:space="0" w:color="auto"/>
              </w:divBdr>
            </w:div>
            <w:div w:id="1081608350">
              <w:marLeft w:val="0"/>
              <w:marRight w:val="0"/>
              <w:marTop w:val="0"/>
              <w:marBottom w:val="0"/>
              <w:divBdr>
                <w:top w:val="none" w:sz="0" w:space="0" w:color="auto"/>
                <w:left w:val="none" w:sz="0" w:space="0" w:color="auto"/>
                <w:bottom w:val="none" w:sz="0" w:space="0" w:color="auto"/>
                <w:right w:val="none" w:sz="0" w:space="0" w:color="auto"/>
              </w:divBdr>
            </w:div>
            <w:div w:id="1458330674">
              <w:marLeft w:val="0"/>
              <w:marRight w:val="0"/>
              <w:marTop w:val="0"/>
              <w:marBottom w:val="0"/>
              <w:divBdr>
                <w:top w:val="none" w:sz="0" w:space="0" w:color="auto"/>
                <w:left w:val="none" w:sz="0" w:space="0" w:color="auto"/>
                <w:bottom w:val="none" w:sz="0" w:space="0" w:color="auto"/>
                <w:right w:val="none" w:sz="0" w:space="0" w:color="auto"/>
              </w:divBdr>
            </w:div>
          </w:divsChild>
        </w:div>
        <w:div w:id="610745322">
          <w:marLeft w:val="0"/>
          <w:marRight w:val="0"/>
          <w:marTop w:val="0"/>
          <w:marBottom w:val="0"/>
          <w:divBdr>
            <w:top w:val="none" w:sz="0" w:space="0" w:color="auto"/>
            <w:left w:val="none" w:sz="0" w:space="0" w:color="auto"/>
            <w:bottom w:val="none" w:sz="0" w:space="0" w:color="auto"/>
            <w:right w:val="none" w:sz="0" w:space="0" w:color="auto"/>
          </w:divBdr>
          <w:divsChild>
            <w:div w:id="301816072">
              <w:marLeft w:val="0"/>
              <w:marRight w:val="0"/>
              <w:marTop w:val="0"/>
              <w:marBottom w:val="0"/>
              <w:divBdr>
                <w:top w:val="none" w:sz="0" w:space="0" w:color="auto"/>
                <w:left w:val="none" w:sz="0" w:space="0" w:color="auto"/>
                <w:bottom w:val="none" w:sz="0" w:space="0" w:color="auto"/>
                <w:right w:val="none" w:sz="0" w:space="0" w:color="auto"/>
              </w:divBdr>
            </w:div>
            <w:div w:id="821389826">
              <w:marLeft w:val="0"/>
              <w:marRight w:val="0"/>
              <w:marTop w:val="0"/>
              <w:marBottom w:val="0"/>
              <w:divBdr>
                <w:top w:val="none" w:sz="0" w:space="0" w:color="auto"/>
                <w:left w:val="none" w:sz="0" w:space="0" w:color="auto"/>
                <w:bottom w:val="none" w:sz="0" w:space="0" w:color="auto"/>
                <w:right w:val="none" w:sz="0" w:space="0" w:color="auto"/>
              </w:divBdr>
            </w:div>
            <w:div w:id="1513295660">
              <w:marLeft w:val="0"/>
              <w:marRight w:val="0"/>
              <w:marTop w:val="0"/>
              <w:marBottom w:val="0"/>
              <w:divBdr>
                <w:top w:val="none" w:sz="0" w:space="0" w:color="auto"/>
                <w:left w:val="none" w:sz="0" w:space="0" w:color="auto"/>
                <w:bottom w:val="none" w:sz="0" w:space="0" w:color="auto"/>
                <w:right w:val="none" w:sz="0" w:space="0" w:color="auto"/>
              </w:divBdr>
            </w:div>
          </w:divsChild>
        </w:div>
        <w:div w:id="1908497001">
          <w:marLeft w:val="0"/>
          <w:marRight w:val="0"/>
          <w:marTop w:val="0"/>
          <w:marBottom w:val="0"/>
          <w:divBdr>
            <w:top w:val="none" w:sz="0" w:space="0" w:color="auto"/>
            <w:left w:val="none" w:sz="0" w:space="0" w:color="auto"/>
            <w:bottom w:val="none" w:sz="0" w:space="0" w:color="auto"/>
            <w:right w:val="none" w:sz="0" w:space="0" w:color="auto"/>
          </w:divBdr>
          <w:divsChild>
            <w:div w:id="78329108">
              <w:marLeft w:val="0"/>
              <w:marRight w:val="0"/>
              <w:marTop w:val="0"/>
              <w:marBottom w:val="0"/>
              <w:divBdr>
                <w:top w:val="none" w:sz="0" w:space="0" w:color="auto"/>
                <w:left w:val="none" w:sz="0" w:space="0" w:color="auto"/>
                <w:bottom w:val="none" w:sz="0" w:space="0" w:color="auto"/>
                <w:right w:val="none" w:sz="0" w:space="0" w:color="auto"/>
              </w:divBdr>
            </w:div>
            <w:div w:id="305815978">
              <w:marLeft w:val="0"/>
              <w:marRight w:val="0"/>
              <w:marTop w:val="0"/>
              <w:marBottom w:val="0"/>
              <w:divBdr>
                <w:top w:val="none" w:sz="0" w:space="0" w:color="auto"/>
                <w:left w:val="none" w:sz="0" w:space="0" w:color="auto"/>
                <w:bottom w:val="none" w:sz="0" w:space="0" w:color="auto"/>
                <w:right w:val="none" w:sz="0" w:space="0" w:color="auto"/>
              </w:divBdr>
            </w:div>
            <w:div w:id="716861052">
              <w:marLeft w:val="0"/>
              <w:marRight w:val="0"/>
              <w:marTop w:val="0"/>
              <w:marBottom w:val="0"/>
              <w:divBdr>
                <w:top w:val="none" w:sz="0" w:space="0" w:color="auto"/>
                <w:left w:val="none" w:sz="0" w:space="0" w:color="auto"/>
                <w:bottom w:val="none" w:sz="0" w:space="0" w:color="auto"/>
                <w:right w:val="none" w:sz="0" w:space="0" w:color="auto"/>
              </w:divBdr>
            </w:div>
            <w:div w:id="792988416">
              <w:marLeft w:val="0"/>
              <w:marRight w:val="0"/>
              <w:marTop w:val="0"/>
              <w:marBottom w:val="0"/>
              <w:divBdr>
                <w:top w:val="none" w:sz="0" w:space="0" w:color="auto"/>
                <w:left w:val="none" w:sz="0" w:space="0" w:color="auto"/>
                <w:bottom w:val="none" w:sz="0" w:space="0" w:color="auto"/>
                <w:right w:val="none" w:sz="0" w:space="0" w:color="auto"/>
              </w:divBdr>
            </w:div>
            <w:div w:id="1575386961">
              <w:marLeft w:val="0"/>
              <w:marRight w:val="0"/>
              <w:marTop w:val="0"/>
              <w:marBottom w:val="0"/>
              <w:divBdr>
                <w:top w:val="none" w:sz="0" w:space="0" w:color="auto"/>
                <w:left w:val="none" w:sz="0" w:space="0" w:color="auto"/>
                <w:bottom w:val="none" w:sz="0" w:space="0" w:color="auto"/>
                <w:right w:val="none" w:sz="0" w:space="0" w:color="auto"/>
              </w:divBdr>
            </w:div>
          </w:divsChild>
        </w:div>
        <w:div w:id="1919823893">
          <w:marLeft w:val="0"/>
          <w:marRight w:val="0"/>
          <w:marTop w:val="0"/>
          <w:marBottom w:val="0"/>
          <w:divBdr>
            <w:top w:val="none" w:sz="0" w:space="0" w:color="auto"/>
            <w:left w:val="none" w:sz="0" w:space="0" w:color="auto"/>
            <w:bottom w:val="none" w:sz="0" w:space="0" w:color="auto"/>
            <w:right w:val="none" w:sz="0" w:space="0" w:color="auto"/>
          </w:divBdr>
          <w:divsChild>
            <w:div w:id="320276023">
              <w:marLeft w:val="0"/>
              <w:marRight w:val="0"/>
              <w:marTop w:val="0"/>
              <w:marBottom w:val="0"/>
              <w:divBdr>
                <w:top w:val="none" w:sz="0" w:space="0" w:color="auto"/>
                <w:left w:val="none" w:sz="0" w:space="0" w:color="auto"/>
                <w:bottom w:val="none" w:sz="0" w:space="0" w:color="auto"/>
                <w:right w:val="none" w:sz="0" w:space="0" w:color="auto"/>
              </w:divBdr>
            </w:div>
            <w:div w:id="1044014794">
              <w:marLeft w:val="0"/>
              <w:marRight w:val="0"/>
              <w:marTop w:val="0"/>
              <w:marBottom w:val="0"/>
              <w:divBdr>
                <w:top w:val="none" w:sz="0" w:space="0" w:color="auto"/>
                <w:left w:val="none" w:sz="0" w:space="0" w:color="auto"/>
                <w:bottom w:val="none" w:sz="0" w:space="0" w:color="auto"/>
                <w:right w:val="none" w:sz="0" w:space="0" w:color="auto"/>
              </w:divBdr>
            </w:div>
            <w:div w:id="1261454786">
              <w:marLeft w:val="0"/>
              <w:marRight w:val="0"/>
              <w:marTop w:val="0"/>
              <w:marBottom w:val="0"/>
              <w:divBdr>
                <w:top w:val="none" w:sz="0" w:space="0" w:color="auto"/>
                <w:left w:val="none" w:sz="0" w:space="0" w:color="auto"/>
                <w:bottom w:val="none" w:sz="0" w:space="0" w:color="auto"/>
                <w:right w:val="none" w:sz="0" w:space="0" w:color="auto"/>
              </w:divBdr>
            </w:div>
            <w:div w:id="1736512517">
              <w:marLeft w:val="0"/>
              <w:marRight w:val="0"/>
              <w:marTop w:val="0"/>
              <w:marBottom w:val="0"/>
              <w:divBdr>
                <w:top w:val="none" w:sz="0" w:space="0" w:color="auto"/>
                <w:left w:val="none" w:sz="0" w:space="0" w:color="auto"/>
                <w:bottom w:val="none" w:sz="0" w:space="0" w:color="auto"/>
                <w:right w:val="none" w:sz="0" w:space="0" w:color="auto"/>
              </w:divBdr>
            </w:div>
            <w:div w:id="19138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3847">
      <w:bodyDiv w:val="1"/>
      <w:marLeft w:val="0"/>
      <w:marRight w:val="0"/>
      <w:marTop w:val="0"/>
      <w:marBottom w:val="0"/>
      <w:divBdr>
        <w:top w:val="none" w:sz="0" w:space="0" w:color="auto"/>
        <w:left w:val="none" w:sz="0" w:space="0" w:color="auto"/>
        <w:bottom w:val="none" w:sz="0" w:space="0" w:color="auto"/>
        <w:right w:val="none" w:sz="0" w:space="0" w:color="auto"/>
      </w:divBdr>
      <w:divsChild>
        <w:div w:id="945846086">
          <w:marLeft w:val="0"/>
          <w:marRight w:val="0"/>
          <w:marTop w:val="0"/>
          <w:marBottom w:val="0"/>
          <w:divBdr>
            <w:top w:val="none" w:sz="0" w:space="0" w:color="auto"/>
            <w:left w:val="none" w:sz="0" w:space="0" w:color="auto"/>
            <w:bottom w:val="none" w:sz="0" w:space="0" w:color="auto"/>
            <w:right w:val="none" w:sz="0" w:space="0" w:color="auto"/>
          </w:divBdr>
          <w:divsChild>
            <w:div w:id="436601017">
              <w:marLeft w:val="0"/>
              <w:marRight w:val="0"/>
              <w:marTop w:val="0"/>
              <w:marBottom w:val="0"/>
              <w:divBdr>
                <w:top w:val="none" w:sz="0" w:space="0" w:color="auto"/>
                <w:left w:val="none" w:sz="0" w:space="0" w:color="auto"/>
                <w:bottom w:val="none" w:sz="0" w:space="0" w:color="auto"/>
                <w:right w:val="none" w:sz="0" w:space="0" w:color="auto"/>
              </w:divBdr>
            </w:div>
            <w:div w:id="570388283">
              <w:marLeft w:val="0"/>
              <w:marRight w:val="0"/>
              <w:marTop w:val="0"/>
              <w:marBottom w:val="0"/>
              <w:divBdr>
                <w:top w:val="none" w:sz="0" w:space="0" w:color="auto"/>
                <w:left w:val="none" w:sz="0" w:space="0" w:color="auto"/>
                <w:bottom w:val="none" w:sz="0" w:space="0" w:color="auto"/>
                <w:right w:val="none" w:sz="0" w:space="0" w:color="auto"/>
              </w:divBdr>
            </w:div>
            <w:div w:id="1218007808">
              <w:marLeft w:val="0"/>
              <w:marRight w:val="0"/>
              <w:marTop w:val="0"/>
              <w:marBottom w:val="0"/>
              <w:divBdr>
                <w:top w:val="none" w:sz="0" w:space="0" w:color="auto"/>
                <w:left w:val="none" w:sz="0" w:space="0" w:color="auto"/>
                <w:bottom w:val="none" w:sz="0" w:space="0" w:color="auto"/>
                <w:right w:val="none" w:sz="0" w:space="0" w:color="auto"/>
              </w:divBdr>
            </w:div>
          </w:divsChild>
        </w:div>
        <w:div w:id="1798333288">
          <w:marLeft w:val="0"/>
          <w:marRight w:val="0"/>
          <w:marTop w:val="0"/>
          <w:marBottom w:val="0"/>
          <w:divBdr>
            <w:top w:val="none" w:sz="0" w:space="0" w:color="auto"/>
            <w:left w:val="none" w:sz="0" w:space="0" w:color="auto"/>
            <w:bottom w:val="none" w:sz="0" w:space="0" w:color="auto"/>
            <w:right w:val="none" w:sz="0" w:space="0" w:color="auto"/>
          </w:divBdr>
          <w:divsChild>
            <w:div w:id="1271010439">
              <w:marLeft w:val="0"/>
              <w:marRight w:val="0"/>
              <w:marTop w:val="0"/>
              <w:marBottom w:val="0"/>
              <w:divBdr>
                <w:top w:val="none" w:sz="0" w:space="0" w:color="auto"/>
                <w:left w:val="none" w:sz="0" w:space="0" w:color="auto"/>
                <w:bottom w:val="none" w:sz="0" w:space="0" w:color="auto"/>
                <w:right w:val="none" w:sz="0" w:space="0" w:color="auto"/>
              </w:divBdr>
            </w:div>
            <w:div w:id="1894539093">
              <w:marLeft w:val="0"/>
              <w:marRight w:val="0"/>
              <w:marTop w:val="0"/>
              <w:marBottom w:val="0"/>
              <w:divBdr>
                <w:top w:val="none" w:sz="0" w:space="0" w:color="auto"/>
                <w:left w:val="none" w:sz="0" w:space="0" w:color="auto"/>
                <w:bottom w:val="none" w:sz="0" w:space="0" w:color="auto"/>
                <w:right w:val="none" w:sz="0" w:space="0" w:color="auto"/>
              </w:divBdr>
            </w:div>
            <w:div w:id="20937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6396">
      <w:bodyDiv w:val="1"/>
      <w:marLeft w:val="0"/>
      <w:marRight w:val="0"/>
      <w:marTop w:val="0"/>
      <w:marBottom w:val="0"/>
      <w:divBdr>
        <w:top w:val="none" w:sz="0" w:space="0" w:color="auto"/>
        <w:left w:val="none" w:sz="0" w:space="0" w:color="auto"/>
        <w:bottom w:val="none" w:sz="0" w:space="0" w:color="auto"/>
        <w:right w:val="none" w:sz="0" w:space="0" w:color="auto"/>
      </w:divBdr>
      <w:divsChild>
        <w:div w:id="151991270">
          <w:marLeft w:val="0"/>
          <w:marRight w:val="0"/>
          <w:marTop w:val="0"/>
          <w:marBottom w:val="0"/>
          <w:divBdr>
            <w:top w:val="none" w:sz="0" w:space="0" w:color="auto"/>
            <w:left w:val="none" w:sz="0" w:space="0" w:color="auto"/>
            <w:bottom w:val="none" w:sz="0" w:space="0" w:color="auto"/>
            <w:right w:val="none" w:sz="0" w:space="0" w:color="auto"/>
          </w:divBdr>
          <w:divsChild>
            <w:div w:id="6838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0130">
      <w:bodyDiv w:val="1"/>
      <w:marLeft w:val="0"/>
      <w:marRight w:val="0"/>
      <w:marTop w:val="0"/>
      <w:marBottom w:val="0"/>
      <w:divBdr>
        <w:top w:val="none" w:sz="0" w:space="0" w:color="auto"/>
        <w:left w:val="none" w:sz="0" w:space="0" w:color="auto"/>
        <w:bottom w:val="none" w:sz="0" w:space="0" w:color="auto"/>
        <w:right w:val="none" w:sz="0" w:space="0" w:color="auto"/>
      </w:divBdr>
      <w:divsChild>
        <w:div w:id="154107062">
          <w:marLeft w:val="0"/>
          <w:marRight w:val="0"/>
          <w:marTop w:val="0"/>
          <w:marBottom w:val="0"/>
          <w:divBdr>
            <w:top w:val="none" w:sz="0" w:space="0" w:color="auto"/>
            <w:left w:val="none" w:sz="0" w:space="0" w:color="auto"/>
            <w:bottom w:val="none" w:sz="0" w:space="0" w:color="auto"/>
            <w:right w:val="none" w:sz="0" w:space="0" w:color="auto"/>
          </w:divBdr>
          <w:divsChild>
            <w:div w:id="1681807953">
              <w:marLeft w:val="0"/>
              <w:marRight w:val="0"/>
              <w:marTop w:val="0"/>
              <w:marBottom w:val="0"/>
              <w:divBdr>
                <w:top w:val="none" w:sz="0" w:space="0" w:color="auto"/>
                <w:left w:val="none" w:sz="0" w:space="0" w:color="auto"/>
                <w:bottom w:val="none" w:sz="0" w:space="0" w:color="auto"/>
                <w:right w:val="none" w:sz="0" w:space="0" w:color="auto"/>
              </w:divBdr>
            </w:div>
          </w:divsChild>
        </w:div>
        <w:div w:id="432366391">
          <w:marLeft w:val="0"/>
          <w:marRight w:val="0"/>
          <w:marTop w:val="0"/>
          <w:marBottom w:val="0"/>
          <w:divBdr>
            <w:top w:val="none" w:sz="0" w:space="0" w:color="auto"/>
            <w:left w:val="none" w:sz="0" w:space="0" w:color="auto"/>
            <w:bottom w:val="none" w:sz="0" w:space="0" w:color="auto"/>
            <w:right w:val="none" w:sz="0" w:space="0" w:color="auto"/>
          </w:divBdr>
          <w:divsChild>
            <w:div w:id="29768212">
              <w:marLeft w:val="0"/>
              <w:marRight w:val="0"/>
              <w:marTop w:val="0"/>
              <w:marBottom w:val="0"/>
              <w:divBdr>
                <w:top w:val="none" w:sz="0" w:space="0" w:color="auto"/>
                <w:left w:val="none" w:sz="0" w:space="0" w:color="auto"/>
                <w:bottom w:val="none" w:sz="0" w:space="0" w:color="auto"/>
                <w:right w:val="none" w:sz="0" w:space="0" w:color="auto"/>
              </w:divBdr>
            </w:div>
            <w:div w:id="788550788">
              <w:marLeft w:val="0"/>
              <w:marRight w:val="0"/>
              <w:marTop w:val="0"/>
              <w:marBottom w:val="0"/>
              <w:divBdr>
                <w:top w:val="none" w:sz="0" w:space="0" w:color="auto"/>
                <w:left w:val="none" w:sz="0" w:space="0" w:color="auto"/>
                <w:bottom w:val="none" w:sz="0" w:space="0" w:color="auto"/>
                <w:right w:val="none" w:sz="0" w:space="0" w:color="auto"/>
              </w:divBdr>
            </w:div>
            <w:div w:id="1062868846">
              <w:marLeft w:val="0"/>
              <w:marRight w:val="0"/>
              <w:marTop w:val="0"/>
              <w:marBottom w:val="0"/>
              <w:divBdr>
                <w:top w:val="none" w:sz="0" w:space="0" w:color="auto"/>
                <w:left w:val="none" w:sz="0" w:space="0" w:color="auto"/>
                <w:bottom w:val="none" w:sz="0" w:space="0" w:color="auto"/>
                <w:right w:val="none" w:sz="0" w:space="0" w:color="auto"/>
              </w:divBdr>
            </w:div>
            <w:div w:id="1754014379">
              <w:marLeft w:val="0"/>
              <w:marRight w:val="0"/>
              <w:marTop w:val="0"/>
              <w:marBottom w:val="0"/>
              <w:divBdr>
                <w:top w:val="none" w:sz="0" w:space="0" w:color="auto"/>
                <w:left w:val="none" w:sz="0" w:space="0" w:color="auto"/>
                <w:bottom w:val="none" w:sz="0" w:space="0" w:color="auto"/>
                <w:right w:val="none" w:sz="0" w:space="0" w:color="auto"/>
              </w:divBdr>
            </w:div>
            <w:div w:id="1783376616">
              <w:marLeft w:val="0"/>
              <w:marRight w:val="0"/>
              <w:marTop w:val="0"/>
              <w:marBottom w:val="0"/>
              <w:divBdr>
                <w:top w:val="none" w:sz="0" w:space="0" w:color="auto"/>
                <w:left w:val="none" w:sz="0" w:space="0" w:color="auto"/>
                <w:bottom w:val="none" w:sz="0" w:space="0" w:color="auto"/>
                <w:right w:val="none" w:sz="0" w:space="0" w:color="auto"/>
              </w:divBdr>
            </w:div>
          </w:divsChild>
        </w:div>
        <w:div w:id="939527874">
          <w:marLeft w:val="0"/>
          <w:marRight w:val="0"/>
          <w:marTop w:val="0"/>
          <w:marBottom w:val="0"/>
          <w:divBdr>
            <w:top w:val="none" w:sz="0" w:space="0" w:color="auto"/>
            <w:left w:val="none" w:sz="0" w:space="0" w:color="auto"/>
            <w:bottom w:val="none" w:sz="0" w:space="0" w:color="auto"/>
            <w:right w:val="none" w:sz="0" w:space="0" w:color="auto"/>
          </w:divBdr>
          <w:divsChild>
            <w:div w:id="183597802">
              <w:marLeft w:val="0"/>
              <w:marRight w:val="0"/>
              <w:marTop w:val="0"/>
              <w:marBottom w:val="0"/>
              <w:divBdr>
                <w:top w:val="none" w:sz="0" w:space="0" w:color="auto"/>
                <w:left w:val="none" w:sz="0" w:space="0" w:color="auto"/>
                <w:bottom w:val="none" w:sz="0" w:space="0" w:color="auto"/>
                <w:right w:val="none" w:sz="0" w:space="0" w:color="auto"/>
              </w:divBdr>
            </w:div>
            <w:div w:id="532621473">
              <w:marLeft w:val="0"/>
              <w:marRight w:val="0"/>
              <w:marTop w:val="0"/>
              <w:marBottom w:val="0"/>
              <w:divBdr>
                <w:top w:val="none" w:sz="0" w:space="0" w:color="auto"/>
                <w:left w:val="none" w:sz="0" w:space="0" w:color="auto"/>
                <w:bottom w:val="none" w:sz="0" w:space="0" w:color="auto"/>
                <w:right w:val="none" w:sz="0" w:space="0" w:color="auto"/>
              </w:divBdr>
            </w:div>
            <w:div w:id="957183560">
              <w:marLeft w:val="0"/>
              <w:marRight w:val="0"/>
              <w:marTop w:val="0"/>
              <w:marBottom w:val="0"/>
              <w:divBdr>
                <w:top w:val="none" w:sz="0" w:space="0" w:color="auto"/>
                <w:left w:val="none" w:sz="0" w:space="0" w:color="auto"/>
                <w:bottom w:val="none" w:sz="0" w:space="0" w:color="auto"/>
                <w:right w:val="none" w:sz="0" w:space="0" w:color="auto"/>
              </w:divBdr>
            </w:div>
            <w:div w:id="1210066121">
              <w:marLeft w:val="0"/>
              <w:marRight w:val="0"/>
              <w:marTop w:val="0"/>
              <w:marBottom w:val="0"/>
              <w:divBdr>
                <w:top w:val="none" w:sz="0" w:space="0" w:color="auto"/>
                <w:left w:val="none" w:sz="0" w:space="0" w:color="auto"/>
                <w:bottom w:val="none" w:sz="0" w:space="0" w:color="auto"/>
                <w:right w:val="none" w:sz="0" w:space="0" w:color="auto"/>
              </w:divBdr>
            </w:div>
            <w:div w:id="1790319009">
              <w:marLeft w:val="0"/>
              <w:marRight w:val="0"/>
              <w:marTop w:val="0"/>
              <w:marBottom w:val="0"/>
              <w:divBdr>
                <w:top w:val="none" w:sz="0" w:space="0" w:color="auto"/>
                <w:left w:val="none" w:sz="0" w:space="0" w:color="auto"/>
                <w:bottom w:val="none" w:sz="0" w:space="0" w:color="auto"/>
                <w:right w:val="none" w:sz="0" w:space="0" w:color="auto"/>
              </w:divBdr>
            </w:div>
          </w:divsChild>
        </w:div>
        <w:div w:id="1562598051">
          <w:marLeft w:val="0"/>
          <w:marRight w:val="0"/>
          <w:marTop w:val="0"/>
          <w:marBottom w:val="0"/>
          <w:divBdr>
            <w:top w:val="none" w:sz="0" w:space="0" w:color="auto"/>
            <w:left w:val="none" w:sz="0" w:space="0" w:color="auto"/>
            <w:bottom w:val="none" w:sz="0" w:space="0" w:color="auto"/>
            <w:right w:val="none" w:sz="0" w:space="0" w:color="auto"/>
          </w:divBdr>
          <w:divsChild>
            <w:div w:id="373585383">
              <w:marLeft w:val="0"/>
              <w:marRight w:val="0"/>
              <w:marTop w:val="0"/>
              <w:marBottom w:val="0"/>
              <w:divBdr>
                <w:top w:val="none" w:sz="0" w:space="0" w:color="auto"/>
                <w:left w:val="none" w:sz="0" w:space="0" w:color="auto"/>
                <w:bottom w:val="none" w:sz="0" w:space="0" w:color="auto"/>
                <w:right w:val="none" w:sz="0" w:space="0" w:color="auto"/>
              </w:divBdr>
            </w:div>
            <w:div w:id="1716848581">
              <w:marLeft w:val="0"/>
              <w:marRight w:val="0"/>
              <w:marTop w:val="0"/>
              <w:marBottom w:val="0"/>
              <w:divBdr>
                <w:top w:val="none" w:sz="0" w:space="0" w:color="auto"/>
                <w:left w:val="none" w:sz="0" w:space="0" w:color="auto"/>
                <w:bottom w:val="none" w:sz="0" w:space="0" w:color="auto"/>
                <w:right w:val="none" w:sz="0" w:space="0" w:color="auto"/>
              </w:divBdr>
            </w:div>
          </w:divsChild>
        </w:div>
        <w:div w:id="1673605387">
          <w:marLeft w:val="0"/>
          <w:marRight w:val="0"/>
          <w:marTop w:val="0"/>
          <w:marBottom w:val="0"/>
          <w:divBdr>
            <w:top w:val="none" w:sz="0" w:space="0" w:color="auto"/>
            <w:left w:val="none" w:sz="0" w:space="0" w:color="auto"/>
            <w:bottom w:val="none" w:sz="0" w:space="0" w:color="auto"/>
            <w:right w:val="none" w:sz="0" w:space="0" w:color="auto"/>
          </w:divBdr>
          <w:divsChild>
            <w:div w:id="5602008">
              <w:marLeft w:val="0"/>
              <w:marRight w:val="0"/>
              <w:marTop w:val="0"/>
              <w:marBottom w:val="0"/>
              <w:divBdr>
                <w:top w:val="none" w:sz="0" w:space="0" w:color="auto"/>
                <w:left w:val="none" w:sz="0" w:space="0" w:color="auto"/>
                <w:bottom w:val="none" w:sz="0" w:space="0" w:color="auto"/>
                <w:right w:val="none" w:sz="0" w:space="0" w:color="auto"/>
              </w:divBdr>
            </w:div>
            <w:div w:id="10569069">
              <w:marLeft w:val="0"/>
              <w:marRight w:val="0"/>
              <w:marTop w:val="0"/>
              <w:marBottom w:val="0"/>
              <w:divBdr>
                <w:top w:val="none" w:sz="0" w:space="0" w:color="auto"/>
                <w:left w:val="none" w:sz="0" w:space="0" w:color="auto"/>
                <w:bottom w:val="none" w:sz="0" w:space="0" w:color="auto"/>
                <w:right w:val="none" w:sz="0" w:space="0" w:color="auto"/>
              </w:divBdr>
            </w:div>
            <w:div w:id="624848620">
              <w:marLeft w:val="0"/>
              <w:marRight w:val="0"/>
              <w:marTop w:val="0"/>
              <w:marBottom w:val="0"/>
              <w:divBdr>
                <w:top w:val="none" w:sz="0" w:space="0" w:color="auto"/>
                <w:left w:val="none" w:sz="0" w:space="0" w:color="auto"/>
                <w:bottom w:val="none" w:sz="0" w:space="0" w:color="auto"/>
                <w:right w:val="none" w:sz="0" w:space="0" w:color="auto"/>
              </w:divBdr>
            </w:div>
            <w:div w:id="1321890484">
              <w:marLeft w:val="0"/>
              <w:marRight w:val="0"/>
              <w:marTop w:val="0"/>
              <w:marBottom w:val="0"/>
              <w:divBdr>
                <w:top w:val="none" w:sz="0" w:space="0" w:color="auto"/>
                <w:left w:val="none" w:sz="0" w:space="0" w:color="auto"/>
                <w:bottom w:val="none" w:sz="0" w:space="0" w:color="auto"/>
                <w:right w:val="none" w:sz="0" w:space="0" w:color="auto"/>
              </w:divBdr>
            </w:div>
            <w:div w:id="18850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6030">
      <w:bodyDiv w:val="1"/>
      <w:marLeft w:val="0"/>
      <w:marRight w:val="0"/>
      <w:marTop w:val="0"/>
      <w:marBottom w:val="0"/>
      <w:divBdr>
        <w:top w:val="none" w:sz="0" w:space="0" w:color="auto"/>
        <w:left w:val="none" w:sz="0" w:space="0" w:color="auto"/>
        <w:bottom w:val="none" w:sz="0" w:space="0" w:color="auto"/>
        <w:right w:val="none" w:sz="0" w:space="0" w:color="auto"/>
      </w:divBdr>
    </w:div>
    <w:div w:id="983242252">
      <w:bodyDiv w:val="1"/>
      <w:marLeft w:val="0"/>
      <w:marRight w:val="0"/>
      <w:marTop w:val="0"/>
      <w:marBottom w:val="0"/>
      <w:divBdr>
        <w:top w:val="none" w:sz="0" w:space="0" w:color="auto"/>
        <w:left w:val="none" w:sz="0" w:space="0" w:color="auto"/>
        <w:bottom w:val="none" w:sz="0" w:space="0" w:color="auto"/>
        <w:right w:val="none" w:sz="0" w:space="0" w:color="auto"/>
      </w:divBdr>
    </w:div>
    <w:div w:id="1027682121">
      <w:bodyDiv w:val="1"/>
      <w:marLeft w:val="0"/>
      <w:marRight w:val="0"/>
      <w:marTop w:val="0"/>
      <w:marBottom w:val="0"/>
      <w:divBdr>
        <w:top w:val="none" w:sz="0" w:space="0" w:color="auto"/>
        <w:left w:val="none" w:sz="0" w:space="0" w:color="auto"/>
        <w:bottom w:val="none" w:sz="0" w:space="0" w:color="auto"/>
        <w:right w:val="none" w:sz="0" w:space="0" w:color="auto"/>
      </w:divBdr>
      <w:divsChild>
        <w:div w:id="1334068083">
          <w:marLeft w:val="0"/>
          <w:marRight w:val="0"/>
          <w:marTop w:val="0"/>
          <w:marBottom w:val="0"/>
          <w:divBdr>
            <w:top w:val="none" w:sz="0" w:space="0" w:color="auto"/>
            <w:left w:val="none" w:sz="0" w:space="0" w:color="auto"/>
            <w:bottom w:val="none" w:sz="0" w:space="0" w:color="auto"/>
            <w:right w:val="none" w:sz="0" w:space="0" w:color="auto"/>
          </w:divBdr>
          <w:divsChild>
            <w:div w:id="4921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2805">
      <w:bodyDiv w:val="1"/>
      <w:marLeft w:val="0"/>
      <w:marRight w:val="0"/>
      <w:marTop w:val="0"/>
      <w:marBottom w:val="0"/>
      <w:divBdr>
        <w:top w:val="none" w:sz="0" w:space="0" w:color="auto"/>
        <w:left w:val="none" w:sz="0" w:space="0" w:color="auto"/>
        <w:bottom w:val="none" w:sz="0" w:space="0" w:color="auto"/>
        <w:right w:val="none" w:sz="0" w:space="0" w:color="auto"/>
      </w:divBdr>
      <w:divsChild>
        <w:div w:id="459955548">
          <w:marLeft w:val="0"/>
          <w:marRight w:val="0"/>
          <w:marTop w:val="0"/>
          <w:marBottom w:val="0"/>
          <w:divBdr>
            <w:top w:val="none" w:sz="0" w:space="0" w:color="auto"/>
            <w:left w:val="none" w:sz="0" w:space="0" w:color="auto"/>
            <w:bottom w:val="none" w:sz="0" w:space="0" w:color="auto"/>
            <w:right w:val="none" w:sz="0" w:space="0" w:color="auto"/>
          </w:divBdr>
          <w:divsChild>
            <w:div w:id="485128880">
              <w:marLeft w:val="0"/>
              <w:marRight w:val="0"/>
              <w:marTop w:val="0"/>
              <w:marBottom w:val="0"/>
              <w:divBdr>
                <w:top w:val="none" w:sz="0" w:space="0" w:color="auto"/>
                <w:left w:val="none" w:sz="0" w:space="0" w:color="auto"/>
                <w:bottom w:val="none" w:sz="0" w:space="0" w:color="auto"/>
                <w:right w:val="none" w:sz="0" w:space="0" w:color="auto"/>
              </w:divBdr>
            </w:div>
            <w:div w:id="1267613080">
              <w:marLeft w:val="0"/>
              <w:marRight w:val="0"/>
              <w:marTop w:val="0"/>
              <w:marBottom w:val="0"/>
              <w:divBdr>
                <w:top w:val="none" w:sz="0" w:space="0" w:color="auto"/>
                <w:left w:val="none" w:sz="0" w:space="0" w:color="auto"/>
                <w:bottom w:val="none" w:sz="0" w:space="0" w:color="auto"/>
                <w:right w:val="none" w:sz="0" w:space="0" w:color="auto"/>
              </w:divBdr>
            </w:div>
            <w:div w:id="1893301239">
              <w:marLeft w:val="0"/>
              <w:marRight w:val="0"/>
              <w:marTop w:val="0"/>
              <w:marBottom w:val="0"/>
              <w:divBdr>
                <w:top w:val="none" w:sz="0" w:space="0" w:color="auto"/>
                <w:left w:val="none" w:sz="0" w:space="0" w:color="auto"/>
                <w:bottom w:val="none" w:sz="0" w:space="0" w:color="auto"/>
                <w:right w:val="none" w:sz="0" w:space="0" w:color="auto"/>
              </w:divBdr>
            </w:div>
          </w:divsChild>
        </w:div>
        <w:div w:id="1634866023">
          <w:marLeft w:val="0"/>
          <w:marRight w:val="0"/>
          <w:marTop w:val="0"/>
          <w:marBottom w:val="0"/>
          <w:divBdr>
            <w:top w:val="none" w:sz="0" w:space="0" w:color="auto"/>
            <w:left w:val="none" w:sz="0" w:space="0" w:color="auto"/>
            <w:bottom w:val="none" w:sz="0" w:space="0" w:color="auto"/>
            <w:right w:val="none" w:sz="0" w:space="0" w:color="auto"/>
          </w:divBdr>
          <w:divsChild>
            <w:div w:id="414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4956">
      <w:bodyDiv w:val="1"/>
      <w:marLeft w:val="0"/>
      <w:marRight w:val="0"/>
      <w:marTop w:val="0"/>
      <w:marBottom w:val="0"/>
      <w:divBdr>
        <w:top w:val="none" w:sz="0" w:space="0" w:color="auto"/>
        <w:left w:val="none" w:sz="0" w:space="0" w:color="auto"/>
        <w:bottom w:val="none" w:sz="0" w:space="0" w:color="auto"/>
        <w:right w:val="none" w:sz="0" w:space="0" w:color="auto"/>
      </w:divBdr>
      <w:divsChild>
        <w:div w:id="1994020695">
          <w:marLeft w:val="0"/>
          <w:marRight w:val="0"/>
          <w:marTop w:val="0"/>
          <w:marBottom w:val="0"/>
          <w:divBdr>
            <w:top w:val="none" w:sz="0" w:space="0" w:color="auto"/>
            <w:left w:val="none" w:sz="0" w:space="0" w:color="auto"/>
            <w:bottom w:val="none" w:sz="0" w:space="0" w:color="auto"/>
            <w:right w:val="none" w:sz="0" w:space="0" w:color="auto"/>
          </w:divBdr>
          <w:divsChild>
            <w:div w:id="230123831">
              <w:marLeft w:val="0"/>
              <w:marRight w:val="0"/>
              <w:marTop w:val="0"/>
              <w:marBottom w:val="0"/>
              <w:divBdr>
                <w:top w:val="none" w:sz="0" w:space="0" w:color="auto"/>
                <w:left w:val="none" w:sz="0" w:space="0" w:color="auto"/>
                <w:bottom w:val="none" w:sz="0" w:space="0" w:color="auto"/>
                <w:right w:val="none" w:sz="0" w:space="0" w:color="auto"/>
              </w:divBdr>
            </w:div>
            <w:div w:id="1477843695">
              <w:marLeft w:val="0"/>
              <w:marRight w:val="0"/>
              <w:marTop w:val="0"/>
              <w:marBottom w:val="0"/>
              <w:divBdr>
                <w:top w:val="none" w:sz="0" w:space="0" w:color="auto"/>
                <w:left w:val="none" w:sz="0" w:space="0" w:color="auto"/>
                <w:bottom w:val="none" w:sz="0" w:space="0" w:color="auto"/>
                <w:right w:val="none" w:sz="0" w:space="0" w:color="auto"/>
              </w:divBdr>
            </w:div>
            <w:div w:id="15594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101">
      <w:bodyDiv w:val="1"/>
      <w:marLeft w:val="0"/>
      <w:marRight w:val="0"/>
      <w:marTop w:val="0"/>
      <w:marBottom w:val="0"/>
      <w:divBdr>
        <w:top w:val="none" w:sz="0" w:space="0" w:color="auto"/>
        <w:left w:val="none" w:sz="0" w:space="0" w:color="auto"/>
        <w:bottom w:val="none" w:sz="0" w:space="0" w:color="auto"/>
        <w:right w:val="none" w:sz="0" w:space="0" w:color="auto"/>
      </w:divBdr>
      <w:divsChild>
        <w:div w:id="267737848">
          <w:marLeft w:val="0"/>
          <w:marRight w:val="0"/>
          <w:marTop w:val="0"/>
          <w:marBottom w:val="0"/>
          <w:divBdr>
            <w:top w:val="none" w:sz="0" w:space="0" w:color="auto"/>
            <w:left w:val="none" w:sz="0" w:space="0" w:color="auto"/>
            <w:bottom w:val="none" w:sz="0" w:space="0" w:color="auto"/>
            <w:right w:val="none" w:sz="0" w:space="0" w:color="auto"/>
          </w:divBdr>
        </w:div>
        <w:div w:id="719129592">
          <w:marLeft w:val="0"/>
          <w:marRight w:val="0"/>
          <w:marTop w:val="0"/>
          <w:marBottom w:val="0"/>
          <w:divBdr>
            <w:top w:val="none" w:sz="0" w:space="0" w:color="auto"/>
            <w:left w:val="none" w:sz="0" w:space="0" w:color="auto"/>
            <w:bottom w:val="none" w:sz="0" w:space="0" w:color="auto"/>
            <w:right w:val="none" w:sz="0" w:space="0" w:color="auto"/>
          </w:divBdr>
        </w:div>
        <w:div w:id="816187438">
          <w:marLeft w:val="0"/>
          <w:marRight w:val="0"/>
          <w:marTop w:val="0"/>
          <w:marBottom w:val="0"/>
          <w:divBdr>
            <w:top w:val="none" w:sz="0" w:space="0" w:color="auto"/>
            <w:left w:val="none" w:sz="0" w:space="0" w:color="auto"/>
            <w:bottom w:val="none" w:sz="0" w:space="0" w:color="auto"/>
            <w:right w:val="none" w:sz="0" w:space="0" w:color="auto"/>
          </w:divBdr>
          <w:divsChild>
            <w:div w:id="1087070581">
              <w:marLeft w:val="0"/>
              <w:marRight w:val="0"/>
              <w:marTop w:val="0"/>
              <w:marBottom w:val="0"/>
              <w:divBdr>
                <w:top w:val="none" w:sz="0" w:space="0" w:color="auto"/>
                <w:left w:val="none" w:sz="0" w:space="0" w:color="auto"/>
                <w:bottom w:val="none" w:sz="0" w:space="0" w:color="auto"/>
                <w:right w:val="none" w:sz="0" w:space="0" w:color="auto"/>
              </w:divBdr>
            </w:div>
            <w:div w:id="1343313043">
              <w:marLeft w:val="0"/>
              <w:marRight w:val="0"/>
              <w:marTop w:val="0"/>
              <w:marBottom w:val="0"/>
              <w:divBdr>
                <w:top w:val="none" w:sz="0" w:space="0" w:color="auto"/>
                <w:left w:val="none" w:sz="0" w:space="0" w:color="auto"/>
                <w:bottom w:val="none" w:sz="0" w:space="0" w:color="auto"/>
                <w:right w:val="none" w:sz="0" w:space="0" w:color="auto"/>
              </w:divBdr>
            </w:div>
            <w:div w:id="1604873236">
              <w:marLeft w:val="0"/>
              <w:marRight w:val="0"/>
              <w:marTop w:val="0"/>
              <w:marBottom w:val="0"/>
              <w:divBdr>
                <w:top w:val="none" w:sz="0" w:space="0" w:color="auto"/>
                <w:left w:val="none" w:sz="0" w:space="0" w:color="auto"/>
                <w:bottom w:val="none" w:sz="0" w:space="0" w:color="auto"/>
                <w:right w:val="none" w:sz="0" w:space="0" w:color="auto"/>
              </w:divBdr>
            </w:div>
          </w:divsChild>
        </w:div>
        <w:div w:id="881746825">
          <w:marLeft w:val="0"/>
          <w:marRight w:val="0"/>
          <w:marTop w:val="0"/>
          <w:marBottom w:val="0"/>
          <w:divBdr>
            <w:top w:val="none" w:sz="0" w:space="0" w:color="auto"/>
            <w:left w:val="none" w:sz="0" w:space="0" w:color="auto"/>
            <w:bottom w:val="none" w:sz="0" w:space="0" w:color="auto"/>
            <w:right w:val="none" w:sz="0" w:space="0" w:color="auto"/>
          </w:divBdr>
          <w:divsChild>
            <w:div w:id="1023240628">
              <w:marLeft w:val="0"/>
              <w:marRight w:val="0"/>
              <w:marTop w:val="0"/>
              <w:marBottom w:val="0"/>
              <w:divBdr>
                <w:top w:val="none" w:sz="0" w:space="0" w:color="auto"/>
                <w:left w:val="none" w:sz="0" w:space="0" w:color="auto"/>
                <w:bottom w:val="none" w:sz="0" w:space="0" w:color="auto"/>
                <w:right w:val="none" w:sz="0" w:space="0" w:color="auto"/>
              </w:divBdr>
            </w:div>
            <w:div w:id="1636178103">
              <w:marLeft w:val="0"/>
              <w:marRight w:val="0"/>
              <w:marTop w:val="0"/>
              <w:marBottom w:val="0"/>
              <w:divBdr>
                <w:top w:val="none" w:sz="0" w:space="0" w:color="auto"/>
                <w:left w:val="none" w:sz="0" w:space="0" w:color="auto"/>
                <w:bottom w:val="none" w:sz="0" w:space="0" w:color="auto"/>
                <w:right w:val="none" w:sz="0" w:space="0" w:color="auto"/>
              </w:divBdr>
            </w:div>
            <w:div w:id="1736050839">
              <w:marLeft w:val="0"/>
              <w:marRight w:val="0"/>
              <w:marTop w:val="0"/>
              <w:marBottom w:val="0"/>
              <w:divBdr>
                <w:top w:val="none" w:sz="0" w:space="0" w:color="auto"/>
                <w:left w:val="none" w:sz="0" w:space="0" w:color="auto"/>
                <w:bottom w:val="none" w:sz="0" w:space="0" w:color="auto"/>
                <w:right w:val="none" w:sz="0" w:space="0" w:color="auto"/>
              </w:divBdr>
            </w:div>
            <w:div w:id="1800689140">
              <w:marLeft w:val="0"/>
              <w:marRight w:val="0"/>
              <w:marTop w:val="0"/>
              <w:marBottom w:val="0"/>
              <w:divBdr>
                <w:top w:val="none" w:sz="0" w:space="0" w:color="auto"/>
                <w:left w:val="none" w:sz="0" w:space="0" w:color="auto"/>
                <w:bottom w:val="none" w:sz="0" w:space="0" w:color="auto"/>
                <w:right w:val="none" w:sz="0" w:space="0" w:color="auto"/>
              </w:divBdr>
            </w:div>
            <w:div w:id="2097363171">
              <w:marLeft w:val="0"/>
              <w:marRight w:val="0"/>
              <w:marTop w:val="0"/>
              <w:marBottom w:val="0"/>
              <w:divBdr>
                <w:top w:val="none" w:sz="0" w:space="0" w:color="auto"/>
                <w:left w:val="none" w:sz="0" w:space="0" w:color="auto"/>
                <w:bottom w:val="none" w:sz="0" w:space="0" w:color="auto"/>
                <w:right w:val="none" w:sz="0" w:space="0" w:color="auto"/>
              </w:divBdr>
            </w:div>
          </w:divsChild>
        </w:div>
        <w:div w:id="1069616245">
          <w:marLeft w:val="0"/>
          <w:marRight w:val="0"/>
          <w:marTop w:val="0"/>
          <w:marBottom w:val="0"/>
          <w:divBdr>
            <w:top w:val="none" w:sz="0" w:space="0" w:color="auto"/>
            <w:left w:val="none" w:sz="0" w:space="0" w:color="auto"/>
            <w:bottom w:val="none" w:sz="0" w:space="0" w:color="auto"/>
            <w:right w:val="none" w:sz="0" w:space="0" w:color="auto"/>
          </w:divBdr>
          <w:divsChild>
            <w:div w:id="72120116">
              <w:marLeft w:val="0"/>
              <w:marRight w:val="0"/>
              <w:marTop w:val="0"/>
              <w:marBottom w:val="0"/>
              <w:divBdr>
                <w:top w:val="none" w:sz="0" w:space="0" w:color="auto"/>
                <w:left w:val="none" w:sz="0" w:space="0" w:color="auto"/>
                <w:bottom w:val="none" w:sz="0" w:space="0" w:color="auto"/>
                <w:right w:val="none" w:sz="0" w:space="0" w:color="auto"/>
              </w:divBdr>
            </w:div>
            <w:div w:id="441077298">
              <w:marLeft w:val="0"/>
              <w:marRight w:val="0"/>
              <w:marTop w:val="0"/>
              <w:marBottom w:val="0"/>
              <w:divBdr>
                <w:top w:val="none" w:sz="0" w:space="0" w:color="auto"/>
                <w:left w:val="none" w:sz="0" w:space="0" w:color="auto"/>
                <w:bottom w:val="none" w:sz="0" w:space="0" w:color="auto"/>
                <w:right w:val="none" w:sz="0" w:space="0" w:color="auto"/>
              </w:divBdr>
            </w:div>
            <w:div w:id="1715545075">
              <w:marLeft w:val="0"/>
              <w:marRight w:val="0"/>
              <w:marTop w:val="0"/>
              <w:marBottom w:val="0"/>
              <w:divBdr>
                <w:top w:val="none" w:sz="0" w:space="0" w:color="auto"/>
                <w:left w:val="none" w:sz="0" w:space="0" w:color="auto"/>
                <w:bottom w:val="none" w:sz="0" w:space="0" w:color="auto"/>
                <w:right w:val="none" w:sz="0" w:space="0" w:color="auto"/>
              </w:divBdr>
            </w:div>
          </w:divsChild>
        </w:div>
        <w:div w:id="1080178068">
          <w:marLeft w:val="0"/>
          <w:marRight w:val="0"/>
          <w:marTop w:val="0"/>
          <w:marBottom w:val="0"/>
          <w:divBdr>
            <w:top w:val="none" w:sz="0" w:space="0" w:color="auto"/>
            <w:left w:val="none" w:sz="0" w:space="0" w:color="auto"/>
            <w:bottom w:val="none" w:sz="0" w:space="0" w:color="auto"/>
            <w:right w:val="none" w:sz="0" w:space="0" w:color="auto"/>
          </w:divBdr>
        </w:div>
        <w:div w:id="1195653216">
          <w:marLeft w:val="0"/>
          <w:marRight w:val="0"/>
          <w:marTop w:val="0"/>
          <w:marBottom w:val="0"/>
          <w:divBdr>
            <w:top w:val="none" w:sz="0" w:space="0" w:color="auto"/>
            <w:left w:val="none" w:sz="0" w:space="0" w:color="auto"/>
            <w:bottom w:val="none" w:sz="0" w:space="0" w:color="auto"/>
            <w:right w:val="none" w:sz="0" w:space="0" w:color="auto"/>
          </w:divBdr>
          <w:divsChild>
            <w:div w:id="21173878">
              <w:marLeft w:val="0"/>
              <w:marRight w:val="0"/>
              <w:marTop w:val="0"/>
              <w:marBottom w:val="0"/>
              <w:divBdr>
                <w:top w:val="none" w:sz="0" w:space="0" w:color="auto"/>
                <w:left w:val="none" w:sz="0" w:space="0" w:color="auto"/>
                <w:bottom w:val="none" w:sz="0" w:space="0" w:color="auto"/>
                <w:right w:val="none" w:sz="0" w:space="0" w:color="auto"/>
              </w:divBdr>
            </w:div>
            <w:div w:id="964654397">
              <w:marLeft w:val="0"/>
              <w:marRight w:val="0"/>
              <w:marTop w:val="0"/>
              <w:marBottom w:val="0"/>
              <w:divBdr>
                <w:top w:val="none" w:sz="0" w:space="0" w:color="auto"/>
                <w:left w:val="none" w:sz="0" w:space="0" w:color="auto"/>
                <w:bottom w:val="none" w:sz="0" w:space="0" w:color="auto"/>
                <w:right w:val="none" w:sz="0" w:space="0" w:color="auto"/>
              </w:divBdr>
            </w:div>
            <w:div w:id="1502309383">
              <w:marLeft w:val="0"/>
              <w:marRight w:val="0"/>
              <w:marTop w:val="0"/>
              <w:marBottom w:val="0"/>
              <w:divBdr>
                <w:top w:val="none" w:sz="0" w:space="0" w:color="auto"/>
                <w:left w:val="none" w:sz="0" w:space="0" w:color="auto"/>
                <w:bottom w:val="none" w:sz="0" w:space="0" w:color="auto"/>
                <w:right w:val="none" w:sz="0" w:space="0" w:color="auto"/>
              </w:divBdr>
            </w:div>
            <w:div w:id="1519154680">
              <w:marLeft w:val="0"/>
              <w:marRight w:val="0"/>
              <w:marTop w:val="0"/>
              <w:marBottom w:val="0"/>
              <w:divBdr>
                <w:top w:val="none" w:sz="0" w:space="0" w:color="auto"/>
                <w:left w:val="none" w:sz="0" w:space="0" w:color="auto"/>
                <w:bottom w:val="none" w:sz="0" w:space="0" w:color="auto"/>
                <w:right w:val="none" w:sz="0" w:space="0" w:color="auto"/>
              </w:divBdr>
            </w:div>
            <w:div w:id="2101639855">
              <w:marLeft w:val="0"/>
              <w:marRight w:val="0"/>
              <w:marTop w:val="0"/>
              <w:marBottom w:val="0"/>
              <w:divBdr>
                <w:top w:val="none" w:sz="0" w:space="0" w:color="auto"/>
                <w:left w:val="none" w:sz="0" w:space="0" w:color="auto"/>
                <w:bottom w:val="none" w:sz="0" w:space="0" w:color="auto"/>
                <w:right w:val="none" w:sz="0" w:space="0" w:color="auto"/>
              </w:divBdr>
            </w:div>
          </w:divsChild>
        </w:div>
        <w:div w:id="1237978228">
          <w:marLeft w:val="0"/>
          <w:marRight w:val="0"/>
          <w:marTop w:val="0"/>
          <w:marBottom w:val="0"/>
          <w:divBdr>
            <w:top w:val="none" w:sz="0" w:space="0" w:color="auto"/>
            <w:left w:val="none" w:sz="0" w:space="0" w:color="auto"/>
            <w:bottom w:val="none" w:sz="0" w:space="0" w:color="auto"/>
            <w:right w:val="none" w:sz="0" w:space="0" w:color="auto"/>
          </w:divBdr>
        </w:div>
        <w:div w:id="1270972341">
          <w:marLeft w:val="0"/>
          <w:marRight w:val="0"/>
          <w:marTop w:val="0"/>
          <w:marBottom w:val="0"/>
          <w:divBdr>
            <w:top w:val="none" w:sz="0" w:space="0" w:color="auto"/>
            <w:left w:val="none" w:sz="0" w:space="0" w:color="auto"/>
            <w:bottom w:val="none" w:sz="0" w:space="0" w:color="auto"/>
            <w:right w:val="none" w:sz="0" w:space="0" w:color="auto"/>
          </w:divBdr>
        </w:div>
        <w:div w:id="1301963700">
          <w:marLeft w:val="0"/>
          <w:marRight w:val="0"/>
          <w:marTop w:val="0"/>
          <w:marBottom w:val="0"/>
          <w:divBdr>
            <w:top w:val="none" w:sz="0" w:space="0" w:color="auto"/>
            <w:left w:val="none" w:sz="0" w:space="0" w:color="auto"/>
            <w:bottom w:val="none" w:sz="0" w:space="0" w:color="auto"/>
            <w:right w:val="none" w:sz="0" w:space="0" w:color="auto"/>
          </w:divBdr>
        </w:div>
        <w:div w:id="1307783987">
          <w:marLeft w:val="0"/>
          <w:marRight w:val="0"/>
          <w:marTop w:val="0"/>
          <w:marBottom w:val="0"/>
          <w:divBdr>
            <w:top w:val="none" w:sz="0" w:space="0" w:color="auto"/>
            <w:left w:val="none" w:sz="0" w:space="0" w:color="auto"/>
            <w:bottom w:val="none" w:sz="0" w:space="0" w:color="auto"/>
            <w:right w:val="none" w:sz="0" w:space="0" w:color="auto"/>
          </w:divBdr>
          <w:divsChild>
            <w:div w:id="207573561">
              <w:marLeft w:val="0"/>
              <w:marRight w:val="0"/>
              <w:marTop w:val="0"/>
              <w:marBottom w:val="0"/>
              <w:divBdr>
                <w:top w:val="none" w:sz="0" w:space="0" w:color="auto"/>
                <w:left w:val="none" w:sz="0" w:space="0" w:color="auto"/>
                <w:bottom w:val="none" w:sz="0" w:space="0" w:color="auto"/>
                <w:right w:val="none" w:sz="0" w:space="0" w:color="auto"/>
              </w:divBdr>
            </w:div>
            <w:div w:id="333798208">
              <w:marLeft w:val="0"/>
              <w:marRight w:val="0"/>
              <w:marTop w:val="0"/>
              <w:marBottom w:val="0"/>
              <w:divBdr>
                <w:top w:val="none" w:sz="0" w:space="0" w:color="auto"/>
                <w:left w:val="none" w:sz="0" w:space="0" w:color="auto"/>
                <w:bottom w:val="none" w:sz="0" w:space="0" w:color="auto"/>
                <w:right w:val="none" w:sz="0" w:space="0" w:color="auto"/>
              </w:divBdr>
            </w:div>
            <w:div w:id="1008140658">
              <w:marLeft w:val="0"/>
              <w:marRight w:val="0"/>
              <w:marTop w:val="0"/>
              <w:marBottom w:val="0"/>
              <w:divBdr>
                <w:top w:val="none" w:sz="0" w:space="0" w:color="auto"/>
                <w:left w:val="none" w:sz="0" w:space="0" w:color="auto"/>
                <w:bottom w:val="none" w:sz="0" w:space="0" w:color="auto"/>
                <w:right w:val="none" w:sz="0" w:space="0" w:color="auto"/>
              </w:divBdr>
            </w:div>
            <w:div w:id="1929970525">
              <w:marLeft w:val="0"/>
              <w:marRight w:val="0"/>
              <w:marTop w:val="0"/>
              <w:marBottom w:val="0"/>
              <w:divBdr>
                <w:top w:val="none" w:sz="0" w:space="0" w:color="auto"/>
                <w:left w:val="none" w:sz="0" w:space="0" w:color="auto"/>
                <w:bottom w:val="none" w:sz="0" w:space="0" w:color="auto"/>
                <w:right w:val="none" w:sz="0" w:space="0" w:color="auto"/>
              </w:divBdr>
            </w:div>
            <w:div w:id="2114091462">
              <w:marLeft w:val="0"/>
              <w:marRight w:val="0"/>
              <w:marTop w:val="0"/>
              <w:marBottom w:val="0"/>
              <w:divBdr>
                <w:top w:val="none" w:sz="0" w:space="0" w:color="auto"/>
                <w:left w:val="none" w:sz="0" w:space="0" w:color="auto"/>
                <w:bottom w:val="none" w:sz="0" w:space="0" w:color="auto"/>
                <w:right w:val="none" w:sz="0" w:space="0" w:color="auto"/>
              </w:divBdr>
            </w:div>
          </w:divsChild>
        </w:div>
        <w:div w:id="1719863589">
          <w:marLeft w:val="0"/>
          <w:marRight w:val="0"/>
          <w:marTop w:val="0"/>
          <w:marBottom w:val="0"/>
          <w:divBdr>
            <w:top w:val="none" w:sz="0" w:space="0" w:color="auto"/>
            <w:left w:val="none" w:sz="0" w:space="0" w:color="auto"/>
            <w:bottom w:val="none" w:sz="0" w:space="0" w:color="auto"/>
            <w:right w:val="none" w:sz="0" w:space="0" w:color="auto"/>
          </w:divBdr>
        </w:div>
        <w:div w:id="1781489293">
          <w:marLeft w:val="0"/>
          <w:marRight w:val="0"/>
          <w:marTop w:val="0"/>
          <w:marBottom w:val="0"/>
          <w:divBdr>
            <w:top w:val="none" w:sz="0" w:space="0" w:color="auto"/>
            <w:left w:val="none" w:sz="0" w:space="0" w:color="auto"/>
            <w:bottom w:val="none" w:sz="0" w:space="0" w:color="auto"/>
            <w:right w:val="none" w:sz="0" w:space="0" w:color="auto"/>
          </w:divBdr>
        </w:div>
        <w:div w:id="1999726700">
          <w:marLeft w:val="0"/>
          <w:marRight w:val="0"/>
          <w:marTop w:val="0"/>
          <w:marBottom w:val="0"/>
          <w:divBdr>
            <w:top w:val="none" w:sz="0" w:space="0" w:color="auto"/>
            <w:left w:val="none" w:sz="0" w:space="0" w:color="auto"/>
            <w:bottom w:val="none" w:sz="0" w:space="0" w:color="auto"/>
            <w:right w:val="none" w:sz="0" w:space="0" w:color="auto"/>
          </w:divBdr>
        </w:div>
        <w:div w:id="2032223786">
          <w:marLeft w:val="0"/>
          <w:marRight w:val="0"/>
          <w:marTop w:val="0"/>
          <w:marBottom w:val="0"/>
          <w:divBdr>
            <w:top w:val="none" w:sz="0" w:space="0" w:color="auto"/>
            <w:left w:val="none" w:sz="0" w:space="0" w:color="auto"/>
            <w:bottom w:val="none" w:sz="0" w:space="0" w:color="auto"/>
            <w:right w:val="none" w:sz="0" w:space="0" w:color="auto"/>
          </w:divBdr>
        </w:div>
        <w:div w:id="2048411730">
          <w:marLeft w:val="0"/>
          <w:marRight w:val="0"/>
          <w:marTop w:val="0"/>
          <w:marBottom w:val="0"/>
          <w:divBdr>
            <w:top w:val="none" w:sz="0" w:space="0" w:color="auto"/>
            <w:left w:val="none" w:sz="0" w:space="0" w:color="auto"/>
            <w:bottom w:val="none" w:sz="0" w:space="0" w:color="auto"/>
            <w:right w:val="none" w:sz="0" w:space="0" w:color="auto"/>
          </w:divBdr>
          <w:divsChild>
            <w:div w:id="428698993">
              <w:marLeft w:val="0"/>
              <w:marRight w:val="0"/>
              <w:marTop w:val="0"/>
              <w:marBottom w:val="0"/>
              <w:divBdr>
                <w:top w:val="none" w:sz="0" w:space="0" w:color="auto"/>
                <w:left w:val="none" w:sz="0" w:space="0" w:color="auto"/>
                <w:bottom w:val="none" w:sz="0" w:space="0" w:color="auto"/>
                <w:right w:val="none" w:sz="0" w:space="0" w:color="auto"/>
              </w:divBdr>
            </w:div>
            <w:div w:id="577832964">
              <w:marLeft w:val="0"/>
              <w:marRight w:val="0"/>
              <w:marTop w:val="0"/>
              <w:marBottom w:val="0"/>
              <w:divBdr>
                <w:top w:val="none" w:sz="0" w:space="0" w:color="auto"/>
                <w:left w:val="none" w:sz="0" w:space="0" w:color="auto"/>
                <w:bottom w:val="none" w:sz="0" w:space="0" w:color="auto"/>
                <w:right w:val="none" w:sz="0" w:space="0" w:color="auto"/>
              </w:divBdr>
            </w:div>
            <w:div w:id="678775944">
              <w:marLeft w:val="0"/>
              <w:marRight w:val="0"/>
              <w:marTop w:val="0"/>
              <w:marBottom w:val="0"/>
              <w:divBdr>
                <w:top w:val="none" w:sz="0" w:space="0" w:color="auto"/>
                <w:left w:val="none" w:sz="0" w:space="0" w:color="auto"/>
                <w:bottom w:val="none" w:sz="0" w:space="0" w:color="auto"/>
                <w:right w:val="none" w:sz="0" w:space="0" w:color="auto"/>
              </w:divBdr>
            </w:div>
            <w:div w:id="1029262142">
              <w:marLeft w:val="0"/>
              <w:marRight w:val="0"/>
              <w:marTop w:val="0"/>
              <w:marBottom w:val="0"/>
              <w:divBdr>
                <w:top w:val="none" w:sz="0" w:space="0" w:color="auto"/>
                <w:left w:val="none" w:sz="0" w:space="0" w:color="auto"/>
                <w:bottom w:val="none" w:sz="0" w:space="0" w:color="auto"/>
                <w:right w:val="none" w:sz="0" w:space="0" w:color="auto"/>
              </w:divBdr>
            </w:div>
            <w:div w:id="13200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281">
      <w:bodyDiv w:val="1"/>
      <w:marLeft w:val="0"/>
      <w:marRight w:val="0"/>
      <w:marTop w:val="0"/>
      <w:marBottom w:val="0"/>
      <w:divBdr>
        <w:top w:val="none" w:sz="0" w:space="0" w:color="auto"/>
        <w:left w:val="none" w:sz="0" w:space="0" w:color="auto"/>
        <w:bottom w:val="none" w:sz="0" w:space="0" w:color="auto"/>
        <w:right w:val="none" w:sz="0" w:space="0" w:color="auto"/>
      </w:divBdr>
      <w:divsChild>
        <w:div w:id="318078339">
          <w:marLeft w:val="0"/>
          <w:marRight w:val="0"/>
          <w:marTop w:val="0"/>
          <w:marBottom w:val="0"/>
          <w:divBdr>
            <w:top w:val="none" w:sz="0" w:space="0" w:color="auto"/>
            <w:left w:val="none" w:sz="0" w:space="0" w:color="auto"/>
            <w:bottom w:val="none" w:sz="0" w:space="0" w:color="auto"/>
            <w:right w:val="none" w:sz="0" w:space="0" w:color="auto"/>
          </w:divBdr>
          <w:divsChild>
            <w:div w:id="5749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75882">
      <w:bodyDiv w:val="1"/>
      <w:marLeft w:val="0"/>
      <w:marRight w:val="0"/>
      <w:marTop w:val="0"/>
      <w:marBottom w:val="0"/>
      <w:divBdr>
        <w:top w:val="none" w:sz="0" w:space="0" w:color="auto"/>
        <w:left w:val="none" w:sz="0" w:space="0" w:color="auto"/>
        <w:bottom w:val="none" w:sz="0" w:space="0" w:color="auto"/>
        <w:right w:val="none" w:sz="0" w:space="0" w:color="auto"/>
      </w:divBdr>
      <w:divsChild>
        <w:div w:id="1162812747">
          <w:marLeft w:val="0"/>
          <w:marRight w:val="0"/>
          <w:marTop w:val="0"/>
          <w:marBottom w:val="0"/>
          <w:divBdr>
            <w:top w:val="none" w:sz="0" w:space="0" w:color="auto"/>
            <w:left w:val="none" w:sz="0" w:space="0" w:color="auto"/>
            <w:bottom w:val="none" w:sz="0" w:space="0" w:color="auto"/>
            <w:right w:val="none" w:sz="0" w:space="0" w:color="auto"/>
          </w:divBdr>
          <w:divsChild>
            <w:div w:id="674458775">
              <w:marLeft w:val="0"/>
              <w:marRight w:val="0"/>
              <w:marTop w:val="0"/>
              <w:marBottom w:val="0"/>
              <w:divBdr>
                <w:top w:val="none" w:sz="0" w:space="0" w:color="auto"/>
                <w:left w:val="none" w:sz="0" w:space="0" w:color="auto"/>
                <w:bottom w:val="none" w:sz="0" w:space="0" w:color="auto"/>
                <w:right w:val="none" w:sz="0" w:space="0" w:color="auto"/>
              </w:divBdr>
            </w:div>
            <w:div w:id="1019045306">
              <w:marLeft w:val="0"/>
              <w:marRight w:val="0"/>
              <w:marTop w:val="0"/>
              <w:marBottom w:val="0"/>
              <w:divBdr>
                <w:top w:val="none" w:sz="0" w:space="0" w:color="auto"/>
                <w:left w:val="none" w:sz="0" w:space="0" w:color="auto"/>
                <w:bottom w:val="none" w:sz="0" w:space="0" w:color="auto"/>
                <w:right w:val="none" w:sz="0" w:space="0" w:color="auto"/>
              </w:divBdr>
            </w:div>
          </w:divsChild>
        </w:div>
        <w:div w:id="1165900991">
          <w:marLeft w:val="0"/>
          <w:marRight w:val="0"/>
          <w:marTop w:val="0"/>
          <w:marBottom w:val="0"/>
          <w:divBdr>
            <w:top w:val="none" w:sz="0" w:space="0" w:color="auto"/>
            <w:left w:val="none" w:sz="0" w:space="0" w:color="auto"/>
            <w:bottom w:val="none" w:sz="0" w:space="0" w:color="auto"/>
            <w:right w:val="none" w:sz="0" w:space="0" w:color="auto"/>
          </w:divBdr>
          <w:divsChild>
            <w:div w:id="1003513895">
              <w:marLeft w:val="0"/>
              <w:marRight w:val="0"/>
              <w:marTop w:val="0"/>
              <w:marBottom w:val="0"/>
              <w:divBdr>
                <w:top w:val="none" w:sz="0" w:space="0" w:color="auto"/>
                <w:left w:val="none" w:sz="0" w:space="0" w:color="auto"/>
                <w:bottom w:val="none" w:sz="0" w:space="0" w:color="auto"/>
                <w:right w:val="none" w:sz="0" w:space="0" w:color="auto"/>
              </w:divBdr>
            </w:div>
            <w:div w:id="1759784336">
              <w:marLeft w:val="0"/>
              <w:marRight w:val="0"/>
              <w:marTop w:val="0"/>
              <w:marBottom w:val="0"/>
              <w:divBdr>
                <w:top w:val="none" w:sz="0" w:space="0" w:color="auto"/>
                <w:left w:val="none" w:sz="0" w:space="0" w:color="auto"/>
                <w:bottom w:val="none" w:sz="0" w:space="0" w:color="auto"/>
                <w:right w:val="none" w:sz="0" w:space="0" w:color="auto"/>
              </w:divBdr>
            </w:div>
            <w:div w:id="2104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245">
      <w:bodyDiv w:val="1"/>
      <w:marLeft w:val="0"/>
      <w:marRight w:val="0"/>
      <w:marTop w:val="0"/>
      <w:marBottom w:val="0"/>
      <w:divBdr>
        <w:top w:val="none" w:sz="0" w:space="0" w:color="auto"/>
        <w:left w:val="none" w:sz="0" w:space="0" w:color="auto"/>
        <w:bottom w:val="none" w:sz="0" w:space="0" w:color="auto"/>
        <w:right w:val="none" w:sz="0" w:space="0" w:color="auto"/>
      </w:divBdr>
    </w:div>
    <w:div w:id="1772703315">
      <w:bodyDiv w:val="1"/>
      <w:marLeft w:val="0"/>
      <w:marRight w:val="0"/>
      <w:marTop w:val="0"/>
      <w:marBottom w:val="0"/>
      <w:divBdr>
        <w:top w:val="none" w:sz="0" w:space="0" w:color="auto"/>
        <w:left w:val="none" w:sz="0" w:space="0" w:color="auto"/>
        <w:bottom w:val="none" w:sz="0" w:space="0" w:color="auto"/>
        <w:right w:val="none" w:sz="0" w:space="0" w:color="auto"/>
      </w:divBdr>
      <w:divsChild>
        <w:div w:id="37819828">
          <w:marLeft w:val="0"/>
          <w:marRight w:val="0"/>
          <w:marTop w:val="0"/>
          <w:marBottom w:val="0"/>
          <w:divBdr>
            <w:top w:val="none" w:sz="0" w:space="0" w:color="auto"/>
            <w:left w:val="none" w:sz="0" w:space="0" w:color="auto"/>
            <w:bottom w:val="none" w:sz="0" w:space="0" w:color="auto"/>
            <w:right w:val="none" w:sz="0" w:space="0" w:color="auto"/>
          </w:divBdr>
        </w:div>
        <w:div w:id="60563799">
          <w:marLeft w:val="0"/>
          <w:marRight w:val="0"/>
          <w:marTop w:val="0"/>
          <w:marBottom w:val="0"/>
          <w:divBdr>
            <w:top w:val="none" w:sz="0" w:space="0" w:color="auto"/>
            <w:left w:val="none" w:sz="0" w:space="0" w:color="auto"/>
            <w:bottom w:val="none" w:sz="0" w:space="0" w:color="auto"/>
            <w:right w:val="none" w:sz="0" w:space="0" w:color="auto"/>
          </w:divBdr>
        </w:div>
        <w:div w:id="526022968">
          <w:marLeft w:val="0"/>
          <w:marRight w:val="0"/>
          <w:marTop w:val="0"/>
          <w:marBottom w:val="0"/>
          <w:divBdr>
            <w:top w:val="none" w:sz="0" w:space="0" w:color="auto"/>
            <w:left w:val="none" w:sz="0" w:space="0" w:color="auto"/>
            <w:bottom w:val="none" w:sz="0" w:space="0" w:color="auto"/>
            <w:right w:val="none" w:sz="0" w:space="0" w:color="auto"/>
          </w:divBdr>
          <w:divsChild>
            <w:div w:id="140006358">
              <w:marLeft w:val="0"/>
              <w:marRight w:val="0"/>
              <w:marTop w:val="0"/>
              <w:marBottom w:val="0"/>
              <w:divBdr>
                <w:top w:val="none" w:sz="0" w:space="0" w:color="auto"/>
                <w:left w:val="none" w:sz="0" w:space="0" w:color="auto"/>
                <w:bottom w:val="none" w:sz="0" w:space="0" w:color="auto"/>
                <w:right w:val="none" w:sz="0" w:space="0" w:color="auto"/>
              </w:divBdr>
            </w:div>
            <w:div w:id="453334317">
              <w:marLeft w:val="0"/>
              <w:marRight w:val="0"/>
              <w:marTop w:val="0"/>
              <w:marBottom w:val="0"/>
              <w:divBdr>
                <w:top w:val="none" w:sz="0" w:space="0" w:color="auto"/>
                <w:left w:val="none" w:sz="0" w:space="0" w:color="auto"/>
                <w:bottom w:val="none" w:sz="0" w:space="0" w:color="auto"/>
                <w:right w:val="none" w:sz="0" w:space="0" w:color="auto"/>
              </w:divBdr>
            </w:div>
            <w:div w:id="644092140">
              <w:marLeft w:val="0"/>
              <w:marRight w:val="0"/>
              <w:marTop w:val="0"/>
              <w:marBottom w:val="0"/>
              <w:divBdr>
                <w:top w:val="none" w:sz="0" w:space="0" w:color="auto"/>
                <w:left w:val="none" w:sz="0" w:space="0" w:color="auto"/>
                <w:bottom w:val="none" w:sz="0" w:space="0" w:color="auto"/>
                <w:right w:val="none" w:sz="0" w:space="0" w:color="auto"/>
              </w:divBdr>
            </w:div>
            <w:div w:id="1094593069">
              <w:marLeft w:val="0"/>
              <w:marRight w:val="0"/>
              <w:marTop w:val="0"/>
              <w:marBottom w:val="0"/>
              <w:divBdr>
                <w:top w:val="none" w:sz="0" w:space="0" w:color="auto"/>
                <w:left w:val="none" w:sz="0" w:space="0" w:color="auto"/>
                <w:bottom w:val="none" w:sz="0" w:space="0" w:color="auto"/>
                <w:right w:val="none" w:sz="0" w:space="0" w:color="auto"/>
              </w:divBdr>
            </w:div>
            <w:div w:id="1555509723">
              <w:marLeft w:val="0"/>
              <w:marRight w:val="0"/>
              <w:marTop w:val="0"/>
              <w:marBottom w:val="0"/>
              <w:divBdr>
                <w:top w:val="none" w:sz="0" w:space="0" w:color="auto"/>
                <w:left w:val="none" w:sz="0" w:space="0" w:color="auto"/>
                <w:bottom w:val="none" w:sz="0" w:space="0" w:color="auto"/>
                <w:right w:val="none" w:sz="0" w:space="0" w:color="auto"/>
              </w:divBdr>
            </w:div>
          </w:divsChild>
        </w:div>
        <w:div w:id="528614522">
          <w:marLeft w:val="0"/>
          <w:marRight w:val="0"/>
          <w:marTop w:val="0"/>
          <w:marBottom w:val="0"/>
          <w:divBdr>
            <w:top w:val="none" w:sz="0" w:space="0" w:color="auto"/>
            <w:left w:val="none" w:sz="0" w:space="0" w:color="auto"/>
            <w:bottom w:val="none" w:sz="0" w:space="0" w:color="auto"/>
            <w:right w:val="none" w:sz="0" w:space="0" w:color="auto"/>
          </w:divBdr>
        </w:div>
        <w:div w:id="568923587">
          <w:marLeft w:val="0"/>
          <w:marRight w:val="0"/>
          <w:marTop w:val="0"/>
          <w:marBottom w:val="0"/>
          <w:divBdr>
            <w:top w:val="none" w:sz="0" w:space="0" w:color="auto"/>
            <w:left w:val="none" w:sz="0" w:space="0" w:color="auto"/>
            <w:bottom w:val="none" w:sz="0" w:space="0" w:color="auto"/>
            <w:right w:val="none" w:sz="0" w:space="0" w:color="auto"/>
          </w:divBdr>
          <w:divsChild>
            <w:div w:id="229771708">
              <w:marLeft w:val="0"/>
              <w:marRight w:val="0"/>
              <w:marTop w:val="0"/>
              <w:marBottom w:val="0"/>
              <w:divBdr>
                <w:top w:val="none" w:sz="0" w:space="0" w:color="auto"/>
                <w:left w:val="none" w:sz="0" w:space="0" w:color="auto"/>
                <w:bottom w:val="none" w:sz="0" w:space="0" w:color="auto"/>
                <w:right w:val="none" w:sz="0" w:space="0" w:color="auto"/>
              </w:divBdr>
            </w:div>
            <w:div w:id="1108355466">
              <w:marLeft w:val="0"/>
              <w:marRight w:val="0"/>
              <w:marTop w:val="0"/>
              <w:marBottom w:val="0"/>
              <w:divBdr>
                <w:top w:val="none" w:sz="0" w:space="0" w:color="auto"/>
                <w:left w:val="none" w:sz="0" w:space="0" w:color="auto"/>
                <w:bottom w:val="none" w:sz="0" w:space="0" w:color="auto"/>
                <w:right w:val="none" w:sz="0" w:space="0" w:color="auto"/>
              </w:divBdr>
            </w:div>
          </w:divsChild>
        </w:div>
        <w:div w:id="639723530">
          <w:marLeft w:val="0"/>
          <w:marRight w:val="0"/>
          <w:marTop w:val="0"/>
          <w:marBottom w:val="0"/>
          <w:divBdr>
            <w:top w:val="none" w:sz="0" w:space="0" w:color="auto"/>
            <w:left w:val="none" w:sz="0" w:space="0" w:color="auto"/>
            <w:bottom w:val="none" w:sz="0" w:space="0" w:color="auto"/>
            <w:right w:val="none" w:sz="0" w:space="0" w:color="auto"/>
          </w:divBdr>
          <w:divsChild>
            <w:div w:id="216741877">
              <w:marLeft w:val="0"/>
              <w:marRight w:val="0"/>
              <w:marTop w:val="0"/>
              <w:marBottom w:val="0"/>
              <w:divBdr>
                <w:top w:val="none" w:sz="0" w:space="0" w:color="auto"/>
                <w:left w:val="none" w:sz="0" w:space="0" w:color="auto"/>
                <w:bottom w:val="none" w:sz="0" w:space="0" w:color="auto"/>
                <w:right w:val="none" w:sz="0" w:space="0" w:color="auto"/>
              </w:divBdr>
            </w:div>
            <w:div w:id="280428764">
              <w:marLeft w:val="0"/>
              <w:marRight w:val="0"/>
              <w:marTop w:val="0"/>
              <w:marBottom w:val="0"/>
              <w:divBdr>
                <w:top w:val="none" w:sz="0" w:space="0" w:color="auto"/>
                <w:left w:val="none" w:sz="0" w:space="0" w:color="auto"/>
                <w:bottom w:val="none" w:sz="0" w:space="0" w:color="auto"/>
                <w:right w:val="none" w:sz="0" w:space="0" w:color="auto"/>
              </w:divBdr>
            </w:div>
            <w:div w:id="635184114">
              <w:marLeft w:val="0"/>
              <w:marRight w:val="0"/>
              <w:marTop w:val="0"/>
              <w:marBottom w:val="0"/>
              <w:divBdr>
                <w:top w:val="none" w:sz="0" w:space="0" w:color="auto"/>
                <w:left w:val="none" w:sz="0" w:space="0" w:color="auto"/>
                <w:bottom w:val="none" w:sz="0" w:space="0" w:color="auto"/>
                <w:right w:val="none" w:sz="0" w:space="0" w:color="auto"/>
              </w:divBdr>
            </w:div>
            <w:div w:id="643970539">
              <w:marLeft w:val="0"/>
              <w:marRight w:val="0"/>
              <w:marTop w:val="0"/>
              <w:marBottom w:val="0"/>
              <w:divBdr>
                <w:top w:val="none" w:sz="0" w:space="0" w:color="auto"/>
                <w:left w:val="none" w:sz="0" w:space="0" w:color="auto"/>
                <w:bottom w:val="none" w:sz="0" w:space="0" w:color="auto"/>
                <w:right w:val="none" w:sz="0" w:space="0" w:color="auto"/>
              </w:divBdr>
            </w:div>
            <w:div w:id="1289317248">
              <w:marLeft w:val="0"/>
              <w:marRight w:val="0"/>
              <w:marTop w:val="0"/>
              <w:marBottom w:val="0"/>
              <w:divBdr>
                <w:top w:val="none" w:sz="0" w:space="0" w:color="auto"/>
                <w:left w:val="none" w:sz="0" w:space="0" w:color="auto"/>
                <w:bottom w:val="none" w:sz="0" w:space="0" w:color="auto"/>
                <w:right w:val="none" w:sz="0" w:space="0" w:color="auto"/>
              </w:divBdr>
            </w:div>
          </w:divsChild>
        </w:div>
        <w:div w:id="686518451">
          <w:marLeft w:val="0"/>
          <w:marRight w:val="0"/>
          <w:marTop w:val="0"/>
          <w:marBottom w:val="0"/>
          <w:divBdr>
            <w:top w:val="none" w:sz="0" w:space="0" w:color="auto"/>
            <w:left w:val="none" w:sz="0" w:space="0" w:color="auto"/>
            <w:bottom w:val="none" w:sz="0" w:space="0" w:color="auto"/>
            <w:right w:val="none" w:sz="0" w:space="0" w:color="auto"/>
          </w:divBdr>
          <w:divsChild>
            <w:div w:id="1878393697">
              <w:marLeft w:val="0"/>
              <w:marRight w:val="0"/>
              <w:marTop w:val="0"/>
              <w:marBottom w:val="0"/>
              <w:divBdr>
                <w:top w:val="none" w:sz="0" w:space="0" w:color="auto"/>
                <w:left w:val="none" w:sz="0" w:space="0" w:color="auto"/>
                <w:bottom w:val="none" w:sz="0" w:space="0" w:color="auto"/>
                <w:right w:val="none" w:sz="0" w:space="0" w:color="auto"/>
              </w:divBdr>
              <w:divsChild>
                <w:div w:id="10183164">
                  <w:marLeft w:val="0"/>
                  <w:marRight w:val="0"/>
                  <w:marTop w:val="0"/>
                  <w:marBottom w:val="0"/>
                  <w:divBdr>
                    <w:top w:val="none" w:sz="0" w:space="0" w:color="auto"/>
                    <w:left w:val="none" w:sz="0" w:space="0" w:color="auto"/>
                    <w:bottom w:val="none" w:sz="0" w:space="0" w:color="auto"/>
                    <w:right w:val="none" w:sz="0" w:space="0" w:color="auto"/>
                  </w:divBdr>
                  <w:divsChild>
                    <w:div w:id="821696881">
                      <w:marLeft w:val="0"/>
                      <w:marRight w:val="0"/>
                      <w:marTop w:val="0"/>
                      <w:marBottom w:val="0"/>
                      <w:divBdr>
                        <w:top w:val="none" w:sz="0" w:space="0" w:color="auto"/>
                        <w:left w:val="none" w:sz="0" w:space="0" w:color="auto"/>
                        <w:bottom w:val="none" w:sz="0" w:space="0" w:color="auto"/>
                        <w:right w:val="none" w:sz="0" w:space="0" w:color="auto"/>
                      </w:divBdr>
                    </w:div>
                  </w:divsChild>
                </w:div>
                <w:div w:id="19816559">
                  <w:marLeft w:val="0"/>
                  <w:marRight w:val="0"/>
                  <w:marTop w:val="0"/>
                  <w:marBottom w:val="0"/>
                  <w:divBdr>
                    <w:top w:val="none" w:sz="0" w:space="0" w:color="auto"/>
                    <w:left w:val="none" w:sz="0" w:space="0" w:color="auto"/>
                    <w:bottom w:val="none" w:sz="0" w:space="0" w:color="auto"/>
                    <w:right w:val="none" w:sz="0" w:space="0" w:color="auto"/>
                  </w:divBdr>
                  <w:divsChild>
                    <w:div w:id="2020814264">
                      <w:marLeft w:val="0"/>
                      <w:marRight w:val="0"/>
                      <w:marTop w:val="0"/>
                      <w:marBottom w:val="0"/>
                      <w:divBdr>
                        <w:top w:val="none" w:sz="0" w:space="0" w:color="auto"/>
                        <w:left w:val="none" w:sz="0" w:space="0" w:color="auto"/>
                        <w:bottom w:val="none" w:sz="0" w:space="0" w:color="auto"/>
                        <w:right w:val="none" w:sz="0" w:space="0" w:color="auto"/>
                      </w:divBdr>
                    </w:div>
                  </w:divsChild>
                </w:div>
                <w:div w:id="23752403">
                  <w:marLeft w:val="0"/>
                  <w:marRight w:val="0"/>
                  <w:marTop w:val="0"/>
                  <w:marBottom w:val="0"/>
                  <w:divBdr>
                    <w:top w:val="none" w:sz="0" w:space="0" w:color="auto"/>
                    <w:left w:val="none" w:sz="0" w:space="0" w:color="auto"/>
                    <w:bottom w:val="none" w:sz="0" w:space="0" w:color="auto"/>
                    <w:right w:val="none" w:sz="0" w:space="0" w:color="auto"/>
                  </w:divBdr>
                  <w:divsChild>
                    <w:div w:id="1820540599">
                      <w:marLeft w:val="0"/>
                      <w:marRight w:val="0"/>
                      <w:marTop w:val="0"/>
                      <w:marBottom w:val="0"/>
                      <w:divBdr>
                        <w:top w:val="none" w:sz="0" w:space="0" w:color="auto"/>
                        <w:left w:val="none" w:sz="0" w:space="0" w:color="auto"/>
                        <w:bottom w:val="none" w:sz="0" w:space="0" w:color="auto"/>
                        <w:right w:val="none" w:sz="0" w:space="0" w:color="auto"/>
                      </w:divBdr>
                    </w:div>
                  </w:divsChild>
                </w:div>
                <w:div w:id="38936540">
                  <w:marLeft w:val="0"/>
                  <w:marRight w:val="0"/>
                  <w:marTop w:val="0"/>
                  <w:marBottom w:val="0"/>
                  <w:divBdr>
                    <w:top w:val="none" w:sz="0" w:space="0" w:color="auto"/>
                    <w:left w:val="none" w:sz="0" w:space="0" w:color="auto"/>
                    <w:bottom w:val="none" w:sz="0" w:space="0" w:color="auto"/>
                    <w:right w:val="none" w:sz="0" w:space="0" w:color="auto"/>
                  </w:divBdr>
                  <w:divsChild>
                    <w:div w:id="1847137728">
                      <w:marLeft w:val="0"/>
                      <w:marRight w:val="0"/>
                      <w:marTop w:val="0"/>
                      <w:marBottom w:val="0"/>
                      <w:divBdr>
                        <w:top w:val="none" w:sz="0" w:space="0" w:color="auto"/>
                        <w:left w:val="none" w:sz="0" w:space="0" w:color="auto"/>
                        <w:bottom w:val="none" w:sz="0" w:space="0" w:color="auto"/>
                        <w:right w:val="none" w:sz="0" w:space="0" w:color="auto"/>
                      </w:divBdr>
                    </w:div>
                  </w:divsChild>
                </w:div>
                <w:div w:id="54015179">
                  <w:marLeft w:val="0"/>
                  <w:marRight w:val="0"/>
                  <w:marTop w:val="0"/>
                  <w:marBottom w:val="0"/>
                  <w:divBdr>
                    <w:top w:val="none" w:sz="0" w:space="0" w:color="auto"/>
                    <w:left w:val="none" w:sz="0" w:space="0" w:color="auto"/>
                    <w:bottom w:val="none" w:sz="0" w:space="0" w:color="auto"/>
                    <w:right w:val="none" w:sz="0" w:space="0" w:color="auto"/>
                  </w:divBdr>
                  <w:divsChild>
                    <w:div w:id="901526201">
                      <w:marLeft w:val="0"/>
                      <w:marRight w:val="0"/>
                      <w:marTop w:val="0"/>
                      <w:marBottom w:val="0"/>
                      <w:divBdr>
                        <w:top w:val="none" w:sz="0" w:space="0" w:color="auto"/>
                        <w:left w:val="none" w:sz="0" w:space="0" w:color="auto"/>
                        <w:bottom w:val="none" w:sz="0" w:space="0" w:color="auto"/>
                        <w:right w:val="none" w:sz="0" w:space="0" w:color="auto"/>
                      </w:divBdr>
                    </w:div>
                  </w:divsChild>
                </w:div>
                <w:div w:id="94715704">
                  <w:marLeft w:val="0"/>
                  <w:marRight w:val="0"/>
                  <w:marTop w:val="0"/>
                  <w:marBottom w:val="0"/>
                  <w:divBdr>
                    <w:top w:val="none" w:sz="0" w:space="0" w:color="auto"/>
                    <w:left w:val="none" w:sz="0" w:space="0" w:color="auto"/>
                    <w:bottom w:val="none" w:sz="0" w:space="0" w:color="auto"/>
                    <w:right w:val="none" w:sz="0" w:space="0" w:color="auto"/>
                  </w:divBdr>
                  <w:divsChild>
                    <w:div w:id="1079332419">
                      <w:marLeft w:val="0"/>
                      <w:marRight w:val="0"/>
                      <w:marTop w:val="0"/>
                      <w:marBottom w:val="0"/>
                      <w:divBdr>
                        <w:top w:val="none" w:sz="0" w:space="0" w:color="auto"/>
                        <w:left w:val="none" w:sz="0" w:space="0" w:color="auto"/>
                        <w:bottom w:val="none" w:sz="0" w:space="0" w:color="auto"/>
                        <w:right w:val="none" w:sz="0" w:space="0" w:color="auto"/>
                      </w:divBdr>
                    </w:div>
                  </w:divsChild>
                </w:div>
                <w:div w:id="114375222">
                  <w:marLeft w:val="0"/>
                  <w:marRight w:val="0"/>
                  <w:marTop w:val="0"/>
                  <w:marBottom w:val="0"/>
                  <w:divBdr>
                    <w:top w:val="none" w:sz="0" w:space="0" w:color="auto"/>
                    <w:left w:val="none" w:sz="0" w:space="0" w:color="auto"/>
                    <w:bottom w:val="none" w:sz="0" w:space="0" w:color="auto"/>
                    <w:right w:val="none" w:sz="0" w:space="0" w:color="auto"/>
                  </w:divBdr>
                  <w:divsChild>
                    <w:div w:id="1027365674">
                      <w:marLeft w:val="0"/>
                      <w:marRight w:val="0"/>
                      <w:marTop w:val="0"/>
                      <w:marBottom w:val="0"/>
                      <w:divBdr>
                        <w:top w:val="none" w:sz="0" w:space="0" w:color="auto"/>
                        <w:left w:val="none" w:sz="0" w:space="0" w:color="auto"/>
                        <w:bottom w:val="none" w:sz="0" w:space="0" w:color="auto"/>
                        <w:right w:val="none" w:sz="0" w:space="0" w:color="auto"/>
                      </w:divBdr>
                    </w:div>
                    <w:div w:id="1899434252">
                      <w:marLeft w:val="0"/>
                      <w:marRight w:val="0"/>
                      <w:marTop w:val="0"/>
                      <w:marBottom w:val="0"/>
                      <w:divBdr>
                        <w:top w:val="none" w:sz="0" w:space="0" w:color="auto"/>
                        <w:left w:val="none" w:sz="0" w:space="0" w:color="auto"/>
                        <w:bottom w:val="none" w:sz="0" w:space="0" w:color="auto"/>
                        <w:right w:val="none" w:sz="0" w:space="0" w:color="auto"/>
                      </w:divBdr>
                    </w:div>
                  </w:divsChild>
                </w:div>
                <w:div w:id="139883507">
                  <w:marLeft w:val="0"/>
                  <w:marRight w:val="0"/>
                  <w:marTop w:val="0"/>
                  <w:marBottom w:val="0"/>
                  <w:divBdr>
                    <w:top w:val="none" w:sz="0" w:space="0" w:color="auto"/>
                    <w:left w:val="none" w:sz="0" w:space="0" w:color="auto"/>
                    <w:bottom w:val="none" w:sz="0" w:space="0" w:color="auto"/>
                    <w:right w:val="none" w:sz="0" w:space="0" w:color="auto"/>
                  </w:divBdr>
                  <w:divsChild>
                    <w:div w:id="527643051">
                      <w:marLeft w:val="0"/>
                      <w:marRight w:val="0"/>
                      <w:marTop w:val="0"/>
                      <w:marBottom w:val="0"/>
                      <w:divBdr>
                        <w:top w:val="none" w:sz="0" w:space="0" w:color="auto"/>
                        <w:left w:val="none" w:sz="0" w:space="0" w:color="auto"/>
                        <w:bottom w:val="none" w:sz="0" w:space="0" w:color="auto"/>
                        <w:right w:val="none" w:sz="0" w:space="0" w:color="auto"/>
                      </w:divBdr>
                    </w:div>
                  </w:divsChild>
                </w:div>
                <w:div w:id="228393709">
                  <w:marLeft w:val="0"/>
                  <w:marRight w:val="0"/>
                  <w:marTop w:val="0"/>
                  <w:marBottom w:val="0"/>
                  <w:divBdr>
                    <w:top w:val="none" w:sz="0" w:space="0" w:color="auto"/>
                    <w:left w:val="none" w:sz="0" w:space="0" w:color="auto"/>
                    <w:bottom w:val="none" w:sz="0" w:space="0" w:color="auto"/>
                    <w:right w:val="none" w:sz="0" w:space="0" w:color="auto"/>
                  </w:divBdr>
                  <w:divsChild>
                    <w:div w:id="117339031">
                      <w:marLeft w:val="0"/>
                      <w:marRight w:val="0"/>
                      <w:marTop w:val="0"/>
                      <w:marBottom w:val="0"/>
                      <w:divBdr>
                        <w:top w:val="none" w:sz="0" w:space="0" w:color="auto"/>
                        <w:left w:val="none" w:sz="0" w:space="0" w:color="auto"/>
                        <w:bottom w:val="none" w:sz="0" w:space="0" w:color="auto"/>
                        <w:right w:val="none" w:sz="0" w:space="0" w:color="auto"/>
                      </w:divBdr>
                    </w:div>
                  </w:divsChild>
                </w:div>
                <w:div w:id="313529857">
                  <w:marLeft w:val="0"/>
                  <w:marRight w:val="0"/>
                  <w:marTop w:val="0"/>
                  <w:marBottom w:val="0"/>
                  <w:divBdr>
                    <w:top w:val="none" w:sz="0" w:space="0" w:color="auto"/>
                    <w:left w:val="none" w:sz="0" w:space="0" w:color="auto"/>
                    <w:bottom w:val="none" w:sz="0" w:space="0" w:color="auto"/>
                    <w:right w:val="none" w:sz="0" w:space="0" w:color="auto"/>
                  </w:divBdr>
                  <w:divsChild>
                    <w:div w:id="129443683">
                      <w:marLeft w:val="0"/>
                      <w:marRight w:val="0"/>
                      <w:marTop w:val="0"/>
                      <w:marBottom w:val="0"/>
                      <w:divBdr>
                        <w:top w:val="none" w:sz="0" w:space="0" w:color="auto"/>
                        <w:left w:val="none" w:sz="0" w:space="0" w:color="auto"/>
                        <w:bottom w:val="none" w:sz="0" w:space="0" w:color="auto"/>
                        <w:right w:val="none" w:sz="0" w:space="0" w:color="auto"/>
                      </w:divBdr>
                    </w:div>
                  </w:divsChild>
                </w:div>
                <w:div w:id="415126872">
                  <w:marLeft w:val="0"/>
                  <w:marRight w:val="0"/>
                  <w:marTop w:val="0"/>
                  <w:marBottom w:val="0"/>
                  <w:divBdr>
                    <w:top w:val="none" w:sz="0" w:space="0" w:color="auto"/>
                    <w:left w:val="none" w:sz="0" w:space="0" w:color="auto"/>
                    <w:bottom w:val="none" w:sz="0" w:space="0" w:color="auto"/>
                    <w:right w:val="none" w:sz="0" w:space="0" w:color="auto"/>
                  </w:divBdr>
                  <w:divsChild>
                    <w:div w:id="543831701">
                      <w:marLeft w:val="0"/>
                      <w:marRight w:val="0"/>
                      <w:marTop w:val="0"/>
                      <w:marBottom w:val="0"/>
                      <w:divBdr>
                        <w:top w:val="none" w:sz="0" w:space="0" w:color="auto"/>
                        <w:left w:val="none" w:sz="0" w:space="0" w:color="auto"/>
                        <w:bottom w:val="none" w:sz="0" w:space="0" w:color="auto"/>
                        <w:right w:val="none" w:sz="0" w:space="0" w:color="auto"/>
                      </w:divBdr>
                    </w:div>
                  </w:divsChild>
                </w:div>
                <w:div w:id="426925350">
                  <w:marLeft w:val="0"/>
                  <w:marRight w:val="0"/>
                  <w:marTop w:val="0"/>
                  <w:marBottom w:val="0"/>
                  <w:divBdr>
                    <w:top w:val="none" w:sz="0" w:space="0" w:color="auto"/>
                    <w:left w:val="none" w:sz="0" w:space="0" w:color="auto"/>
                    <w:bottom w:val="none" w:sz="0" w:space="0" w:color="auto"/>
                    <w:right w:val="none" w:sz="0" w:space="0" w:color="auto"/>
                  </w:divBdr>
                  <w:divsChild>
                    <w:div w:id="1658416787">
                      <w:marLeft w:val="0"/>
                      <w:marRight w:val="0"/>
                      <w:marTop w:val="0"/>
                      <w:marBottom w:val="0"/>
                      <w:divBdr>
                        <w:top w:val="none" w:sz="0" w:space="0" w:color="auto"/>
                        <w:left w:val="none" w:sz="0" w:space="0" w:color="auto"/>
                        <w:bottom w:val="none" w:sz="0" w:space="0" w:color="auto"/>
                        <w:right w:val="none" w:sz="0" w:space="0" w:color="auto"/>
                      </w:divBdr>
                    </w:div>
                  </w:divsChild>
                </w:div>
                <w:div w:id="433938183">
                  <w:marLeft w:val="0"/>
                  <w:marRight w:val="0"/>
                  <w:marTop w:val="0"/>
                  <w:marBottom w:val="0"/>
                  <w:divBdr>
                    <w:top w:val="none" w:sz="0" w:space="0" w:color="auto"/>
                    <w:left w:val="none" w:sz="0" w:space="0" w:color="auto"/>
                    <w:bottom w:val="none" w:sz="0" w:space="0" w:color="auto"/>
                    <w:right w:val="none" w:sz="0" w:space="0" w:color="auto"/>
                  </w:divBdr>
                  <w:divsChild>
                    <w:div w:id="1728801860">
                      <w:marLeft w:val="0"/>
                      <w:marRight w:val="0"/>
                      <w:marTop w:val="0"/>
                      <w:marBottom w:val="0"/>
                      <w:divBdr>
                        <w:top w:val="none" w:sz="0" w:space="0" w:color="auto"/>
                        <w:left w:val="none" w:sz="0" w:space="0" w:color="auto"/>
                        <w:bottom w:val="none" w:sz="0" w:space="0" w:color="auto"/>
                        <w:right w:val="none" w:sz="0" w:space="0" w:color="auto"/>
                      </w:divBdr>
                    </w:div>
                  </w:divsChild>
                </w:div>
                <w:div w:id="454786637">
                  <w:marLeft w:val="0"/>
                  <w:marRight w:val="0"/>
                  <w:marTop w:val="0"/>
                  <w:marBottom w:val="0"/>
                  <w:divBdr>
                    <w:top w:val="none" w:sz="0" w:space="0" w:color="auto"/>
                    <w:left w:val="none" w:sz="0" w:space="0" w:color="auto"/>
                    <w:bottom w:val="none" w:sz="0" w:space="0" w:color="auto"/>
                    <w:right w:val="none" w:sz="0" w:space="0" w:color="auto"/>
                  </w:divBdr>
                  <w:divsChild>
                    <w:div w:id="2016570446">
                      <w:marLeft w:val="0"/>
                      <w:marRight w:val="0"/>
                      <w:marTop w:val="0"/>
                      <w:marBottom w:val="0"/>
                      <w:divBdr>
                        <w:top w:val="none" w:sz="0" w:space="0" w:color="auto"/>
                        <w:left w:val="none" w:sz="0" w:space="0" w:color="auto"/>
                        <w:bottom w:val="none" w:sz="0" w:space="0" w:color="auto"/>
                        <w:right w:val="none" w:sz="0" w:space="0" w:color="auto"/>
                      </w:divBdr>
                    </w:div>
                  </w:divsChild>
                </w:div>
                <w:div w:id="514343110">
                  <w:marLeft w:val="0"/>
                  <w:marRight w:val="0"/>
                  <w:marTop w:val="0"/>
                  <w:marBottom w:val="0"/>
                  <w:divBdr>
                    <w:top w:val="none" w:sz="0" w:space="0" w:color="auto"/>
                    <w:left w:val="none" w:sz="0" w:space="0" w:color="auto"/>
                    <w:bottom w:val="none" w:sz="0" w:space="0" w:color="auto"/>
                    <w:right w:val="none" w:sz="0" w:space="0" w:color="auto"/>
                  </w:divBdr>
                  <w:divsChild>
                    <w:div w:id="244342014">
                      <w:marLeft w:val="0"/>
                      <w:marRight w:val="0"/>
                      <w:marTop w:val="0"/>
                      <w:marBottom w:val="0"/>
                      <w:divBdr>
                        <w:top w:val="none" w:sz="0" w:space="0" w:color="auto"/>
                        <w:left w:val="none" w:sz="0" w:space="0" w:color="auto"/>
                        <w:bottom w:val="none" w:sz="0" w:space="0" w:color="auto"/>
                        <w:right w:val="none" w:sz="0" w:space="0" w:color="auto"/>
                      </w:divBdr>
                    </w:div>
                  </w:divsChild>
                </w:div>
                <w:div w:id="552078716">
                  <w:marLeft w:val="0"/>
                  <w:marRight w:val="0"/>
                  <w:marTop w:val="0"/>
                  <w:marBottom w:val="0"/>
                  <w:divBdr>
                    <w:top w:val="none" w:sz="0" w:space="0" w:color="auto"/>
                    <w:left w:val="none" w:sz="0" w:space="0" w:color="auto"/>
                    <w:bottom w:val="none" w:sz="0" w:space="0" w:color="auto"/>
                    <w:right w:val="none" w:sz="0" w:space="0" w:color="auto"/>
                  </w:divBdr>
                  <w:divsChild>
                    <w:div w:id="1735549005">
                      <w:marLeft w:val="0"/>
                      <w:marRight w:val="0"/>
                      <w:marTop w:val="0"/>
                      <w:marBottom w:val="0"/>
                      <w:divBdr>
                        <w:top w:val="none" w:sz="0" w:space="0" w:color="auto"/>
                        <w:left w:val="none" w:sz="0" w:space="0" w:color="auto"/>
                        <w:bottom w:val="none" w:sz="0" w:space="0" w:color="auto"/>
                        <w:right w:val="none" w:sz="0" w:space="0" w:color="auto"/>
                      </w:divBdr>
                    </w:div>
                  </w:divsChild>
                </w:div>
                <w:div w:id="579562258">
                  <w:marLeft w:val="0"/>
                  <w:marRight w:val="0"/>
                  <w:marTop w:val="0"/>
                  <w:marBottom w:val="0"/>
                  <w:divBdr>
                    <w:top w:val="none" w:sz="0" w:space="0" w:color="auto"/>
                    <w:left w:val="none" w:sz="0" w:space="0" w:color="auto"/>
                    <w:bottom w:val="none" w:sz="0" w:space="0" w:color="auto"/>
                    <w:right w:val="none" w:sz="0" w:space="0" w:color="auto"/>
                  </w:divBdr>
                  <w:divsChild>
                    <w:div w:id="1439058380">
                      <w:marLeft w:val="0"/>
                      <w:marRight w:val="0"/>
                      <w:marTop w:val="0"/>
                      <w:marBottom w:val="0"/>
                      <w:divBdr>
                        <w:top w:val="none" w:sz="0" w:space="0" w:color="auto"/>
                        <w:left w:val="none" w:sz="0" w:space="0" w:color="auto"/>
                        <w:bottom w:val="none" w:sz="0" w:space="0" w:color="auto"/>
                        <w:right w:val="none" w:sz="0" w:space="0" w:color="auto"/>
                      </w:divBdr>
                    </w:div>
                  </w:divsChild>
                </w:div>
                <w:div w:id="596252450">
                  <w:marLeft w:val="0"/>
                  <w:marRight w:val="0"/>
                  <w:marTop w:val="0"/>
                  <w:marBottom w:val="0"/>
                  <w:divBdr>
                    <w:top w:val="none" w:sz="0" w:space="0" w:color="auto"/>
                    <w:left w:val="none" w:sz="0" w:space="0" w:color="auto"/>
                    <w:bottom w:val="none" w:sz="0" w:space="0" w:color="auto"/>
                    <w:right w:val="none" w:sz="0" w:space="0" w:color="auto"/>
                  </w:divBdr>
                  <w:divsChild>
                    <w:div w:id="795488494">
                      <w:marLeft w:val="0"/>
                      <w:marRight w:val="0"/>
                      <w:marTop w:val="0"/>
                      <w:marBottom w:val="0"/>
                      <w:divBdr>
                        <w:top w:val="none" w:sz="0" w:space="0" w:color="auto"/>
                        <w:left w:val="none" w:sz="0" w:space="0" w:color="auto"/>
                        <w:bottom w:val="none" w:sz="0" w:space="0" w:color="auto"/>
                        <w:right w:val="none" w:sz="0" w:space="0" w:color="auto"/>
                      </w:divBdr>
                    </w:div>
                  </w:divsChild>
                </w:div>
                <w:div w:id="597566220">
                  <w:marLeft w:val="0"/>
                  <w:marRight w:val="0"/>
                  <w:marTop w:val="0"/>
                  <w:marBottom w:val="0"/>
                  <w:divBdr>
                    <w:top w:val="none" w:sz="0" w:space="0" w:color="auto"/>
                    <w:left w:val="none" w:sz="0" w:space="0" w:color="auto"/>
                    <w:bottom w:val="none" w:sz="0" w:space="0" w:color="auto"/>
                    <w:right w:val="none" w:sz="0" w:space="0" w:color="auto"/>
                  </w:divBdr>
                  <w:divsChild>
                    <w:div w:id="1812095758">
                      <w:marLeft w:val="0"/>
                      <w:marRight w:val="0"/>
                      <w:marTop w:val="0"/>
                      <w:marBottom w:val="0"/>
                      <w:divBdr>
                        <w:top w:val="none" w:sz="0" w:space="0" w:color="auto"/>
                        <w:left w:val="none" w:sz="0" w:space="0" w:color="auto"/>
                        <w:bottom w:val="none" w:sz="0" w:space="0" w:color="auto"/>
                        <w:right w:val="none" w:sz="0" w:space="0" w:color="auto"/>
                      </w:divBdr>
                    </w:div>
                  </w:divsChild>
                </w:div>
                <w:div w:id="608781843">
                  <w:marLeft w:val="0"/>
                  <w:marRight w:val="0"/>
                  <w:marTop w:val="0"/>
                  <w:marBottom w:val="0"/>
                  <w:divBdr>
                    <w:top w:val="none" w:sz="0" w:space="0" w:color="auto"/>
                    <w:left w:val="none" w:sz="0" w:space="0" w:color="auto"/>
                    <w:bottom w:val="none" w:sz="0" w:space="0" w:color="auto"/>
                    <w:right w:val="none" w:sz="0" w:space="0" w:color="auto"/>
                  </w:divBdr>
                  <w:divsChild>
                    <w:div w:id="1923761568">
                      <w:marLeft w:val="0"/>
                      <w:marRight w:val="0"/>
                      <w:marTop w:val="0"/>
                      <w:marBottom w:val="0"/>
                      <w:divBdr>
                        <w:top w:val="none" w:sz="0" w:space="0" w:color="auto"/>
                        <w:left w:val="none" w:sz="0" w:space="0" w:color="auto"/>
                        <w:bottom w:val="none" w:sz="0" w:space="0" w:color="auto"/>
                        <w:right w:val="none" w:sz="0" w:space="0" w:color="auto"/>
                      </w:divBdr>
                    </w:div>
                  </w:divsChild>
                </w:div>
                <w:div w:id="610089696">
                  <w:marLeft w:val="0"/>
                  <w:marRight w:val="0"/>
                  <w:marTop w:val="0"/>
                  <w:marBottom w:val="0"/>
                  <w:divBdr>
                    <w:top w:val="none" w:sz="0" w:space="0" w:color="auto"/>
                    <w:left w:val="none" w:sz="0" w:space="0" w:color="auto"/>
                    <w:bottom w:val="none" w:sz="0" w:space="0" w:color="auto"/>
                    <w:right w:val="none" w:sz="0" w:space="0" w:color="auto"/>
                  </w:divBdr>
                  <w:divsChild>
                    <w:div w:id="838082640">
                      <w:marLeft w:val="0"/>
                      <w:marRight w:val="0"/>
                      <w:marTop w:val="0"/>
                      <w:marBottom w:val="0"/>
                      <w:divBdr>
                        <w:top w:val="none" w:sz="0" w:space="0" w:color="auto"/>
                        <w:left w:val="none" w:sz="0" w:space="0" w:color="auto"/>
                        <w:bottom w:val="none" w:sz="0" w:space="0" w:color="auto"/>
                        <w:right w:val="none" w:sz="0" w:space="0" w:color="auto"/>
                      </w:divBdr>
                    </w:div>
                  </w:divsChild>
                </w:div>
                <w:div w:id="616063240">
                  <w:marLeft w:val="0"/>
                  <w:marRight w:val="0"/>
                  <w:marTop w:val="0"/>
                  <w:marBottom w:val="0"/>
                  <w:divBdr>
                    <w:top w:val="none" w:sz="0" w:space="0" w:color="auto"/>
                    <w:left w:val="none" w:sz="0" w:space="0" w:color="auto"/>
                    <w:bottom w:val="none" w:sz="0" w:space="0" w:color="auto"/>
                    <w:right w:val="none" w:sz="0" w:space="0" w:color="auto"/>
                  </w:divBdr>
                  <w:divsChild>
                    <w:div w:id="646320310">
                      <w:marLeft w:val="0"/>
                      <w:marRight w:val="0"/>
                      <w:marTop w:val="0"/>
                      <w:marBottom w:val="0"/>
                      <w:divBdr>
                        <w:top w:val="none" w:sz="0" w:space="0" w:color="auto"/>
                        <w:left w:val="none" w:sz="0" w:space="0" w:color="auto"/>
                        <w:bottom w:val="none" w:sz="0" w:space="0" w:color="auto"/>
                        <w:right w:val="none" w:sz="0" w:space="0" w:color="auto"/>
                      </w:divBdr>
                    </w:div>
                  </w:divsChild>
                </w:div>
                <w:div w:id="621182955">
                  <w:marLeft w:val="0"/>
                  <w:marRight w:val="0"/>
                  <w:marTop w:val="0"/>
                  <w:marBottom w:val="0"/>
                  <w:divBdr>
                    <w:top w:val="none" w:sz="0" w:space="0" w:color="auto"/>
                    <w:left w:val="none" w:sz="0" w:space="0" w:color="auto"/>
                    <w:bottom w:val="none" w:sz="0" w:space="0" w:color="auto"/>
                    <w:right w:val="none" w:sz="0" w:space="0" w:color="auto"/>
                  </w:divBdr>
                  <w:divsChild>
                    <w:div w:id="1423141843">
                      <w:marLeft w:val="0"/>
                      <w:marRight w:val="0"/>
                      <w:marTop w:val="0"/>
                      <w:marBottom w:val="0"/>
                      <w:divBdr>
                        <w:top w:val="none" w:sz="0" w:space="0" w:color="auto"/>
                        <w:left w:val="none" w:sz="0" w:space="0" w:color="auto"/>
                        <w:bottom w:val="none" w:sz="0" w:space="0" w:color="auto"/>
                        <w:right w:val="none" w:sz="0" w:space="0" w:color="auto"/>
                      </w:divBdr>
                    </w:div>
                  </w:divsChild>
                </w:div>
                <w:div w:id="638000373">
                  <w:marLeft w:val="0"/>
                  <w:marRight w:val="0"/>
                  <w:marTop w:val="0"/>
                  <w:marBottom w:val="0"/>
                  <w:divBdr>
                    <w:top w:val="none" w:sz="0" w:space="0" w:color="auto"/>
                    <w:left w:val="none" w:sz="0" w:space="0" w:color="auto"/>
                    <w:bottom w:val="none" w:sz="0" w:space="0" w:color="auto"/>
                    <w:right w:val="none" w:sz="0" w:space="0" w:color="auto"/>
                  </w:divBdr>
                  <w:divsChild>
                    <w:div w:id="1567570535">
                      <w:marLeft w:val="0"/>
                      <w:marRight w:val="0"/>
                      <w:marTop w:val="0"/>
                      <w:marBottom w:val="0"/>
                      <w:divBdr>
                        <w:top w:val="none" w:sz="0" w:space="0" w:color="auto"/>
                        <w:left w:val="none" w:sz="0" w:space="0" w:color="auto"/>
                        <w:bottom w:val="none" w:sz="0" w:space="0" w:color="auto"/>
                        <w:right w:val="none" w:sz="0" w:space="0" w:color="auto"/>
                      </w:divBdr>
                    </w:div>
                  </w:divsChild>
                </w:div>
                <w:div w:id="682711176">
                  <w:marLeft w:val="0"/>
                  <w:marRight w:val="0"/>
                  <w:marTop w:val="0"/>
                  <w:marBottom w:val="0"/>
                  <w:divBdr>
                    <w:top w:val="none" w:sz="0" w:space="0" w:color="auto"/>
                    <w:left w:val="none" w:sz="0" w:space="0" w:color="auto"/>
                    <w:bottom w:val="none" w:sz="0" w:space="0" w:color="auto"/>
                    <w:right w:val="none" w:sz="0" w:space="0" w:color="auto"/>
                  </w:divBdr>
                  <w:divsChild>
                    <w:div w:id="1014846417">
                      <w:marLeft w:val="0"/>
                      <w:marRight w:val="0"/>
                      <w:marTop w:val="0"/>
                      <w:marBottom w:val="0"/>
                      <w:divBdr>
                        <w:top w:val="none" w:sz="0" w:space="0" w:color="auto"/>
                        <w:left w:val="none" w:sz="0" w:space="0" w:color="auto"/>
                        <w:bottom w:val="none" w:sz="0" w:space="0" w:color="auto"/>
                        <w:right w:val="none" w:sz="0" w:space="0" w:color="auto"/>
                      </w:divBdr>
                    </w:div>
                  </w:divsChild>
                </w:div>
                <w:div w:id="749276949">
                  <w:marLeft w:val="0"/>
                  <w:marRight w:val="0"/>
                  <w:marTop w:val="0"/>
                  <w:marBottom w:val="0"/>
                  <w:divBdr>
                    <w:top w:val="none" w:sz="0" w:space="0" w:color="auto"/>
                    <w:left w:val="none" w:sz="0" w:space="0" w:color="auto"/>
                    <w:bottom w:val="none" w:sz="0" w:space="0" w:color="auto"/>
                    <w:right w:val="none" w:sz="0" w:space="0" w:color="auto"/>
                  </w:divBdr>
                  <w:divsChild>
                    <w:div w:id="329137401">
                      <w:marLeft w:val="0"/>
                      <w:marRight w:val="0"/>
                      <w:marTop w:val="0"/>
                      <w:marBottom w:val="0"/>
                      <w:divBdr>
                        <w:top w:val="none" w:sz="0" w:space="0" w:color="auto"/>
                        <w:left w:val="none" w:sz="0" w:space="0" w:color="auto"/>
                        <w:bottom w:val="none" w:sz="0" w:space="0" w:color="auto"/>
                        <w:right w:val="none" w:sz="0" w:space="0" w:color="auto"/>
                      </w:divBdr>
                    </w:div>
                  </w:divsChild>
                </w:div>
                <w:div w:id="758911428">
                  <w:marLeft w:val="0"/>
                  <w:marRight w:val="0"/>
                  <w:marTop w:val="0"/>
                  <w:marBottom w:val="0"/>
                  <w:divBdr>
                    <w:top w:val="none" w:sz="0" w:space="0" w:color="auto"/>
                    <w:left w:val="none" w:sz="0" w:space="0" w:color="auto"/>
                    <w:bottom w:val="none" w:sz="0" w:space="0" w:color="auto"/>
                    <w:right w:val="none" w:sz="0" w:space="0" w:color="auto"/>
                  </w:divBdr>
                  <w:divsChild>
                    <w:div w:id="568686018">
                      <w:marLeft w:val="0"/>
                      <w:marRight w:val="0"/>
                      <w:marTop w:val="0"/>
                      <w:marBottom w:val="0"/>
                      <w:divBdr>
                        <w:top w:val="none" w:sz="0" w:space="0" w:color="auto"/>
                        <w:left w:val="none" w:sz="0" w:space="0" w:color="auto"/>
                        <w:bottom w:val="none" w:sz="0" w:space="0" w:color="auto"/>
                        <w:right w:val="none" w:sz="0" w:space="0" w:color="auto"/>
                      </w:divBdr>
                    </w:div>
                  </w:divsChild>
                </w:div>
                <w:div w:id="763650075">
                  <w:marLeft w:val="0"/>
                  <w:marRight w:val="0"/>
                  <w:marTop w:val="0"/>
                  <w:marBottom w:val="0"/>
                  <w:divBdr>
                    <w:top w:val="none" w:sz="0" w:space="0" w:color="auto"/>
                    <w:left w:val="none" w:sz="0" w:space="0" w:color="auto"/>
                    <w:bottom w:val="none" w:sz="0" w:space="0" w:color="auto"/>
                    <w:right w:val="none" w:sz="0" w:space="0" w:color="auto"/>
                  </w:divBdr>
                  <w:divsChild>
                    <w:div w:id="218713091">
                      <w:marLeft w:val="0"/>
                      <w:marRight w:val="0"/>
                      <w:marTop w:val="0"/>
                      <w:marBottom w:val="0"/>
                      <w:divBdr>
                        <w:top w:val="none" w:sz="0" w:space="0" w:color="auto"/>
                        <w:left w:val="none" w:sz="0" w:space="0" w:color="auto"/>
                        <w:bottom w:val="none" w:sz="0" w:space="0" w:color="auto"/>
                        <w:right w:val="none" w:sz="0" w:space="0" w:color="auto"/>
                      </w:divBdr>
                    </w:div>
                    <w:div w:id="484661135">
                      <w:marLeft w:val="0"/>
                      <w:marRight w:val="0"/>
                      <w:marTop w:val="0"/>
                      <w:marBottom w:val="0"/>
                      <w:divBdr>
                        <w:top w:val="none" w:sz="0" w:space="0" w:color="auto"/>
                        <w:left w:val="none" w:sz="0" w:space="0" w:color="auto"/>
                        <w:bottom w:val="none" w:sz="0" w:space="0" w:color="auto"/>
                        <w:right w:val="none" w:sz="0" w:space="0" w:color="auto"/>
                      </w:divBdr>
                    </w:div>
                  </w:divsChild>
                </w:div>
                <w:div w:id="780106527">
                  <w:marLeft w:val="0"/>
                  <w:marRight w:val="0"/>
                  <w:marTop w:val="0"/>
                  <w:marBottom w:val="0"/>
                  <w:divBdr>
                    <w:top w:val="none" w:sz="0" w:space="0" w:color="auto"/>
                    <w:left w:val="none" w:sz="0" w:space="0" w:color="auto"/>
                    <w:bottom w:val="none" w:sz="0" w:space="0" w:color="auto"/>
                    <w:right w:val="none" w:sz="0" w:space="0" w:color="auto"/>
                  </w:divBdr>
                  <w:divsChild>
                    <w:div w:id="472599415">
                      <w:marLeft w:val="0"/>
                      <w:marRight w:val="0"/>
                      <w:marTop w:val="0"/>
                      <w:marBottom w:val="0"/>
                      <w:divBdr>
                        <w:top w:val="none" w:sz="0" w:space="0" w:color="auto"/>
                        <w:left w:val="none" w:sz="0" w:space="0" w:color="auto"/>
                        <w:bottom w:val="none" w:sz="0" w:space="0" w:color="auto"/>
                        <w:right w:val="none" w:sz="0" w:space="0" w:color="auto"/>
                      </w:divBdr>
                    </w:div>
                  </w:divsChild>
                </w:div>
                <w:div w:id="804860169">
                  <w:marLeft w:val="0"/>
                  <w:marRight w:val="0"/>
                  <w:marTop w:val="0"/>
                  <w:marBottom w:val="0"/>
                  <w:divBdr>
                    <w:top w:val="none" w:sz="0" w:space="0" w:color="auto"/>
                    <w:left w:val="none" w:sz="0" w:space="0" w:color="auto"/>
                    <w:bottom w:val="none" w:sz="0" w:space="0" w:color="auto"/>
                    <w:right w:val="none" w:sz="0" w:space="0" w:color="auto"/>
                  </w:divBdr>
                  <w:divsChild>
                    <w:div w:id="1499930237">
                      <w:marLeft w:val="0"/>
                      <w:marRight w:val="0"/>
                      <w:marTop w:val="0"/>
                      <w:marBottom w:val="0"/>
                      <w:divBdr>
                        <w:top w:val="none" w:sz="0" w:space="0" w:color="auto"/>
                        <w:left w:val="none" w:sz="0" w:space="0" w:color="auto"/>
                        <w:bottom w:val="none" w:sz="0" w:space="0" w:color="auto"/>
                        <w:right w:val="none" w:sz="0" w:space="0" w:color="auto"/>
                      </w:divBdr>
                    </w:div>
                  </w:divsChild>
                </w:div>
                <w:div w:id="850416314">
                  <w:marLeft w:val="0"/>
                  <w:marRight w:val="0"/>
                  <w:marTop w:val="0"/>
                  <w:marBottom w:val="0"/>
                  <w:divBdr>
                    <w:top w:val="none" w:sz="0" w:space="0" w:color="auto"/>
                    <w:left w:val="none" w:sz="0" w:space="0" w:color="auto"/>
                    <w:bottom w:val="none" w:sz="0" w:space="0" w:color="auto"/>
                    <w:right w:val="none" w:sz="0" w:space="0" w:color="auto"/>
                  </w:divBdr>
                  <w:divsChild>
                    <w:div w:id="940264394">
                      <w:marLeft w:val="0"/>
                      <w:marRight w:val="0"/>
                      <w:marTop w:val="0"/>
                      <w:marBottom w:val="0"/>
                      <w:divBdr>
                        <w:top w:val="none" w:sz="0" w:space="0" w:color="auto"/>
                        <w:left w:val="none" w:sz="0" w:space="0" w:color="auto"/>
                        <w:bottom w:val="none" w:sz="0" w:space="0" w:color="auto"/>
                        <w:right w:val="none" w:sz="0" w:space="0" w:color="auto"/>
                      </w:divBdr>
                    </w:div>
                  </w:divsChild>
                </w:div>
                <w:div w:id="860320899">
                  <w:marLeft w:val="0"/>
                  <w:marRight w:val="0"/>
                  <w:marTop w:val="0"/>
                  <w:marBottom w:val="0"/>
                  <w:divBdr>
                    <w:top w:val="none" w:sz="0" w:space="0" w:color="auto"/>
                    <w:left w:val="none" w:sz="0" w:space="0" w:color="auto"/>
                    <w:bottom w:val="none" w:sz="0" w:space="0" w:color="auto"/>
                    <w:right w:val="none" w:sz="0" w:space="0" w:color="auto"/>
                  </w:divBdr>
                  <w:divsChild>
                    <w:div w:id="1740471042">
                      <w:marLeft w:val="0"/>
                      <w:marRight w:val="0"/>
                      <w:marTop w:val="0"/>
                      <w:marBottom w:val="0"/>
                      <w:divBdr>
                        <w:top w:val="none" w:sz="0" w:space="0" w:color="auto"/>
                        <w:left w:val="none" w:sz="0" w:space="0" w:color="auto"/>
                        <w:bottom w:val="none" w:sz="0" w:space="0" w:color="auto"/>
                        <w:right w:val="none" w:sz="0" w:space="0" w:color="auto"/>
                      </w:divBdr>
                    </w:div>
                  </w:divsChild>
                </w:div>
                <w:div w:id="866067200">
                  <w:marLeft w:val="0"/>
                  <w:marRight w:val="0"/>
                  <w:marTop w:val="0"/>
                  <w:marBottom w:val="0"/>
                  <w:divBdr>
                    <w:top w:val="none" w:sz="0" w:space="0" w:color="auto"/>
                    <w:left w:val="none" w:sz="0" w:space="0" w:color="auto"/>
                    <w:bottom w:val="none" w:sz="0" w:space="0" w:color="auto"/>
                    <w:right w:val="none" w:sz="0" w:space="0" w:color="auto"/>
                  </w:divBdr>
                  <w:divsChild>
                    <w:div w:id="54161457">
                      <w:marLeft w:val="0"/>
                      <w:marRight w:val="0"/>
                      <w:marTop w:val="0"/>
                      <w:marBottom w:val="0"/>
                      <w:divBdr>
                        <w:top w:val="none" w:sz="0" w:space="0" w:color="auto"/>
                        <w:left w:val="none" w:sz="0" w:space="0" w:color="auto"/>
                        <w:bottom w:val="none" w:sz="0" w:space="0" w:color="auto"/>
                        <w:right w:val="none" w:sz="0" w:space="0" w:color="auto"/>
                      </w:divBdr>
                    </w:div>
                  </w:divsChild>
                </w:div>
                <w:div w:id="875460399">
                  <w:marLeft w:val="0"/>
                  <w:marRight w:val="0"/>
                  <w:marTop w:val="0"/>
                  <w:marBottom w:val="0"/>
                  <w:divBdr>
                    <w:top w:val="none" w:sz="0" w:space="0" w:color="auto"/>
                    <w:left w:val="none" w:sz="0" w:space="0" w:color="auto"/>
                    <w:bottom w:val="none" w:sz="0" w:space="0" w:color="auto"/>
                    <w:right w:val="none" w:sz="0" w:space="0" w:color="auto"/>
                  </w:divBdr>
                  <w:divsChild>
                    <w:div w:id="303706340">
                      <w:marLeft w:val="0"/>
                      <w:marRight w:val="0"/>
                      <w:marTop w:val="0"/>
                      <w:marBottom w:val="0"/>
                      <w:divBdr>
                        <w:top w:val="none" w:sz="0" w:space="0" w:color="auto"/>
                        <w:left w:val="none" w:sz="0" w:space="0" w:color="auto"/>
                        <w:bottom w:val="none" w:sz="0" w:space="0" w:color="auto"/>
                        <w:right w:val="none" w:sz="0" w:space="0" w:color="auto"/>
                      </w:divBdr>
                    </w:div>
                  </w:divsChild>
                </w:div>
                <w:div w:id="905145245">
                  <w:marLeft w:val="0"/>
                  <w:marRight w:val="0"/>
                  <w:marTop w:val="0"/>
                  <w:marBottom w:val="0"/>
                  <w:divBdr>
                    <w:top w:val="none" w:sz="0" w:space="0" w:color="auto"/>
                    <w:left w:val="none" w:sz="0" w:space="0" w:color="auto"/>
                    <w:bottom w:val="none" w:sz="0" w:space="0" w:color="auto"/>
                    <w:right w:val="none" w:sz="0" w:space="0" w:color="auto"/>
                  </w:divBdr>
                  <w:divsChild>
                    <w:div w:id="1129283094">
                      <w:marLeft w:val="0"/>
                      <w:marRight w:val="0"/>
                      <w:marTop w:val="0"/>
                      <w:marBottom w:val="0"/>
                      <w:divBdr>
                        <w:top w:val="none" w:sz="0" w:space="0" w:color="auto"/>
                        <w:left w:val="none" w:sz="0" w:space="0" w:color="auto"/>
                        <w:bottom w:val="none" w:sz="0" w:space="0" w:color="auto"/>
                        <w:right w:val="none" w:sz="0" w:space="0" w:color="auto"/>
                      </w:divBdr>
                    </w:div>
                  </w:divsChild>
                </w:div>
                <w:div w:id="948665065">
                  <w:marLeft w:val="0"/>
                  <w:marRight w:val="0"/>
                  <w:marTop w:val="0"/>
                  <w:marBottom w:val="0"/>
                  <w:divBdr>
                    <w:top w:val="none" w:sz="0" w:space="0" w:color="auto"/>
                    <w:left w:val="none" w:sz="0" w:space="0" w:color="auto"/>
                    <w:bottom w:val="none" w:sz="0" w:space="0" w:color="auto"/>
                    <w:right w:val="none" w:sz="0" w:space="0" w:color="auto"/>
                  </w:divBdr>
                  <w:divsChild>
                    <w:div w:id="1762143113">
                      <w:marLeft w:val="0"/>
                      <w:marRight w:val="0"/>
                      <w:marTop w:val="0"/>
                      <w:marBottom w:val="0"/>
                      <w:divBdr>
                        <w:top w:val="none" w:sz="0" w:space="0" w:color="auto"/>
                        <w:left w:val="none" w:sz="0" w:space="0" w:color="auto"/>
                        <w:bottom w:val="none" w:sz="0" w:space="0" w:color="auto"/>
                        <w:right w:val="none" w:sz="0" w:space="0" w:color="auto"/>
                      </w:divBdr>
                    </w:div>
                  </w:divsChild>
                </w:div>
                <w:div w:id="949623458">
                  <w:marLeft w:val="0"/>
                  <w:marRight w:val="0"/>
                  <w:marTop w:val="0"/>
                  <w:marBottom w:val="0"/>
                  <w:divBdr>
                    <w:top w:val="none" w:sz="0" w:space="0" w:color="auto"/>
                    <w:left w:val="none" w:sz="0" w:space="0" w:color="auto"/>
                    <w:bottom w:val="none" w:sz="0" w:space="0" w:color="auto"/>
                    <w:right w:val="none" w:sz="0" w:space="0" w:color="auto"/>
                  </w:divBdr>
                  <w:divsChild>
                    <w:div w:id="293340462">
                      <w:marLeft w:val="0"/>
                      <w:marRight w:val="0"/>
                      <w:marTop w:val="0"/>
                      <w:marBottom w:val="0"/>
                      <w:divBdr>
                        <w:top w:val="none" w:sz="0" w:space="0" w:color="auto"/>
                        <w:left w:val="none" w:sz="0" w:space="0" w:color="auto"/>
                        <w:bottom w:val="none" w:sz="0" w:space="0" w:color="auto"/>
                        <w:right w:val="none" w:sz="0" w:space="0" w:color="auto"/>
                      </w:divBdr>
                    </w:div>
                  </w:divsChild>
                </w:div>
                <w:div w:id="964509629">
                  <w:marLeft w:val="0"/>
                  <w:marRight w:val="0"/>
                  <w:marTop w:val="0"/>
                  <w:marBottom w:val="0"/>
                  <w:divBdr>
                    <w:top w:val="none" w:sz="0" w:space="0" w:color="auto"/>
                    <w:left w:val="none" w:sz="0" w:space="0" w:color="auto"/>
                    <w:bottom w:val="none" w:sz="0" w:space="0" w:color="auto"/>
                    <w:right w:val="none" w:sz="0" w:space="0" w:color="auto"/>
                  </w:divBdr>
                  <w:divsChild>
                    <w:div w:id="2006275897">
                      <w:marLeft w:val="0"/>
                      <w:marRight w:val="0"/>
                      <w:marTop w:val="0"/>
                      <w:marBottom w:val="0"/>
                      <w:divBdr>
                        <w:top w:val="none" w:sz="0" w:space="0" w:color="auto"/>
                        <w:left w:val="none" w:sz="0" w:space="0" w:color="auto"/>
                        <w:bottom w:val="none" w:sz="0" w:space="0" w:color="auto"/>
                        <w:right w:val="none" w:sz="0" w:space="0" w:color="auto"/>
                      </w:divBdr>
                    </w:div>
                  </w:divsChild>
                </w:div>
                <w:div w:id="1009261398">
                  <w:marLeft w:val="0"/>
                  <w:marRight w:val="0"/>
                  <w:marTop w:val="0"/>
                  <w:marBottom w:val="0"/>
                  <w:divBdr>
                    <w:top w:val="none" w:sz="0" w:space="0" w:color="auto"/>
                    <w:left w:val="none" w:sz="0" w:space="0" w:color="auto"/>
                    <w:bottom w:val="none" w:sz="0" w:space="0" w:color="auto"/>
                    <w:right w:val="none" w:sz="0" w:space="0" w:color="auto"/>
                  </w:divBdr>
                  <w:divsChild>
                    <w:div w:id="1020664759">
                      <w:marLeft w:val="0"/>
                      <w:marRight w:val="0"/>
                      <w:marTop w:val="0"/>
                      <w:marBottom w:val="0"/>
                      <w:divBdr>
                        <w:top w:val="none" w:sz="0" w:space="0" w:color="auto"/>
                        <w:left w:val="none" w:sz="0" w:space="0" w:color="auto"/>
                        <w:bottom w:val="none" w:sz="0" w:space="0" w:color="auto"/>
                        <w:right w:val="none" w:sz="0" w:space="0" w:color="auto"/>
                      </w:divBdr>
                    </w:div>
                  </w:divsChild>
                </w:div>
                <w:div w:id="1015300484">
                  <w:marLeft w:val="0"/>
                  <w:marRight w:val="0"/>
                  <w:marTop w:val="0"/>
                  <w:marBottom w:val="0"/>
                  <w:divBdr>
                    <w:top w:val="none" w:sz="0" w:space="0" w:color="auto"/>
                    <w:left w:val="none" w:sz="0" w:space="0" w:color="auto"/>
                    <w:bottom w:val="none" w:sz="0" w:space="0" w:color="auto"/>
                    <w:right w:val="none" w:sz="0" w:space="0" w:color="auto"/>
                  </w:divBdr>
                  <w:divsChild>
                    <w:div w:id="1571623051">
                      <w:marLeft w:val="0"/>
                      <w:marRight w:val="0"/>
                      <w:marTop w:val="0"/>
                      <w:marBottom w:val="0"/>
                      <w:divBdr>
                        <w:top w:val="none" w:sz="0" w:space="0" w:color="auto"/>
                        <w:left w:val="none" w:sz="0" w:space="0" w:color="auto"/>
                        <w:bottom w:val="none" w:sz="0" w:space="0" w:color="auto"/>
                        <w:right w:val="none" w:sz="0" w:space="0" w:color="auto"/>
                      </w:divBdr>
                    </w:div>
                  </w:divsChild>
                </w:div>
                <w:div w:id="1015306076">
                  <w:marLeft w:val="0"/>
                  <w:marRight w:val="0"/>
                  <w:marTop w:val="0"/>
                  <w:marBottom w:val="0"/>
                  <w:divBdr>
                    <w:top w:val="none" w:sz="0" w:space="0" w:color="auto"/>
                    <w:left w:val="none" w:sz="0" w:space="0" w:color="auto"/>
                    <w:bottom w:val="none" w:sz="0" w:space="0" w:color="auto"/>
                    <w:right w:val="none" w:sz="0" w:space="0" w:color="auto"/>
                  </w:divBdr>
                  <w:divsChild>
                    <w:div w:id="77026792">
                      <w:marLeft w:val="0"/>
                      <w:marRight w:val="0"/>
                      <w:marTop w:val="0"/>
                      <w:marBottom w:val="0"/>
                      <w:divBdr>
                        <w:top w:val="none" w:sz="0" w:space="0" w:color="auto"/>
                        <w:left w:val="none" w:sz="0" w:space="0" w:color="auto"/>
                        <w:bottom w:val="none" w:sz="0" w:space="0" w:color="auto"/>
                        <w:right w:val="none" w:sz="0" w:space="0" w:color="auto"/>
                      </w:divBdr>
                    </w:div>
                  </w:divsChild>
                </w:div>
                <w:div w:id="1030493853">
                  <w:marLeft w:val="0"/>
                  <w:marRight w:val="0"/>
                  <w:marTop w:val="0"/>
                  <w:marBottom w:val="0"/>
                  <w:divBdr>
                    <w:top w:val="none" w:sz="0" w:space="0" w:color="auto"/>
                    <w:left w:val="none" w:sz="0" w:space="0" w:color="auto"/>
                    <w:bottom w:val="none" w:sz="0" w:space="0" w:color="auto"/>
                    <w:right w:val="none" w:sz="0" w:space="0" w:color="auto"/>
                  </w:divBdr>
                  <w:divsChild>
                    <w:div w:id="794566660">
                      <w:marLeft w:val="0"/>
                      <w:marRight w:val="0"/>
                      <w:marTop w:val="0"/>
                      <w:marBottom w:val="0"/>
                      <w:divBdr>
                        <w:top w:val="none" w:sz="0" w:space="0" w:color="auto"/>
                        <w:left w:val="none" w:sz="0" w:space="0" w:color="auto"/>
                        <w:bottom w:val="none" w:sz="0" w:space="0" w:color="auto"/>
                        <w:right w:val="none" w:sz="0" w:space="0" w:color="auto"/>
                      </w:divBdr>
                    </w:div>
                  </w:divsChild>
                </w:div>
                <w:div w:id="1062873080">
                  <w:marLeft w:val="0"/>
                  <w:marRight w:val="0"/>
                  <w:marTop w:val="0"/>
                  <w:marBottom w:val="0"/>
                  <w:divBdr>
                    <w:top w:val="none" w:sz="0" w:space="0" w:color="auto"/>
                    <w:left w:val="none" w:sz="0" w:space="0" w:color="auto"/>
                    <w:bottom w:val="none" w:sz="0" w:space="0" w:color="auto"/>
                    <w:right w:val="none" w:sz="0" w:space="0" w:color="auto"/>
                  </w:divBdr>
                  <w:divsChild>
                    <w:div w:id="1000933511">
                      <w:marLeft w:val="0"/>
                      <w:marRight w:val="0"/>
                      <w:marTop w:val="0"/>
                      <w:marBottom w:val="0"/>
                      <w:divBdr>
                        <w:top w:val="none" w:sz="0" w:space="0" w:color="auto"/>
                        <w:left w:val="none" w:sz="0" w:space="0" w:color="auto"/>
                        <w:bottom w:val="none" w:sz="0" w:space="0" w:color="auto"/>
                        <w:right w:val="none" w:sz="0" w:space="0" w:color="auto"/>
                      </w:divBdr>
                    </w:div>
                  </w:divsChild>
                </w:div>
                <w:div w:id="1077896840">
                  <w:marLeft w:val="0"/>
                  <w:marRight w:val="0"/>
                  <w:marTop w:val="0"/>
                  <w:marBottom w:val="0"/>
                  <w:divBdr>
                    <w:top w:val="none" w:sz="0" w:space="0" w:color="auto"/>
                    <w:left w:val="none" w:sz="0" w:space="0" w:color="auto"/>
                    <w:bottom w:val="none" w:sz="0" w:space="0" w:color="auto"/>
                    <w:right w:val="none" w:sz="0" w:space="0" w:color="auto"/>
                  </w:divBdr>
                  <w:divsChild>
                    <w:div w:id="953827157">
                      <w:marLeft w:val="0"/>
                      <w:marRight w:val="0"/>
                      <w:marTop w:val="0"/>
                      <w:marBottom w:val="0"/>
                      <w:divBdr>
                        <w:top w:val="none" w:sz="0" w:space="0" w:color="auto"/>
                        <w:left w:val="none" w:sz="0" w:space="0" w:color="auto"/>
                        <w:bottom w:val="none" w:sz="0" w:space="0" w:color="auto"/>
                        <w:right w:val="none" w:sz="0" w:space="0" w:color="auto"/>
                      </w:divBdr>
                    </w:div>
                  </w:divsChild>
                </w:div>
                <w:div w:id="1138107757">
                  <w:marLeft w:val="0"/>
                  <w:marRight w:val="0"/>
                  <w:marTop w:val="0"/>
                  <w:marBottom w:val="0"/>
                  <w:divBdr>
                    <w:top w:val="none" w:sz="0" w:space="0" w:color="auto"/>
                    <w:left w:val="none" w:sz="0" w:space="0" w:color="auto"/>
                    <w:bottom w:val="none" w:sz="0" w:space="0" w:color="auto"/>
                    <w:right w:val="none" w:sz="0" w:space="0" w:color="auto"/>
                  </w:divBdr>
                  <w:divsChild>
                    <w:div w:id="1391999939">
                      <w:marLeft w:val="0"/>
                      <w:marRight w:val="0"/>
                      <w:marTop w:val="0"/>
                      <w:marBottom w:val="0"/>
                      <w:divBdr>
                        <w:top w:val="none" w:sz="0" w:space="0" w:color="auto"/>
                        <w:left w:val="none" w:sz="0" w:space="0" w:color="auto"/>
                        <w:bottom w:val="none" w:sz="0" w:space="0" w:color="auto"/>
                        <w:right w:val="none" w:sz="0" w:space="0" w:color="auto"/>
                      </w:divBdr>
                    </w:div>
                  </w:divsChild>
                </w:div>
                <w:div w:id="1146118322">
                  <w:marLeft w:val="0"/>
                  <w:marRight w:val="0"/>
                  <w:marTop w:val="0"/>
                  <w:marBottom w:val="0"/>
                  <w:divBdr>
                    <w:top w:val="none" w:sz="0" w:space="0" w:color="auto"/>
                    <w:left w:val="none" w:sz="0" w:space="0" w:color="auto"/>
                    <w:bottom w:val="none" w:sz="0" w:space="0" w:color="auto"/>
                    <w:right w:val="none" w:sz="0" w:space="0" w:color="auto"/>
                  </w:divBdr>
                  <w:divsChild>
                    <w:div w:id="233047382">
                      <w:marLeft w:val="0"/>
                      <w:marRight w:val="0"/>
                      <w:marTop w:val="0"/>
                      <w:marBottom w:val="0"/>
                      <w:divBdr>
                        <w:top w:val="none" w:sz="0" w:space="0" w:color="auto"/>
                        <w:left w:val="none" w:sz="0" w:space="0" w:color="auto"/>
                        <w:bottom w:val="none" w:sz="0" w:space="0" w:color="auto"/>
                        <w:right w:val="none" w:sz="0" w:space="0" w:color="auto"/>
                      </w:divBdr>
                    </w:div>
                  </w:divsChild>
                </w:div>
                <w:div w:id="1150709231">
                  <w:marLeft w:val="0"/>
                  <w:marRight w:val="0"/>
                  <w:marTop w:val="0"/>
                  <w:marBottom w:val="0"/>
                  <w:divBdr>
                    <w:top w:val="none" w:sz="0" w:space="0" w:color="auto"/>
                    <w:left w:val="none" w:sz="0" w:space="0" w:color="auto"/>
                    <w:bottom w:val="none" w:sz="0" w:space="0" w:color="auto"/>
                    <w:right w:val="none" w:sz="0" w:space="0" w:color="auto"/>
                  </w:divBdr>
                  <w:divsChild>
                    <w:div w:id="1805341900">
                      <w:marLeft w:val="0"/>
                      <w:marRight w:val="0"/>
                      <w:marTop w:val="0"/>
                      <w:marBottom w:val="0"/>
                      <w:divBdr>
                        <w:top w:val="none" w:sz="0" w:space="0" w:color="auto"/>
                        <w:left w:val="none" w:sz="0" w:space="0" w:color="auto"/>
                        <w:bottom w:val="none" w:sz="0" w:space="0" w:color="auto"/>
                        <w:right w:val="none" w:sz="0" w:space="0" w:color="auto"/>
                      </w:divBdr>
                    </w:div>
                  </w:divsChild>
                </w:div>
                <w:div w:id="1151599598">
                  <w:marLeft w:val="0"/>
                  <w:marRight w:val="0"/>
                  <w:marTop w:val="0"/>
                  <w:marBottom w:val="0"/>
                  <w:divBdr>
                    <w:top w:val="none" w:sz="0" w:space="0" w:color="auto"/>
                    <w:left w:val="none" w:sz="0" w:space="0" w:color="auto"/>
                    <w:bottom w:val="none" w:sz="0" w:space="0" w:color="auto"/>
                    <w:right w:val="none" w:sz="0" w:space="0" w:color="auto"/>
                  </w:divBdr>
                  <w:divsChild>
                    <w:div w:id="1360428200">
                      <w:marLeft w:val="0"/>
                      <w:marRight w:val="0"/>
                      <w:marTop w:val="0"/>
                      <w:marBottom w:val="0"/>
                      <w:divBdr>
                        <w:top w:val="none" w:sz="0" w:space="0" w:color="auto"/>
                        <w:left w:val="none" w:sz="0" w:space="0" w:color="auto"/>
                        <w:bottom w:val="none" w:sz="0" w:space="0" w:color="auto"/>
                        <w:right w:val="none" w:sz="0" w:space="0" w:color="auto"/>
                      </w:divBdr>
                    </w:div>
                    <w:div w:id="1609120227">
                      <w:marLeft w:val="0"/>
                      <w:marRight w:val="0"/>
                      <w:marTop w:val="0"/>
                      <w:marBottom w:val="0"/>
                      <w:divBdr>
                        <w:top w:val="none" w:sz="0" w:space="0" w:color="auto"/>
                        <w:left w:val="none" w:sz="0" w:space="0" w:color="auto"/>
                        <w:bottom w:val="none" w:sz="0" w:space="0" w:color="auto"/>
                        <w:right w:val="none" w:sz="0" w:space="0" w:color="auto"/>
                      </w:divBdr>
                    </w:div>
                  </w:divsChild>
                </w:div>
                <w:div w:id="1174801687">
                  <w:marLeft w:val="0"/>
                  <w:marRight w:val="0"/>
                  <w:marTop w:val="0"/>
                  <w:marBottom w:val="0"/>
                  <w:divBdr>
                    <w:top w:val="none" w:sz="0" w:space="0" w:color="auto"/>
                    <w:left w:val="none" w:sz="0" w:space="0" w:color="auto"/>
                    <w:bottom w:val="none" w:sz="0" w:space="0" w:color="auto"/>
                    <w:right w:val="none" w:sz="0" w:space="0" w:color="auto"/>
                  </w:divBdr>
                  <w:divsChild>
                    <w:div w:id="382675863">
                      <w:marLeft w:val="0"/>
                      <w:marRight w:val="0"/>
                      <w:marTop w:val="0"/>
                      <w:marBottom w:val="0"/>
                      <w:divBdr>
                        <w:top w:val="none" w:sz="0" w:space="0" w:color="auto"/>
                        <w:left w:val="none" w:sz="0" w:space="0" w:color="auto"/>
                        <w:bottom w:val="none" w:sz="0" w:space="0" w:color="auto"/>
                        <w:right w:val="none" w:sz="0" w:space="0" w:color="auto"/>
                      </w:divBdr>
                    </w:div>
                  </w:divsChild>
                </w:div>
                <w:div w:id="1181701832">
                  <w:marLeft w:val="0"/>
                  <w:marRight w:val="0"/>
                  <w:marTop w:val="0"/>
                  <w:marBottom w:val="0"/>
                  <w:divBdr>
                    <w:top w:val="none" w:sz="0" w:space="0" w:color="auto"/>
                    <w:left w:val="none" w:sz="0" w:space="0" w:color="auto"/>
                    <w:bottom w:val="none" w:sz="0" w:space="0" w:color="auto"/>
                    <w:right w:val="none" w:sz="0" w:space="0" w:color="auto"/>
                  </w:divBdr>
                  <w:divsChild>
                    <w:div w:id="1898316131">
                      <w:marLeft w:val="0"/>
                      <w:marRight w:val="0"/>
                      <w:marTop w:val="0"/>
                      <w:marBottom w:val="0"/>
                      <w:divBdr>
                        <w:top w:val="none" w:sz="0" w:space="0" w:color="auto"/>
                        <w:left w:val="none" w:sz="0" w:space="0" w:color="auto"/>
                        <w:bottom w:val="none" w:sz="0" w:space="0" w:color="auto"/>
                        <w:right w:val="none" w:sz="0" w:space="0" w:color="auto"/>
                      </w:divBdr>
                    </w:div>
                  </w:divsChild>
                </w:div>
                <w:div w:id="1216819984">
                  <w:marLeft w:val="0"/>
                  <w:marRight w:val="0"/>
                  <w:marTop w:val="0"/>
                  <w:marBottom w:val="0"/>
                  <w:divBdr>
                    <w:top w:val="none" w:sz="0" w:space="0" w:color="auto"/>
                    <w:left w:val="none" w:sz="0" w:space="0" w:color="auto"/>
                    <w:bottom w:val="none" w:sz="0" w:space="0" w:color="auto"/>
                    <w:right w:val="none" w:sz="0" w:space="0" w:color="auto"/>
                  </w:divBdr>
                  <w:divsChild>
                    <w:div w:id="1236432239">
                      <w:marLeft w:val="0"/>
                      <w:marRight w:val="0"/>
                      <w:marTop w:val="0"/>
                      <w:marBottom w:val="0"/>
                      <w:divBdr>
                        <w:top w:val="none" w:sz="0" w:space="0" w:color="auto"/>
                        <w:left w:val="none" w:sz="0" w:space="0" w:color="auto"/>
                        <w:bottom w:val="none" w:sz="0" w:space="0" w:color="auto"/>
                        <w:right w:val="none" w:sz="0" w:space="0" w:color="auto"/>
                      </w:divBdr>
                    </w:div>
                  </w:divsChild>
                </w:div>
                <w:div w:id="1224290050">
                  <w:marLeft w:val="0"/>
                  <w:marRight w:val="0"/>
                  <w:marTop w:val="0"/>
                  <w:marBottom w:val="0"/>
                  <w:divBdr>
                    <w:top w:val="none" w:sz="0" w:space="0" w:color="auto"/>
                    <w:left w:val="none" w:sz="0" w:space="0" w:color="auto"/>
                    <w:bottom w:val="none" w:sz="0" w:space="0" w:color="auto"/>
                    <w:right w:val="none" w:sz="0" w:space="0" w:color="auto"/>
                  </w:divBdr>
                  <w:divsChild>
                    <w:div w:id="409080735">
                      <w:marLeft w:val="0"/>
                      <w:marRight w:val="0"/>
                      <w:marTop w:val="0"/>
                      <w:marBottom w:val="0"/>
                      <w:divBdr>
                        <w:top w:val="none" w:sz="0" w:space="0" w:color="auto"/>
                        <w:left w:val="none" w:sz="0" w:space="0" w:color="auto"/>
                        <w:bottom w:val="none" w:sz="0" w:space="0" w:color="auto"/>
                        <w:right w:val="none" w:sz="0" w:space="0" w:color="auto"/>
                      </w:divBdr>
                    </w:div>
                  </w:divsChild>
                </w:div>
                <w:div w:id="1230068308">
                  <w:marLeft w:val="0"/>
                  <w:marRight w:val="0"/>
                  <w:marTop w:val="0"/>
                  <w:marBottom w:val="0"/>
                  <w:divBdr>
                    <w:top w:val="none" w:sz="0" w:space="0" w:color="auto"/>
                    <w:left w:val="none" w:sz="0" w:space="0" w:color="auto"/>
                    <w:bottom w:val="none" w:sz="0" w:space="0" w:color="auto"/>
                    <w:right w:val="none" w:sz="0" w:space="0" w:color="auto"/>
                  </w:divBdr>
                  <w:divsChild>
                    <w:div w:id="1448574696">
                      <w:marLeft w:val="0"/>
                      <w:marRight w:val="0"/>
                      <w:marTop w:val="0"/>
                      <w:marBottom w:val="0"/>
                      <w:divBdr>
                        <w:top w:val="none" w:sz="0" w:space="0" w:color="auto"/>
                        <w:left w:val="none" w:sz="0" w:space="0" w:color="auto"/>
                        <w:bottom w:val="none" w:sz="0" w:space="0" w:color="auto"/>
                        <w:right w:val="none" w:sz="0" w:space="0" w:color="auto"/>
                      </w:divBdr>
                    </w:div>
                  </w:divsChild>
                </w:div>
                <w:div w:id="1267232587">
                  <w:marLeft w:val="0"/>
                  <w:marRight w:val="0"/>
                  <w:marTop w:val="0"/>
                  <w:marBottom w:val="0"/>
                  <w:divBdr>
                    <w:top w:val="none" w:sz="0" w:space="0" w:color="auto"/>
                    <w:left w:val="none" w:sz="0" w:space="0" w:color="auto"/>
                    <w:bottom w:val="none" w:sz="0" w:space="0" w:color="auto"/>
                    <w:right w:val="none" w:sz="0" w:space="0" w:color="auto"/>
                  </w:divBdr>
                  <w:divsChild>
                    <w:div w:id="1491020815">
                      <w:marLeft w:val="0"/>
                      <w:marRight w:val="0"/>
                      <w:marTop w:val="0"/>
                      <w:marBottom w:val="0"/>
                      <w:divBdr>
                        <w:top w:val="none" w:sz="0" w:space="0" w:color="auto"/>
                        <w:left w:val="none" w:sz="0" w:space="0" w:color="auto"/>
                        <w:bottom w:val="none" w:sz="0" w:space="0" w:color="auto"/>
                        <w:right w:val="none" w:sz="0" w:space="0" w:color="auto"/>
                      </w:divBdr>
                    </w:div>
                  </w:divsChild>
                </w:div>
                <w:div w:id="1352876029">
                  <w:marLeft w:val="0"/>
                  <w:marRight w:val="0"/>
                  <w:marTop w:val="0"/>
                  <w:marBottom w:val="0"/>
                  <w:divBdr>
                    <w:top w:val="none" w:sz="0" w:space="0" w:color="auto"/>
                    <w:left w:val="none" w:sz="0" w:space="0" w:color="auto"/>
                    <w:bottom w:val="none" w:sz="0" w:space="0" w:color="auto"/>
                    <w:right w:val="none" w:sz="0" w:space="0" w:color="auto"/>
                  </w:divBdr>
                  <w:divsChild>
                    <w:div w:id="699628518">
                      <w:marLeft w:val="0"/>
                      <w:marRight w:val="0"/>
                      <w:marTop w:val="0"/>
                      <w:marBottom w:val="0"/>
                      <w:divBdr>
                        <w:top w:val="none" w:sz="0" w:space="0" w:color="auto"/>
                        <w:left w:val="none" w:sz="0" w:space="0" w:color="auto"/>
                        <w:bottom w:val="none" w:sz="0" w:space="0" w:color="auto"/>
                        <w:right w:val="none" w:sz="0" w:space="0" w:color="auto"/>
                      </w:divBdr>
                    </w:div>
                  </w:divsChild>
                </w:div>
                <w:div w:id="1388534685">
                  <w:marLeft w:val="0"/>
                  <w:marRight w:val="0"/>
                  <w:marTop w:val="0"/>
                  <w:marBottom w:val="0"/>
                  <w:divBdr>
                    <w:top w:val="none" w:sz="0" w:space="0" w:color="auto"/>
                    <w:left w:val="none" w:sz="0" w:space="0" w:color="auto"/>
                    <w:bottom w:val="none" w:sz="0" w:space="0" w:color="auto"/>
                    <w:right w:val="none" w:sz="0" w:space="0" w:color="auto"/>
                  </w:divBdr>
                  <w:divsChild>
                    <w:div w:id="1686982971">
                      <w:marLeft w:val="0"/>
                      <w:marRight w:val="0"/>
                      <w:marTop w:val="0"/>
                      <w:marBottom w:val="0"/>
                      <w:divBdr>
                        <w:top w:val="none" w:sz="0" w:space="0" w:color="auto"/>
                        <w:left w:val="none" w:sz="0" w:space="0" w:color="auto"/>
                        <w:bottom w:val="none" w:sz="0" w:space="0" w:color="auto"/>
                        <w:right w:val="none" w:sz="0" w:space="0" w:color="auto"/>
                      </w:divBdr>
                    </w:div>
                  </w:divsChild>
                </w:div>
                <w:div w:id="1432510235">
                  <w:marLeft w:val="0"/>
                  <w:marRight w:val="0"/>
                  <w:marTop w:val="0"/>
                  <w:marBottom w:val="0"/>
                  <w:divBdr>
                    <w:top w:val="none" w:sz="0" w:space="0" w:color="auto"/>
                    <w:left w:val="none" w:sz="0" w:space="0" w:color="auto"/>
                    <w:bottom w:val="none" w:sz="0" w:space="0" w:color="auto"/>
                    <w:right w:val="none" w:sz="0" w:space="0" w:color="auto"/>
                  </w:divBdr>
                  <w:divsChild>
                    <w:div w:id="895893948">
                      <w:marLeft w:val="0"/>
                      <w:marRight w:val="0"/>
                      <w:marTop w:val="0"/>
                      <w:marBottom w:val="0"/>
                      <w:divBdr>
                        <w:top w:val="none" w:sz="0" w:space="0" w:color="auto"/>
                        <w:left w:val="none" w:sz="0" w:space="0" w:color="auto"/>
                        <w:bottom w:val="none" w:sz="0" w:space="0" w:color="auto"/>
                        <w:right w:val="none" w:sz="0" w:space="0" w:color="auto"/>
                      </w:divBdr>
                    </w:div>
                    <w:div w:id="1699156728">
                      <w:marLeft w:val="0"/>
                      <w:marRight w:val="0"/>
                      <w:marTop w:val="0"/>
                      <w:marBottom w:val="0"/>
                      <w:divBdr>
                        <w:top w:val="none" w:sz="0" w:space="0" w:color="auto"/>
                        <w:left w:val="none" w:sz="0" w:space="0" w:color="auto"/>
                        <w:bottom w:val="none" w:sz="0" w:space="0" w:color="auto"/>
                        <w:right w:val="none" w:sz="0" w:space="0" w:color="auto"/>
                      </w:divBdr>
                    </w:div>
                  </w:divsChild>
                </w:div>
                <w:div w:id="1434207453">
                  <w:marLeft w:val="0"/>
                  <w:marRight w:val="0"/>
                  <w:marTop w:val="0"/>
                  <w:marBottom w:val="0"/>
                  <w:divBdr>
                    <w:top w:val="none" w:sz="0" w:space="0" w:color="auto"/>
                    <w:left w:val="none" w:sz="0" w:space="0" w:color="auto"/>
                    <w:bottom w:val="none" w:sz="0" w:space="0" w:color="auto"/>
                    <w:right w:val="none" w:sz="0" w:space="0" w:color="auto"/>
                  </w:divBdr>
                  <w:divsChild>
                    <w:div w:id="127747369">
                      <w:marLeft w:val="0"/>
                      <w:marRight w:val="0"/>
                      <w:marTop w:val="0"/>
                      <w:marBottom w:val="0"/>
                      <w:divBdr>
                        <w:top w:val="none" w:sz="0" w:space="0" w:color="auto"/>
                        <w:left w:val="none" w:sz="0" w:space="0" w:color="auto"/>
                        <w:bottom w:val="none" w:sz="0" w:space="0" w:color="auto"/>
                        <w:right w:val="none" w:sz="0" w:space="0" w:color="auto"/>
                      </w:divBdr>
                    </w:div>
                  </w:divsChild>
                </w:div>
                <w:div w:id="1446849314">
                  <w:marLeft w:val="0"/>
                  <w:marRight w:val="0"/>
                  <w:marTop w:val="0"/>
                  <w:marBottom w:val="0"/>
                  <w:divBdr>
                    <w:top w:val="none" w:sz="0" w:space="0" w:color="auto"/>
                    <w:left w:val="none" w:sz="0" w:space="0" w:color="auto"/>
                    <w:bottom w:val="none" w:sz="0" w:space="0" w:color="auto"/>
                    <w:right w:val="none" w:sz="0" w:space="0" w:color="auto"/>
                  </w:divBdr>
                  <w:divsChild>
                    <w:div w:id="468477841">
                      <w:marLeft w:val="0"/>
                      <w:marRight w:val="0"/>
                      <w:marTop w:val="0"/>
                      <w:marBottom w:val="0"/>
                      <w:divBdr>
                        <w:top w:val="none" w:sz="0" w:space="0" w:color="auto"/>
                        <w:left w:val="none" w:sz="0" w:space="0" w:color="auto"/>
                        <w:bottom w:val="none" w:sz="0" w:space="0" w:color="auto"/>
                        <w:right w:val="none" w:sz="0" w:space="0" w:color="auto"/>
                      </w:divBdr>
                    </w:div>
                  </w:divsChild>
                </w:div>
                <w:div w:id="1491408180">
                  <w:marLeft w:val="0"/>
                  <w:marRight w:val="0"/>
                  <w:marTop w:val="0"/>
                  <w:marBottom w:val="0"/>
                  <w:divBdr>
                    <w:top w:val="none" w:sz="0" w:space="0" w:color="auto"/>
                    <w:left w:val="none" w:sz="0" w:space="0" w:color="auto"/>
                    <w:bottom w:val="none" w:sz="0" w:space="0" w:color="auto"/>
                    <w:right w:val="none" w:sz="0" w:space="0" w:color="auto"/>
                  </w:divBdr>
                  <w:divsChild>
                    <w:div w:id="841314714">
                      <w:marLeft w:val="0"/>
                      <w:marRight w:val="0"/>
                      <w:marTop w:val="0"/>
                      <w:marBottom w:val="0"/>
                      <w:divBdr>
                        <w:top w:val="none" w:sz="0" w:space="0" w:color="auto"/>
                        <w:left w:val="none" w:sz="0" w:space="0" w:color="auto"/>
                        <w:bottom w:val="none" w:sz="0" w:space="0" w:color="auto"/>
                        <w:right w:val="none" w:sz="0" w:space="0" w:color="auto"/>
                      </w:divBdr>
                    </w:div>
                  </w:divsChild>
                </w:div>
                <w:div w:id="1493839955">
                  <w:marLeft w:val="0"/>
                  <w:marRight w:val="0"/>
                  <w:marTop w:val="0"/>
                  <w:marBottom w:val="0"/>
                  <w:divBdr>
                    <w:top w:val="none" w:sz="0" w:space="0" w:color="auto"/>
                    <w:left w:val="none" w:sz="0" w:space="0" w:color="auto"/>
                    <w:bottom w:val="none" w:sz="0" w:space="0" w:color="auto"/>
                    <w:right w:val="none" w:sz="0" w:space="0" w:color="auto"/>
                  </w:divBdr>
                  <w:divsChild>
                    <w:div w:id="1467893283">
                      <w:marLeft w:val="0"/>
                      <w:marRight w:val="0"/>
                      <w:marTop w:val="0"/>
                      <w:marBottom w:val="0"/>
                      <w:divBdr>
                        <w:top w:val="none" w:sz="0" w:space="0" w:color="auto"/>
                        <w:left w:val="none" w:sz="0" w:space="0" w:color="auto"/>
                        <w:bottom w:val="none" w:sz="0" w:space="0" w:color="auto"/>
                        <w:right w:val="none" w:sz="0" w:space="0" w:color="auto"/>
                      </w:divBdr>
                    </w:div>
                  </w:divsChild>
                </w:div>
                <w:div w:id="1515150791">
                  <w:marLeft w:val="0"/>
                  <w:marRight w:val="0"/>
                  <w:marTop w:val="0"/>
                  <w:marBottom w:val="0"/>
                  <w:divBdr>
                    <w:top w:val="none" w:sz="0" w:space="0" w:color="auto"/>
                    <w:left w:val="none" w:sz="0" w:space="0" w:color="auto"/>
                    <w:bottom w:val="none" w:sz="0" w:space="0" w:color="auto"/>
                    <w:right w:val="none" w:sz="0" w:space="0" w:color="auto"/>
                  </w:divBdr>
                  <w:divsChild>
                    <w:div w:id="639382911">
                      <w:marLeft w:val="0"/>
                      <w:marRight w:val="0"/>
                      <w:marTop w:val="0"/>
                      <w:marBottom w:val="0"/>
                      <w:divBdr>
                        <w:top w:val="none" w:sz="0" w:space="0" w:color="auto"/>
                        <w:left w:val="none" w:sz="0" w:space="0" w:color="auto"/>
                        <w:bottom w:val="none" w:sz="0" w:space="0" w:color="auto"/>
                        <w:right w:val="none" w:sz="0" w:space="0" w:color="auto"/>
                      </w:divBdr>
                    </w:div>
                  </w:divsChild>
                </w:div>
                <w:div w:id="1519810763">
                  <w:marLeft w:val="0"/>
                  <w:marRight w:val="0"/>
                  <w:marTop w:val="0"/>
                  <w:marBottom w:val="0"/>
                  <w:divBdr>
                    <w:top w:val="none" w:sz="0" w:space="0" w:color="auto"/>
                    <w:left w:val="none" w:sz="0" w:space="0" w:color="auto"/>
                    <w:bottom w:val="none" w:sz="0" w:space="0" w:color="auto"/>
                    <w:right w:val="none" w:sz="0" w:space="0" w:color="auto"/>
                  </w:divBdr>
                  <w:divsChild>
                    <w:div w:id="232391926">
                      <w:marLeft w:val="0"/>
                      <w:marRight w:val="0"/>
                      <w:marTop w:val="0"/>
                      <w:marBottom w:val="0"/>
                      <w:divBdr>
                        <w:top w:val="none" w:sz="0" w:space="0" w:color="auto"/>
                        <w:left w:val="none" w:sz="0" w:space="0" w:color="auto"/>
                        <w:bottom w:val="none" w:sz="0" w:space="0" w:color="auto"/>
                        <w:right w:val="none" w:sz="0" w:space="0" w:color="auto"/>
                      </w:divBdr>
                    </w:div>
                  </w:divsChild>
                </w:div>
                <w:div w:id="1566183185">
                  <w:marLeft w:val="0"/>
                  <w:marRight w:val="0"/>
                  <w:marTop w:val="0"/>
                  <w:marBottom w:val="0"/>
                  <w:divBdr>
                    <w:top w:val="none" w:sz="0" w:space="0" w:color="auto"/>
                    <w:left w:val="none" w:sz="0" w:space="0" w:color="auto"/>
                    <w:bottom w:val="none" w:sz="0" w:space="0" w:color="auto"/>
                    <w:right w:val="none" w:sz="0" w:space="0" w:color="auto"/>
                  </w:divBdr>
                  <w:divsChild>
                    <w:div w:id="1596859754">
                      <w:marLeft w:val="0"/>
                      <w:marRight w:val="0"/>
                      <w:marTop w:val="0"/>
                      <w:marBottom w:val="0"/>
                      <w:divBdr>
                        <w:top w:val="none" w:sz="0" w:space="0" w:color="auto"/>
                        <w:left w:val="none" w:sz="0" w:space="0" w:color="auto"/>
                        <w:bottom w:val="none" w:sz="0" w:space="0" w:color="auto"/>
                        <w:right w:val="none" w:sz="0" w:space="0" w:color="auto"/>
                      </w:divBdr>
                    </w:div>
                  </w:divsChild>
                </w:div>
                <w:div w:id="1578124302">
                  <w:marLeft w:val="0"/>
                  <w:marRight w:val="0"/>
                  <w:marTop w:val="0"/>
                  <w:marBottom w:val="0"/>
                  <w:divBdr>
                    <w:top w:val="none" w:sz="0" w:space="0" w:color="auto"/>
                    <w:left w:val="none" w:sz="0" w:space="0" w:color="auto"/>
                    <w:bottom w:val="none" w:sz="0" w:space="0" w:color="auto"/>
                    <w:right w:val="none" w:sz="0" w:space="0" w:color="auto"/>
                  </w:divBdr>
                  <w:divsChild>
                    <w:div w:id="1965232108">
                      <w:marLeft w:val="0"/>
                      <w:marRight w:val="0"/>
                      <w:marTop w:val="0"/>
                      <w:marBottom w:val="0"/>
                      <w:divBdr>
                        <w:top w:val="none" w:sz="0" w:space="0" w:color="auto"/>
                        <w:left w:val="none" w:sz="0" w:space="0" w:color="auto"/>
                        <w:bottom w:val="none" w:sz="0" w:space="0" w:color="auto"/>
                        <w:right w:val="none" w:sz="0" w:space="0" w:color="auto"/>
                      </w:divBdr>
                    </w:div>
                  </w:divsChild>
                </w:div>
                <w:div w:id="1612080719">
                  <w:marLeft w:val="0"/>
                  <w:marRight w:val="0"/>
                  <w:marTop w:val="0"/>
                  <w:marBottom w:val="0"/>
                  <w:divBdr>
                    <w:top w:val="none" w:sz="0" w:space="0" w:color="auto"/>
                    <w:left w:val="none" w:sz="0" w:space="0" w:color="auto"/>
                    <w:bottom w:val="none" w:sz="0" w:space="0" w:color="auto"/>
                    <w:right w:val="none" w:sz="0" w:space="0" w:color="auto"/>
                  </w:divBdr>
                  <w:divsChild>
                    <w:div w:id="1333875246">
                      <w:marLeft w:val="0"/>
                      <w:marRight w:val="0"/>
                      <w:marTop w:val="0"/>
                      <w:marBottom w:val="0"/>
                      <w:divBdr>
                        <w:top w:val="none" w:sz="0" w:space="0" w:color="auto"/>
                        <w:left w:val="none" w:sz="0" w:space="0" w:color="auto"/>
                        <w:bottom w:val="none" w:sz="0" w:space="0" w:color="auto"/>
                        <w:right w:val="none" w:sz="0" w:space="0" w:color="auto"/>
                      </w:divBdr>
                    </w:div>
                  </w:divsChild>
                </w:div>
                <w:div w:id="1612395560">
                  <w:marLeft w:val="0"/>
                  <w:marRight w:val="0"/>
                  <w:marTop w:val="0"/>
                  <w:marBottom w:val="0"/>
                  <w:divBdr>
                    <w:top w:val="none" w:sz="0" w:space="0" w:color="auto"/>
                    <w:left w:val="none" w:sz="0" w:space="0" w:color="auto"/>
                    <w:bottom w:val="none" w:sz="0" w:space="0" w:color="auto"/>
                    <w:right w:val="none" w:sz="0" w:space="0" w:color="auto"/>
                  </w:divBdr>
                  <w:divsChild>
                    <w:div w:id="66461854">
                      <w:marLeft w:val="0"/>
                      <w:marRight w:val="0"/>
                      <w:marTop w:val="0"/>
                      <w:marBottom w:val="0"/>
                      <w:divBdr>
                        <w:top w:val="none" w:sz="0" w:space="0" w:color="auto"/>
                        <w:left w:val="none" w:sz="0" w:space="0" w:color="auto"/>
                        <w:bottom w:val="none" w:sz="0" w:space="0" w:color="auto"/>
                        <w:right w:val="none" w:sz="0" w:space="0" w:color="auto"/>
                      </w:divBdr>
                    </w:div>
                  </w:divsChild>
                </w:div>
                <w:div w:id="1682124676">
                  <w:marLeft w:val="0"/>
                  <w:marRight w:val="0"/>
                  <w:marTop w:val="0"/>
                  <w:marBottom w:val="0"/>
                  <w:divBdr>
                    <w:top w:val="none" w:sz="0" w:space="0" w:color="auto"/>
                    <w:left w:val="none" w:sz="0" w:space="0" w:color="auto"/>
                    <w:bottom w:val="none" w:sz="0" w:space="0" w:color="auto"/>
                    <w:right w:val="none" w:sz="0" w:space="0" w:color="auto"/>
                  </w:divBdr>
                  <w:divsChild>
                    <w:div w:id="1926451425">
                      <w:marLeft w:val="0"/>
                      <w:marRight w:val="0"/>
                      <w:marTop w:val="0"/>
                      <w:marBottom w:val="0"/>
                      <w:divBdr>
                        <w:top w:val="none" w:sz="0" w:space="0" w:color="auto"/>
                        <w:left w:val="none" w:sz="0" w:space="0" w:color="auto"/>
                        <w:bottom w:val="none" w:sz="0" w:space="0" w:color="auto"/>
                        <w:right w:val="none" w:sz="0" w:space="0" w:color="auto"/>
                      </w:divBdr>
                    </w:div>
                  </w:divsChild>
                </w:div>
                <w:div w:id="1770075361">
                  <w:marLeft w:val="0"/>
                  <w:marRight w:val="0"/>
                  <w:marTop w:val="0"/>
                  <w:marBottom w:val="0"/>
                  <w:divBdr>
                    <w:top w:val="none" w:sz="0" w:space="0" w:color="auto"/>
                    <w:left w:val="none" w:sz="0" w:space="0" w:color="auto"/>
                    <w:bottom w:val="none" w:sz="0" w:space="0" w:color="auto"/>
                    <w:right w:val="none" w:sz="0" w:space="0" w:color="auto"/>
                  </w:divBdr>
                  <w:divsChild>
                    <w:div w:id="247929667">
                      <w:marLeft w:val="0"/>
                      <w:marRight w:val="0"/>
                      <w:marTop w:val="0"/>
                      <w:marBottom w:val="0"/>
                      <w:divBdr>
                        <w:top w:val="none" w:sz="0" w:space="0" w:color="auto"/>
                        <w:left w:val="none" w:sz="0" w:space="0" w:color="auto"/>
                        <w:bottom w:val="none" w:sz="0" w:space="0" w:color="auto"/>
                        <w:right w:val="none" w:sz="0" w:space="0" w:color="auto"/>
                      </w:divBdr>
                    </w:div>
                  </w:divsChild>
                </w:div>
                <w:div w:id="1771317601">
                  <w:marLeft w:val="0"/>
                  <w:marRight w:val="0"/>
                  <w:marTop w:val="0"/>
                  <w:marBottom w:val="0"/>
                  <w:divBdr>
                    <w:top w:val="none" w:sz="0" w:space="0" w:color="auto"/>
                    <w:left w:val="none" w:sz="0" w:space="0" w:color="auto"/>
                    <w:bottom w:val="none" w:sz="0" w:space="0" w:color="auto"/>
                    <w:right w:val="none" w:sz="0" w:space="0" w:color="auto"/>
                  </w:divBdr>
                  <w:divsChild>
                    <w:div w:id="821041730">
                      <w:marLeft w:val="0"/>
                      <w:marRight w:val="0"/>
                      <w:marTop w:val="0"/>
                      <w:marBottom w:val="0"/>
                      <w:divBdr>
                        <w:top w:val="none" w:sz="0" w:space="0" w:color="auto"/>
                        <w:left w:val="none" w:sz="0" w:space="0" w:color="auto"/>
                        <w:bottom w:val="none" w:sz="0" w:space="0" w:color="auto"/>
                        <w:right w:val="none" w:sz="0" w:space="0" w:color="auto"/>
                      </w:divBdr>
                    </w:div>
                  </w:divsChild>
                </w:div>
                <w:div w:id="1778938634">
                  <w:marLeft w:val="0"/>
                  <w:marRight w:val="0"/>
                  <w:marTop w:val="0"/>
                  <w:marBottom w:val="0"/>
                  <w:divBdr>
                    <w:top w:val="none" w:sz="0" w:space="0" w:color="auto"/>
                    <w:left w:val="none" w:sz="0" w:space="0" w:color="auto"/>
                    <w:bottom w:val="none" w:sz="0" w:space="0" w:color="auto"/>
                    <w:right w:val="none" w:sz="0" w:space="0" w:color="auto"/>
                  </w:divBdr>
                  <w:divsChild>
                    <w:div w:id="1546216785">
                      <w:marLeft w:val="0"/>
                      <w:marRight w:val="0"/>
                      <w:marTop w:val="0"/>
                      <w:marBottom w:val="0"/>
                      <w:divBdr>
                        <w:top w:val="none" w:sz="0" w:space="0" w:color="auto"/>
                        <w:left w:val="none" w:sz="0" w:space="0" w:color="auto"/>
                        <w:bottom w:val="none" w:sz="0" w:space="0" w:color="auto"/>
                        <w:right w:val="none" w:sz="0" w:space="0" w:color="auto"/>
                      </w:divBdr>
                    </w:div>
                  </w:divsChild>
                </w:div>
                <w:div w:id="1806965434">
                  <w:marLeft w:val="0"/>
                  <w:marRight w:val="0"/>
                  <w:marTop w:val="0"/>
                  <w:marBottom w:val="0"/>
                  <w:divBdr>
                    <w:top w:val="none" w:sz="0" w:space="0" w:color="auto"/>
                    <w:left w:val="none" w:sz="0" w:space="0" w:color="auto"/>
                    <w:bottom w:val="none" w:sz="0" w:space="0" w:color="auto"/>
                    <w:right w:val="none" w:sz="0" w:space="0" w:color="auto"/>
                  </w:divBdr>
                  <w:divsChild>
                    <w:div w:id="974216194">
                      <w:marLeft w:val="0"/>
                      <w:marRight w:val="0"/>
                      <w:marTop w:val="0"/>
                      <w:marBottom w:val="0"/>
                      <w:divBdr>
                        <w:top w:val="none" w:sz="0" w:space="0" w:color="auto"/>
                        <w:left w:val="none" w:sz="0" w:space="0" w:color="auto"/>
                        <w:bottom w:val="none" w:sz="0" w:space="0" w:color="auto"/>
                        <w:right w:val="none" w:sz="0" w:space="0" w:color="auto"/>
                      </w:divBdr>
                    </w:div>
                  </w:divsChild>
                </w:div>
                <w:div w:id="1940527829">
                  <w:marLeft w:val="0"/>
                  <w:marRight w:val="0"/>
                  <w:marTop w:val="0"/>
                  <w:marBottom w:val="0"/>
                  <w:divBdr>
                    <w:top w:val="none" w:sz="0" w:space="0" w:color="auto"/>
                    <w:left w:val="none" w:sz="0" w:space="0" w:color="auto"/>
                    <w:bottom w:val="none" w:sz="0" w:space="0" w:color="auto"/>
                    <w:right w:val="none" w:sz="0" w:space="0" w:color="auto"/>
                  </w:divBdr>
                  <w:divsChild>
                    <w:div w:id="899172967">
                      <w:marLeft w:val="0"/>
                      <w:marRight w:val="0"/>
                      <w:marTop w:val="0"/>
                      <w:marBottom w:val="0"/>
                      <w:divBdr>
                        <w:top w:val="none" w:sz="0" w:space="0" w:color="auto"/>
                        <w:left w:val="none" w:sz="0" w:space="0" w:color="auto"/>
                        <w:bottom w:val="none" w:sz="0" w:space="0" w:color="auto"/>
                        <w:right w:val="none" w:sz="0" w:space="0" w:color="auto"/>
                      </w:divBdr>
                    </w:div>
                  </w:divsChild>
                </w:div>
                <w:div w:id="1973292073">
                  <w:marLeft w:val="0"/>
                  <w:marRight w:val="0"/>
                  <w:marTop w:val="0"/>
                  <w:marBottom w:val="0"/>
                  <w:divBdr>
                    <w:top w:val="none" w:sz="0" w:space="0" w:color="auto"/>
                    <w:left w:val="none" w:sz="0" w:space="0" w:color="auto"/>
                    <w:bottom w:val="none" w:sz="0" w:space="0" w:color="auto"/>
                    <w:right w:val="none" w:sz="0" w:space="0" w:color="auto"/>
                  </w:divBdr>
                  <w:divsChild>
                    <w:div w:id="15040501">
                      <w:marLeft w:val="0"/>
                      <w:marRight w:val="0"/>
                      <w:marTop w:val="0"/>
                      <w:marBottom w:val="0"/>
                      <w:divBdr>
                        <w:top w:val="none" w:sz="0" w:space="0" w:color="auto"/>
                        <w:left w:val="none" w:sz="0" w:space="0" w:color="auto"/>
                        <w:bottom w:val="none" w:sz="0" w:space="0" w:color="auto"/>
                        <w:right w:val="none" w:sz="0" w:space="0" w:color="auto"/>
                      </w:divBdr>
                    </w:div>
                  </w:divsChild>
                </w:div>
                <w:div w:id="2002655090">
                  <w:marLeft w:val="0"/>
                  <w:marRight w:val="0"/>
                  <w:marTop w:val="0"/>
                  <w:marBottom w:val="0"/>
                  <w:divBdr>
                    <w:top w:val="none" w:sz="0" w:space="0" w:color="auto"/>
                    <w:left w:val="none" w:sz="0" w:space="0" w:color="auto"/>
                    <w:bottom w:val="none" w:sz="0" w:space="0" w:color="auto"/>
                    <w:right w:val="none" w:sz="0" w:space="0" w:color="auto"/>
                  </w:divBdr>
                  <w:divsChild>
                    <w:div w:id="355348910">
                      <w:marLeft w:val="0"/>
                      <w:marRight w:val="0"/>
                      <w:marTop w:val="0"/>
                      <w:marBottom w:val="0"/>
                      <w:divBdr>
                        <w:top w:val="none" w:sz="0" w:space="0" w:color="auto"/>
                        <w:left w:val="none" w:sz="0" w:space="0" w:color="auto"/>
                        <w:bottom w:val="none" w:sz="0" w:space="0" w:color="auto"/>
                        <w:right w:val="none" w:sz="0" w:space="0" w:color="auto"/>
                      </w:divBdr>
                    </w:div>
                  </w:divsChild>
                </w:div>
                <w:div w:id="2052415240">
                  <w:marLeft w:val="0"/>
                  <w:marRight w:val="0"/>
                  <w:marTop w:val="0"/>
                  <w:marBottom w:val="0"/>
                  <w:divBdr>
                    <w:top w:val="none" w:sz="0" w:space="0" w:color="auto"/>
                    <w:left w:val="none" w:sz="0" w:space="0" w:color="auto"/>
                    <w:bottom w:val="none" w:sz="0" w:space="0" w:color="auto"/>
                    <w:right w:val="none" w:sz="0" w:space="0" w:color="auto"/>
                  </w:divBdr>
                  <w:divsChild>
                    <w:div w:id="1858078563">
                      <w:marLeft w:val="0"/>
                      <w:marRight w:val="0"/>
                      <w:marTop w:val="0"/>
                      <w:marBottom w:val="0"/>
                      <w:divBdr>
                        <w:top w:val="none" w:sz="0" w:space="0" w:color="auto"/>
                        <w:left w:val="none" w:sz="0" w:space="0" w:color="auto"/>
                        <w:bottom w:val="none" w:sz="0" w:space="0" w:color="auto"/>
                        <w:right w:val="none" w:sz="0" w:space="0" w:color="auto"/>
                      </w:divBdr>
                    </w:div>
                  </w:divsChild>
                </w:div>
                <w:div w:id="2053066686">
                  <w:marLeft w:val="0"/>
                  <w:marRight w:val="0"/>
                  <w:marTop w:val="0"/>
                  <w:marBottom w:val="0"/>
                  <w:divBdr>
                    <w:top w:val="none" w:sz="0" w:space="0" w:color="auto"/>
                    <w:left w:val="none" w:sz="0" w:space="0" w:color="auto"/>
                    <w:bottom w:val="none" w:sz="0" w:space="0" w:color="auto"/>
                    <w:right w:val="none" w:sz="0" w:space="0" w:color="auto"/>
                  </w:divBdr>
                  <w:divsChild>
                    <w:div w:id="1800608796">
                      <w:marLeft w:val="0"/>
                      <w:marRight w:val="0"/>
                      <w:marTop w:val="0"/>
                      <w:marBottom w:val="0"/>
                      <w:divBdr>
                        <w:top w:val="none" w:sz="0" w:space="0" w:color="auto"/>
                        <w:left w:val="none" w:sz="0" w:space="0" w:color="auto"/>
                        <w:bottom w:val="none" w:sz="0" w:space="0" w:color="auto"/>
                        <w:right w:val="none" w:sz="0" w:space="0" w:color="auto"/>
                      </w:divBdr>
                    </w:div>
                  </w:divsChild>
                </w:div>
                <w:div w:id="2096856204">
                  <w:marLeft w:val="0"/>
                  <w:marRight w:val="0"/>
                  <w:marTop w:val="0"/>
                  <w:marBottom w:val="0"/>
                  <w:divBdr>
                    <w:top w:val="none" w:sz="0" w:space="0" w:color="auto"/>
                    <w:left w:val="none" w:sz="0" w:space="0" w:color="auto"/>
                    <w:bottom w:val="none" w:sz="0" w:space="0" w:color="auto"/>
                    <w:right w:val="none" w:sz="0" w:space="0" w:color="auto"/>
                  </w:divBdr>
                  <w:divsChild>
                    <w:div w:id="1042553998">
                      <w:marLeft w:val="0"/>
                      <w:marRight w:val="0"/>
                      <w:marTop w:val="0"/>
                      <w:marBottom w:val="0"/>
                      <w:divBdr>
                        <w:top w:val="none" w:sz="0" w:space="0" w:color="auto"/>
                        <w:left w:val="none" w:sz="0" w:space="0" w:color="auto"/>
                        <w:bottom w:val="none" w:sz="0" w:space="0" w:color="auto"/>
                        <w:right w:val="none" w:sz="0" w:space="0" w:color="auto"/>
                      </w:divBdr>
                    </w:div>
                  </w:divsChild>
                </w:div>
                <w:div w:id="2105104587">
                  <w:marLeft w:val="0"/>
                  <w:marRight w:val="0"/>
                  <w:marTop w:val="0"/>
                  <w:marBottom w:val="0"/>
                  <w:divBdr>
                    <w:top w:val="none" w:sz="0" w:space="0" w:color="auto"/>
                    <w:left w:val="none" w:sz="0" w:space="0" w:color="auto"/>
                    <w:bottom w:val="none" w:sz="0" w:space="0" w:color="auto"/>
                    <w:right w:val="none" w:sz="0" w:space="0" w:color="auto"/>
                  </w:divBdr>
                  <w:divsChild>
                    <w:div w:id="461269983">
                      <w:marLeft w:val="0"/>
                      <w:marRight w:val="0"/>
                      <w:marTop w:val="0"/>
                      <w:marBottom w:val="0"/>
                      <w:divBdr>
                        <w:top w:val="none" w:sz="0" w:space="0" w:color="auto"/>
                        <w:left w:val="none" w:sz="0" w:space="0" w:color="auto"/>
                        <w:bottom w:val="none" w:sz="0" w:space="0" w:color="auto"/>
                        <w:right w:val="none" w:sz="0" w:space="0" w:color="auto"/>
                      </w:divBdr>
                    </w:div>
                  </w:divsChild>
                </w:div>
                <w:div w:id="2121218037">
                  <w:marLeft w:val="0"/>
                  <w:marRight w:val="0"/>
                  <w:marTop w:val="0"/>
                  <w:marBottom w:val="0"/>
                  <w:divBdr>
                    <w:top w:val="none" w:sz="0" w:space="0" w:color="auto"/>
                    <w:left w:val="none" w:sz="0" w:space="0" w:color="auto"/>
                    <w:bottom w:val="none" w:sz="0" w:space="0" w:color="auto"/>
                    <w:right w:val="none" w:sz="0" w:space="0" w:color="auto"/>
                  </w:divBdr>
                  <w:divsChild>
                    <w:div w:id="172380155">
                      <w:marLeft w:val="0"/>
                      <w:marRight w:val="0"/>
                      <w:marTop w:val="0"/>
                      <w:marBottom w:val="0"/>
                      <w:divBdr>
                        <w:top w:val="none" w:sz="0" w:space="0" w:color="auto"/>
                        <w:left w:val="none" w:sz="0" w:space="0" w:color="auto"/>
                        <w:bottom w:val="none" w:sz="0" w:space="0" w:color="auto"/>
                        <w:right w:val="none" w:sz="0" w:space="0" w:color="auto"/>
                      </w:divBdr>
                    </w:div>
                  </w:divsChild>
                </w:div>
                <w:div w:id="2123306328">
                  <w:marLeft w:val="0"/>
                  <w:marRight w:val="0"/>
                  <w:marTop w:val="0"/>
                  <w:marBottom w:val="0"/>
                  <w:divBdr>
                    <w:top w:val="none" w:sz="0" w:space="0" w:color="auto"/>
                    <w:left w:val="none" w:sz="0" w:space="0" w:color="auto"/>
                    <w:bottom w:val="none" w:sz="0" w:space="0" w:color="auto"/>
                    <w:right w:val="none" w:sz="0" w:space="0" w:color="auto"/>
                  </w:divBdr>
                  <w:divsChild>
                    <w:div w:id="171340835">
                      <w:marLeft w:val="0"/>
                      <w:marRight w:val="0"/>
                      <w:marTop w:val="0"/>
                      <w:marBottom w:val="0"/>
                      <w:divBdr>
                        <w:top w:val="none" w:sz="0" w:space="0" w:color="auto"/>
                        <w:left w:val="none" w:sz="0" w:space="0" w:color="auto"/>
                        <w:bottom w:val="none" w:sz="0" w:space="0" w:color="auto"/>
                        <w:right w:val="none" w:sz="0" w:space="0" w:color="auto"/>
                      </w:divBdr>
                    </w:div>
                  </w:divsChild>
                </w:div>
                <w:div w:id="2140806374">
                  <w:marLeft w:val="0"/>
                  <w:marRight w:val="0"/>
                  <w:marTop w:val="0"/>
                  <w:marBottom w:val="0"/>
                  <w:divBdr>
                    <w:top w:val="none" w:sz="0" w:space="0" w:color="auto"/>
                    <w:left w:val="none" w:sz="0" w:space="0" w:color="auto"/>
                    <w:bottom w:val="none" w:sz="0" w:space="0" w:color="auto"/>
                    <w:right w:val="none" w:sz="0" w:space="0" w:color="auto"/>
                  </w:divBdr>
                  <w:divsChild>
                    <w:div w:id="18901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5155">
          <w:marLeft w:val="0"/>
          <w:marRight w:val="0"/>
          <w:marTop w:val="0"/>
          <w:marBottom w:val="0"/>
          <w:divBdr>
            <w:top w:val="none" w:sz="0" w:space="0" w:color="auto"/>
            <w:left w:val="none" w:sz="0" w:space="0" w:color="auto"/>
            <w:bottom w:val="none" w:sz="0" w:space="0" w:color="auto"/>
            <w:right w:val="none" w:sz="0" w:space="0" w:color="auto"/>
          </w:divBdr>
        </w:div>
        <w:div w:id="1006633047">
          <w:marLeft w:val="0"/>
          <w:marRight w:val="0"/>
          <w:marTop w:val="0"/>
          <w:marBottom w:val="0"/>
          <w:divBdr>
            <w:top w:val="none" w:sz="0" w:space="0" w:color="auto"/>
            <w:left w:val="none" w:sz="0" w:space="0" w:color="auto"/>
            <w:bottom w:val="none" w:sz="0" w:space="0" w:color="auto"/>
            <w:right w:val="none" w:sz="0" w:space="0" w:color="auto"/>
          </w:divBdr>
        </w:div>
        <w:div w:id="1031955901">
          <w:marLeft w:val="0"/>
          <w:marRight w:val="0"/>
          <w:marTop w:val="0"/>
          <w:marBottom w:val="0"/>
          <w:divBdr>
            <w:top w:val="none" w:sz="0" w:space="0" w:color="auto"/>
            <w:left w:val="none" w:sz="0" w:space="0" w:color="auto"/>
            <w:bottom w:val="none" w:sz="0" w:space="0" w:color="auto"/>
            <w:right w:val="none" w:sz="0" w:space="0" w:color="auto"/>
          </w:divBdr>
          <w:divsChild>
            <w:div w:id="512963845">
              <w:marLeft w:val="0"/>
              <w:marRight w:val="0"/>
              <w:marTop w:val="0"/>
              <w:marBottom w:val="0"/>
              <w:divBdr>
                <w:top w:val="none" w:sz="0" w:space="0" w:color="auto"/>
                <w:left w:val="none" w:sz="0" w:space="0" w:color="auto"/>
                <w:bottom w:val="none" w:sz="0" w:space="0" w:color="auto"/>
                <w:right w:val="none" w:sz="0" w:space="0" w:color="auto"/>
              </w:divBdr>
            </w:div>
            <w:div w:id="729621859">
              <w:marLeft w:val="0"/>
              <w:marRight w:val="0"/>
              <w:marTop w:val="0"/>
              <w:marBottom w:val="0"/>
              <w:divBdr>
                <w:top w:val="none" w:sz="0" w:space="0" w:color="auto"/>
                <w:left w:val="none" w:sz="0" w:space="0" w:color="auto"/>
                <w:bottom w:val="none" w:sz="0" w:space="0" w:color="auto"/>
                <w:right w:val="none" w:sz="0" w:space="0" w:color="auto"/>
              </w:divBdr>
            </w:div>
            <w:div w:id="1116025343">
              <w:marLeft w:val="0"/>
              <w:marRight w:val="0"/>
              <w:marTop w:val="0"/>
              <w:marBottom w:val="0"/>
              <w:divBdr>
                <w:top w:val="none" w:sz="0" w:space="0" w:color="auto"/>
                <w:left w:val="none" w:sz="0" w:space="0" w:color="auto"/>
                <w:bottom w:val="none" w:sz="0" w:space="0" w:color="auto"/>
                <w:right w:val="none" w:sz="0" w:space="0" w:color="auto"/>
              </w:divBdr>
            </w:div>
            <w:div w:id="1332945747">
              <w:marLeft w:val="0"/>
              <w:marRight w:val="0"/>
              <w:marTop w:val="0"/>
              <w:marBottom w:val="0"/>
              <w:divBdr>
                <w:top w:val="none" w:sz="0" w:space="0" w:color="auto"/>
                <w:left w:val="none" w:sz="0" w:space="0" w:color="auto"/>
                <w:bottom w:val="none" w:sz="0" w:space="0" w:color="auto"/>
                <w:right w:val="none" w:sz="0" w:space="0" w:color="auto"/>
              </w:divBdr>
            </w:div>
            <w:div w:id="1626352458">
              <w:marLeft w:val="0"/>
              <w:marRight w:val="0"/>
              <w:marTop w:val="0"/>
              <w:marBottom w:val="0"/>
              <w:divBdr>
                <w:top w:val="none" w:sz="0" w:space="0" w:color="auto"/>
                <w:left w:val="none" w:sz="0" w:space="0" w:color="auto"/>
                <w:bottom w:val="none" w:sz="0" w:space="0" w:color="auto"/>
                <w:right w:val="none" w:sz="0" w:space="0" w:color="auto"/>
              </w:divBdr>
            </w:div>
          </w:divsChild>
        </w:div>
        <w:div w:id="1829781889">
          <w:marLeft w:val="0"/>
          <w:marRight w:val="0"/>
          <w:marTop w:val="0"/>
          <w:marBottom w:val="0"/>
          <w:divBdr>
            <w:top w:val="none" w:sz="0" w:space="0" w:color="auto"/>
            <w:left w:val="none" w:sz="0" w:space="0" w:color="auto"/>
            <w:bottom w:val="none" w:sz="0" w:space="0" w:color="auto"/>
            <w:right w:val="none" w:sz="0" w:space="0" w:color="auto"/>
          </w:divBdr>
        </w:div>
        <w:div w:id="1876574463">
          <w:marLeft w:val="0"/>
          <w:marRight w:val="0"/>
          <w:marTop w:val="0"/>
          <w:marBottom w:val="0"/>
          <w:divBdr>
            <w:top w:val="none" w:sz="0" w:space="0" w:color="auto"/>
            <w:left w:val="none" w:sz="0" w:space="0" w:color="auto"/>
            <w:bottom w:val="none" w:sz="0" w:space="0" w:color="auto"/>
            <w:right w:val="none" w:sz="0" w:space="0" w:color="auto"/>
          </w:divBdr>
        </w:div>
      </w:divsChild>
    </w:div>
    <w:div w:id="1839228549">
      <w:bodyDiv w:val="1"/>
      <w:marLeft w:val="0"/>
      <w:marRight w:val="0"/>
      <w:marTop w:val="0"/>
      <w:marBottom w:val="0"/>
      <w:divBdr>
        <w:top w:val="none" w:sz="0" w:space="0" w:color="auto"/>
        <w:left w:val="none" w:sz="0" w:space="0" w:color="auto"/>
        <w:bottom w:val="none" w:sz="0" w:space="0" w:color="auto"/>
        <w:right w:val="none" w:sz="0" w:space="0" w:color="auto"/>
      </w:divBdr>
      <w:divsChild>
        <w:div w:id="133526167">
          <w:marLeft w:val="0"/>
          <w:marRight w:val="0"/>
          <w:marTop w:val="0"/>
          <w:marBottom w:val="0"/>
          <w:divBdr>
            <w:top w:val="none" w:sz="0" w:space="0" w:color="auto"/>
            <w:left w:val="none" w:sz="0" w:space="0" w:color="auto"/>
            <w:bottom w:val="none" w:sz="0" w:space="0" w:color="auto"/>
            <w:right w:val="none" w:sz="0" w:space="0" w:color="auto"/>
          </w:divBdr>
          <w:divsChild>
            <w:div w:id="442312854">
              <w:marLeft w:val="0"/>
              <w:marRight w:val="0"/>
              <w:marTop w:val="0"/>
              <w:marBottom w:val="0"/>
              <w:divBdr>
                <w:top w:val="none" w:sz="0" w:space="0" w:color="auto"/>
                <w:left w:val="none" w:sz="0" w:space="0" w:color="auto"/>
                <w:bottom w:val="none" w:sz="0" w:space="0" w:color="auto"/>
                <w:right w:val="none" w:sz="0" w:space="0" w:color="auto"/>
              </w:divBdr>
            </w:div>
            <w:div w:id="1829249537">
              <w:marLeft w:val="0"/>
              <w:marRight w:val="0"/>
              <w:marTop w:val="0"/>
              <w:marBottom w:val="0"/>
              <w:divBdr>
                <w:top w:val="none" w:sz="0" w:space="0" w:color="auto"/>
                <w:left w:val="none" w:sz="0" w:space="0" w:color="auto"/>
                <w:bottom w:val="none" w:sz="0" w:space="0" w:color="auto"/>
                <w:right w:val="none" w:sz="0" w:space="0" w:color="auto"/>
              </w:divBdr>
            </w:div>
          </w:divsChild>
        </w:div>
        <w:div w:id="1013924167">
          <w:marLeft w:val="0"/>
          <w:marRight w:val="0"/>
          <w:marTop w:val="0"/>
          <w:marBottom w:val="0"/>
          <w:divBdr>
            <w:top w:val="none" w:sz="0" w:space="0" w:color="auto"/>
            <w:left w:val="none" w:sz="0" w:space="0" w:color="auto"/>
            <w:bottom w:val="none" w:sz="0" w:space="0" w:color="auto"/>
            <w:right w:val="none" w:sz="0" w:space="0" w:color="auto"/>
          </w:divBdr>
          <w:divsChild>
            <w:div w:id="23139122">
              <w:marLeft w:val="0"/>
              <w:marRight w:val="0"/>
              <w:marTop w:val="0"/>
              <w:marBottom w:val="0"/>
              <w:divBdr>
                <w:top w:val="none" w:sz="0" w:space="0" w:color="auto"/>
                <w:left w:val="none" w:sz="0" w:space="0" w:color="auto"/>
                <w:bottom w:val="none" w:sz="0" w:space="0" w:color="auto"/>
                <w:right w:val="none" w:sz="0" w:space="0" w:color="auto"/>
              </w:divBdr>
            </w:div>
            <w:div w:id="104663793">
              <w:marLeft w:val="0"/>
              <w:marRight w:val="0"/>
              <w:marTop w:val="0"/>
              <w:marBottom w:val="0"/>
              <w:divBdr>
                <w:top w:val="none" w:sz="0" w:space="0" w:color="auto"/>
                <w:left w:val="none" w:sz="0" w:space="0" w:color="auto"/>
                <w:bottom w:val="none" w:sz="0" w:space="0" w:color="auto"/>
                <w:right w:val="none" w:sz="0" w:space="0" w:color="auto"/>
              </w:divBdr>
            </w:div>
            <w:div w:id="844590861">
              <w:marLeft w:val="0"/>
              <w:marRight w:val="0"/>
              <w:marTop w:val="0"/>
              <w:marBottom w:val="0"/>
              <w:divBdr>
                <w:top w:val="none" w:sz="0" w:space="0" w:color="auto"/>
                <w:left w:val="none" w:sz="0" w:space="0" w:color="auto"/>
                <w:bottom w:val="none" w:sz="0" w:space="0" w:color="auto"/>
                <w:right w:val="none" w:sz="0" w:space="0" w:color="auto"/>
              </w:divBdr>
            </w:div>
            <w:div w:id="1515338863">
              <w:marLeft w:val="0"/>
              <w:marRight w:val="0"/>
              <w:marTop w:val="0"/>
              <w:marBottom w:val="0"/>
              <w:divBdr>
                <w:top w:val="none" w:sz="0" w:space="0" w:color="auto"/>
                <w:left w:val="none" w:sz="0" w:space="0" w:color="auto"/>
                <w:bottom w:val="none" w:sz="0" w:space="0" w:color="auto"/>
                <w:right w:val="none" w:sz="0" w:space="0" w:color="auto"/>
              </w:divBdr>
            </w:div>
            <w:div w:id="15277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3772">
      <w:bodyDiv w:val="1"/>
      <w:marLeft w:val="0"/>
      <w:marRight w:val="0"/>
      <w:marTop w:val="0"/>
      <w:marBottom w:val="0"/>
      <w:divBdr>
        <w:top w:val="none" w:sz="0" w:space="0" w:color="auto"/>
        <w:left w:val="none" w:sz="0" w:space="0" w:color="auto"/>
        <w:bottom w:val="none" w:sz="0" w:space="0" w:color="auto"/>
        <w:right w:val="none" w:sz="0" w:space="0" w:color="auto"/>
      </w:divBdr>
      <w:divsChild>
        <w:div w:id="210851007">
          <w:marLeft w:val="0"/>
          <w:marRight w:val="0"/>
          <w:marTop w:val="0"/>
          <w:marBottom w:val="0"/>
          <w:divBdr>
            <w:top w:val="none" w:sz="0" w:space="0" w:color="auto"/>
            <w:left w:val="none" w:sz="0" w:space="0" w:color="auto"/>
            <w:bottom w:val="none" w:sz="0" w:space="0" w:color="auto"/>
            <w:right w:val="none" w:sz="0" w:space="0" w:color="auto"/>
          </w:divBdr>
          <w:divsChild>
            <w:div w:id="1149176346">
              <w:marLeft w:val="0"/>
              <w:marRight w:val="0"/>
              <w:marTop w:val="0"/>
              <w:marBottom w:val="0"/>
              <w:divBdr>
                <w:top w:val="none" w:sz="0" w:space="0" w:color="auto"/>
                <w:left w:val="none" w:sz="0" w:space="0" w:color="auto"/>
                <w:bottom w:val="none" w:sz="0" w:space="0" w:color="auto"/>
                <w:right w:val="none" w:sz="0" w:space="0" w:color="auto"/>
              </w:divBdr>
            </w:div>
            <w:div w:id="1342701790">
              <w:marLeft w:val="0"/>
              <w:marRight w:val="0"/>
              <w:marTop w:val="0"/>
              <w:marBottom w:val="0"/>
              <w:divBdr>
                <w:top w:val="none" w:sz="0" w:space="0" w:color="auto"/>
                <w:left w:val="none" w:sz="0" w:space="0" w:color="auto"/>
                <w:bottom w:val="none" w:sz="0" w:space="0" w:color="auto"/>
                <w:right w:val="none" w:sz="0" w:space="0" w:color="auto"/>
              </w:divBdr>
            </w:div>
            <w:div w:id="1629163878">
              <w:marLeft w:val="0"/>
              <w:marRight w:val="0"/>
              <w:marTop w:val="0"/>
              <w:marBottom w:val="0"/>
              <w:divBdr>
                <w:top w:val="none" w:sz="0" w:space="0" w:color="auto"/>
                <w:left w:val="none" w:sz="0" w:space="0" w:color="auto"/>
                <w:bottom w:val="none" w:sz="0" w:space="0" w:color="auto"/>
                <w:right w:val="none" w:sz="0" w:space="0" w:color="auto"/>
              </w:divBdr>
            </w:div>
            <w:div w:id="1681618929">
              <w:marLeft w:val="0"/>
              <w:marRight w:val="0"/>
              <w:marTop w:val="0"/>
              <w:marBottom w:val="0"/>
              <w:divBdr>
                <w:top w:val="none" w:sz="0" w:space="0" w:color="auto"/>
                <w:left w:val="none" w:sz="0" w:space="0" w:color="auto"/>
                <w:bottom w:val="none" w:sz="0" w:space="0" w:color="auto"/>
                <w:right w:val="none" w:sz="0" w:space="0" w:color="auto"/>
              </w:divBdr>
            </w:div>
            <w:div w:id="1873958756">
              <w:marLeft w:val="0"/>
              <w:marRight w:val="0"/>
              <w:marTop w:val="0"/>
              <w:marBottom w:val="0"/>
              <w:divBdr>
                <w:top w:val="none" w:sz="0" w:space="0" w:color="auto"/>
                <w:left w:val="none" w:sz="0" w:space="0" w:color="auto"/>
                <w:bottom w:val="none" w:sz="0" w:space="0" w:color="auto"/>
                <w:right w:val="none" w:sz="0" w:space="0" w:color="auto"/>
              </w:divBdr>
            </w:div>
          </w:divsChild>
        </w:div>
        <w:div w:id="238946476">
          <w:marLeft w:val="0"/>
          <w:marRight w:val="0"/>
          <w:marTop w:val="0"/>
          <w:marBottom w:val="0"/>
          <w:divBdr>
            <w:top w:val="none" w:sz="0" w:space="0" w:color="auto"/>
            <w:left w:val="none" w:sz="0" w:space="0" w:color="auto"/>
            <w:bottom w:val="none" w:sz="0" w:space="0" w:color="auto"/>
            <w:right w:val="none" w:sz="0" w:space="0" w:color="auto"/>
          </w:divBdr>
          <w:divsChild>
            <w:div w:id="157042023">
              <w:marLeft w:val="0"/>
              <w:marRight w:val="0"/>
              <w:marTop w:val="0"/>
              <w:marBottom w:val="0"/>
              <w:divBdr>
                <w:top w:val="none" w:sz="0" w:space="0" w:color="auto"/>
                <w:left w:val="none" w:sz="0" w:space="0" w:color="auto"/>
                <w:bottom w:val="none" w:sz="0" w:space="0" w:color="auto"/>
                <w:right w:val="none" w:sz="0" w:space="0" w:color="auto"/>
              </w:divBdr>
            </w:div>
          </w:divsChild>
        </w:div>
        <w:div w:id="1916551766">
          <w:marLeft w:val="0"/>
          <w:marRight w:val="0"/>
          <w:marTop w:val="0"/>
          <w:marBottom w:val="0"/>
          <w:divBdr>
            <w:top w:val="none" w:sz="0" w:space="0" w:color="auto"/>
            <w:left w:val="none" w:sz="0" w:space="0" w:color="auto"/>
            <w:bottom w:val="none" w:sz="0" w:space="0" w:color="auto"/>
            <w:right w:val="none" w:sz="0" w:space="0" w:color="auto"/>
          </w:divBdr>
          <w:divsChild>
            <w:div w:id="107817562">
              <w:marLeft w:val="0"/>
              <w:marRight w:val="0"/>
              <w:marTop w:val="0"/>
              <w:marBottom w:val="0"/>
              <w:divBdr>
                <w:top w:val="none" w:sz="0" w:space="0" w:color="auto"/>
                <w:left w:val="none" w:sz="0" w:space="0" w:color="auto"/>
                <w:bottom w:val="none" w:sz="0" w:space="0" w:color="auto"/>
                <w:right w:val="none" w:sz="0" w:space="0" w:color="auto"/>
              </w:divBdr>
            </w:div>
            <w:div w:id="153375212">
              <w:marLeft w:val="0"/>
              <w:marRight w:val="0"/>
              <w:marTop w:val="0"/>
              <w:marBottom w:val="0"/>
              <w:divBdr>
                <w:top w:val="none" w:sz="0" w:space="0" w:color="auto"/>
                <w:left w:val="none" w:sz="0" w:space="0" w:color="auto"/>
                <w:bottom w:val="none" w:sz="0" w:space="0" w:color="auto"/>
                <w:right w:val="none" w:sz="0" w:space="0" w:color="auto"/>
              </w:divBdr>
            </w:div>
            <w:div w:id="224032330">
              <w:marLeft w:val="0"/>
              <w:marRight w:val="0"/>
              <w:marTop w:val="0"/>
              <w:marBottom w:val="0"/>
              <w:divBdr>
                <w:top w:val="none" w:sz="0" w:space="0" w:color="auto"/>
                <w:left w:val="none" w:sz="0" w:space="0" w:color="auto"/>
                <w:bottom w:val="none" w:sz="0" w:space="0" w:color="auto"/>
                <w:right w:val="none" w:sz="0" w:space="0" w:color="auto"/>
              </w:divBdr>
            </w:div>
            <w:div w:id="1655375849">
              <w:marLeft w:val="0"/>
              <w:marRight w:val="0"/>
              <w:marTop w:val="0"/>
              <w:marBottom w:val="0"/>
              <w:divBdr>
                <w:top w:val="none" w:sz="0" w:space="0" w:color="auto"/>
                <w:left w:val="none" w:sz="0" w:space="0" w:color="auto"/>
                <w:bottom w:val="none" w:sz="0" w:space="0" w:color="auto"/>
                <w:right w:val="none" w:sz="0" w:space="0" w:color="auto"/>
              </w:divBdr>
            </w:div>
            <w:div w:id="19772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712">
      <w:bodyDiv w:val="1"/>
      <w:marLeft w:val="0"/>
      <w:marRight w:val="0"/>
      <w:marTop w:val="0"/>
      <w:marBottom w:val="0"/>
      <w:divBdr>
        <w:top w:val="none" w:sz="0" w:space="0" w:color="auto"/>
        <w:left w:val="none" w:sz="0" w:space="0" w:color="auto"/>
        <w:bottom w:val="none" w:sz="0" w:space="0" w:color="auto"/>
        <w:right w:val="none" w:sz="0" w:space="0" w:color="auto"/>
      </w:divBdr>
      <w:divsChild>
        <w:div w:id="178009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westlaw.com/Document/I16BC99F0E44B11DA8D70A0E70A78ED65/View/FullText.html?originationContext=document&amp;transitionType=DocumentItem&amp;contextData=(sc.DocLin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2T13:02:14.662"/>
    </inkml:context>
    <inkml:brush xml:id="br0">
      <inkml:brushProperty name="width" value="0.04985" units="cm"/>
      <inkml:brushProperty name="height" value="0.04985" units="cm"/>
    </inkml:brush>
  </inkml:definitions>
  <inkml:trace contextRef="#ctx0" brushRef="#br0">48 0 32767,'-48'421'0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7T14:33:07.357"/>
    </inkml:context>
    <inkml:brush xml:id="br0">
      <inkml:brushProperty name="width" value="0.05" units="cm"/>
      <inkml:brushProperty name="height" value="0.05" units="cm"/>
    </inkml:brush>
  </inkml:definitions>
  <inkml:trace contextRef="#ctx0" brushRef="#br0">1 129 32767,'28'-24'0,"74"9"0,-27 0 0,0-1 0,0 1 0,0 0 0,0-1 0,0 1 0,-30 24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3T20:58:31.231"/>
    </inkml:context>
    <inkml:brush xml:id="br0">
      <inkml:brushProperty name="width" value="0.05" units="cm"/>
      <inkml:brushProperty name="height" value="0.05" units="cm"/>
    </inkml:brush>
  </inkml:definitions>
  <inkml:trace contextRef="#ctx0" brushRef="#br0">1 1 22709,'38'441'0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29T08:20:49.418"/>
    </inkml:context>
    <inkml:brush xml:id="br0">
      <inkml:brushProperty name="width" value="0.05" units="cm"/>
      <inkml:brushProperty name="height" value="0.05" units="cm"/>
    </inkml:brush>
  </inkml:definitions>
  <inkml:trace contextRef="#ctx0" brushRef="#br0">62 0 32767,'-28'972'0,"12"-373"0,14-510 240,-9 298-2090,7 197-6539,20-136 4994,-15-424 2594,1 0 0,0-1 1,2 1-1,7 23 0,-6-32-1416,0-1 0,13 26 0,25 23 13395,-42-62-10982,0 0 0,-1 0 0,1-1 0,0 1 0,0 0 0,-1 0 0,1 0 0,-1 0-1,1 0 1,-1 0 0,1 0 0,-1 0 0,1 0 0,-1 1 0,0-1 0,0 0 0,1 0 0,-1 0 0,0 2 0,0 32 3925,1-28-1783,9-12-640,55-32-847,28-19-907,8-22 56,30-1-507,-126 76 372,0-1-1,-1 1 1,1-1 0,-1 0 0,0 0-1,0-1 1,-1 1 0,1-1 0,-1 0-1,0 0 1,0 0 0,0 0 0,-1-1 0,3-7-1,-3-26-333,-2 11 431,3 12 38,-2 14 0,-1 0 0,1 0 0,-1 0 0,1 0 0,-1 0 0,0 0 0,0 0 0,0 0 0,0 0 0,0 0 0,0-1 0,0 1 0,-1 0 0,1 0 0,-1 0 0,0 0 0,1 1 0,-1-1 0,0 0 0,-2-3 0,-3 1 0,0 1 0,0 0 0,0 1 0,-1-1 0,1 1 0,-1 1 0,0-1 0,1 1 0,-11-1 0,-90-7 0,21 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F61F8D59A694498DF2408471164432" ma:contentTypeVersion="13" ma:contentTypeDescription="Create a new document." ma:contentTypeScope="" ma:versionID="d06340fd9168f8df18b145502cd3204b">
  <xsd:schema xmlns:xsd="http://www.w3.org/2001/XMLSchema" xmlns:xs="http://www.w3.org/2001/XMLSchema" xmlns:p="http://schemas.microsoft.com/office/2006/metadata/properties" xmlns:ns3="4ea53e8e-7be7-41da-a2bd-e9e080005820" xmlns:ns4="b82dfe84-5693-4a8a-a7c0-83c7cac752d1" targetNamespace="http://schemas.microsoft.com/office/2006/metadata/properties" ma:root="true" ma:fieldsID="aca93c29c214ecf989f09aef9d895f89" ns3:_="" ns4:_="">
    <xsd:import namespace="4ea53e8e-7be7-41da-a2bd-e9e080005820"/>
    <xsd:import namespace="b82dfe84-5693-4a8a-a7c0-83c7cac752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53e8e-7be7-41da-a2bd-e9e080005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dfe84-5693-4a8a-a7c0-83c7cac752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368D45E-1E1D-4BE4-BAB8-916142B93A44}">
  <ds:schemaRefs>
    <ds:schemaRef ds:uri="http://schemas.microsoft.com/sharepoint/v3/contenttype/forms"/>
  </ds:schemaRefs>
</ds:datastoreItem>
</file>

<file path=customXml/itemProps2.xml><?xml version="1.0" encoding="utf-8"?>
<ds:datastoreItem xmlns:ds="http://schemas.openxmlformats.org/officeDocument/2006/customXml" ds:itemID="{831804D4-7830-4C23-B110-87819A76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53e8e-7be7-41da-a2bd-e9e080005820"/>
    <ds:schemaRef ds:uri="b82dfe84-5693-4a8a-a7c0-83c7cac75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C4C75-9BA8-46D1-8601-EFBDA8002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AD6C09-7A7C-4E09-A2AD-99CFF866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29045</Words>
  <Characters>165563</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Mr Justice Robin</dc:creator>
  <cp:keywords/>
  <dc:description/>
  <cp:lastModifiedBy>pati-svc</cp:lastModifiedBy>
  <cp:revision>2</cp:revision>
  <dcterms:created xsi:type="dcterms:W3CDTF">2020-12-14T10:34:00Z</dcterms:created>
  <dcterms:modified xsi:type="dcterms:W3CDTF">2020-12-14T10:34:00Z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0x010100C1F61F8D59A694498DF2408471164432</vt:lpwstr>
  </property>
</Properties>
</file>